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900"/>
        <w:jc w:val="center"/>
      </w:pPr>
      <w:r>
        <w:drawing>
          <wp:inline distT="0" distB="0" distL="0" distR="0">
            <wp:extent cx="314325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color w:val="21C0DA"/>
          <w:sz w:val="20"/>
          <w:szCs w:val="20"/>
        </w:rPr>
        <w:t xml:space="preserve">AQF-12</w:t>
      </w:r>
    </w:p>
    <w:p>
      <w:pPr>
        <w:spacing w:after="120"/>
        <w:jc w:val="center"/>
      </w:pPr>
      <w:r>
        <w:rPr>
          <w:b/>
          <w:bCs/>
          <w:color w:val="0B2233"/>
          <w:sz w:val="40"/>
          <w:szCs w:val="40"/>
        </w:rPr>
        <w:t xml:space="preserve">Upstream Integration and Licensing Register</w:t>
      </w:r>
    </w:p>
    <w:p>
      <w:pPr>
        <w:spacing w:after="400"/>
        <w:jc w:val="center"/>
      </w:pPr>
      <w:r>
        <w:rPr>
          <w:color w:val="5A6672"/>
          <w:sz w:val="22"/>
          <w:szCs w:val="22"/>
        </w:rPr>
        <w:t xml:space="preserve">Evaluated sources, verified licences, verdicts and obligations</w:t>
      </w:r>
    </w:p>
    <w:p>
      <w:pPr>
        <w:jc w:val="center"/>
      </w:pPr>
      <w:r>
        <w:rPr>
          <w:b/>
          <w:bCs/>
          <w:color w:val="0A8CAB"/>
          <w:sz w:val="20"/>
          <w:szCs w:val="20"/>
        </w:rPr>
        <w:t xml:space="preserve">AquaZeroFit, an AquaZero product</w:t>
      </w:r>
    </w:p>
    <w:p>
      <w:pPr>
        <w:spacing w:after="60"/>
        <w:jc w:val="center"/>
      </w:pPr>
      <w:r>
        <w:rPr>
          <w:color w:val="5A6672"/>
          <w:sz w:val="19"/>
          <w:szCs w:val="19"/>
        </w:rPr>
        <w:t xml:space="preserve">NIT3003 IT Capstone Project, Project 5</w:t>
      </w:r>
    </w:p>
    <w:p>
      <w:pPr>
        <w:jc w:val="center"/>
      </w:pPr>
      <w:r>
        <w:rPr>
          <w:color w:val="5A6672"/>
          <w:sz w:val="19"/>
          <w:szCs w:val="19"/>
        </w:rPr>
        <w:t xml:space="preserve">Group 15, Victoria University, Melbourne, Australia</w:t>
      </w:r>
    </w:p>
    <w:p>
      <w:pPr>
        <w:spacing w:before="240"/>
        <w:jc w:val="center"/>
      </w:pPr>
      <w:r>
        <w:rPr>
          <w:color w:val="5A6672"/>
          <w:sz w:val="18"/>
          <w:szCs w:val="18"/>
        </w:rPr>
        <w:t xml:space="preserve">Version 2.0, July 2026</w:t>
      </w:r>
    </w:p>
    <w:p>
      <w:r>
        <w:br w:type="page"/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AQF-12 Upstream Integration and Licensing Register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 (AquaZeroFit rebrand, diagrams added)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 an auditable record of every external source considered, so that no incompatible code or data enters the product and every obligation is discharged.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Babatundji Williams-Fulwood, Technical Lead and Software Architect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Contributors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Eric La (Frontend), Victor Hong (Data and Quality)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[To be completed by the team]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Draft for supervisor review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Change history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v1.0 initial draft as VitalAI. v2.0 rebranded to AquaZeroFit, diagrams added, roles assigned, sequencing applied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1. Method</w:t>
      </w:r>
    </w:p>
    <w:p>
      <w:pPr>
        <w:spacing w:after="11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Each source was verified directly against its repository metadata and official documentation rather than from a summary: licence identifier, archive status, last activity and internal structure. Where a source cannot be used, the reason is recorded rather than worked around. Review date for all entries: July 2026. The register is re-verified before any commercial release.</w:t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2. Register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700"/>
        <w:gridCol w:w="3226"/>
      </w:tblGrid>
      <w:tr>
        <w:trPr>
          <w:tblHeader/>
        </w:trPr>
        <w:tc>
          <w:tcPr>
            <w:tcW w:type="dxa" w:w="22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9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Licence</w:t>
            </w:r>
          </w:p>
        </w:tc>
        <w:tc>
          <w:tcPr>
            <w:tcW w:type="dxa" w:w="17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 fitness platform (wger)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AGPL-3.0 or later; content data CC-BY-SA 3.0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Active, mature</w:t>
            </w:r>
          </w:p>
        </w:tc>
        <w:tc>
          <w:tcPr>
            <w:tcW w:type="dxa" w:w="3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ADOPT DATA AND DOMAIN MODEL ONLY. No source code. Network copyleft is incompatible with a commercial product (ADR-013)</w:t>
            </w:r>
          </w:p>
        </w:tc>
      </w:tr>
      <w:tr>
        <w:tc>
          <w:tcPr>
            <w:tcW w:type="dxa" w:w="2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Self-hosted workout tracker (lyftr)</w:t>
            </w:r>
          </w:p>
        </w:tc>
        <w:tc>
          <w:tcPr>
            <w:tcW w:type="dxa" w:w="19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7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32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ADOPT patterns; code reuse permitted with notice retained</w:t>
            </w:r>
          </w:p>
        </w:tc>
      </w:tr>
      <w:tr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Flow cytometry calibration library (FlowCal)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 but out of domain</w:t>
            </w:r>
          </w:p>
        </w:tc>
        <w:tc>
          <w:tcPr>
            <w:tcW w:type="dxa" w:w="3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REJECT. It calibrates cytometry instrument data and has no wellness, nutrition or fitness function</w:t>
            </w:r>
          </w:p>
        </w:tc>
      </w:tr>
      <w:tr>
        <w:tc>
          <w:tcPr>
            <w:tcW w:type="dxa" w:w="2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Multi-agent nutrition assistant (NourishBot)</w:t>
            </w:r>
          </w:p>
        </w:tc>
        <w:tc>
          <w:tcPr>
            <w:tcW w:type="dxa" w:w="19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Non-Commercial</w:t>
            </w:r>
          </w:p>
        </w:tc>
        <w:tc>
          <w:tcPr>
            <w:tcW w:type="dxa" w:w="17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32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REJECT CODE. Concept studied, reimplemented clean-room with deterministic arithmetic (ADR-015)</w:t>
            </w:r>
          </w:p>
        </w:tc>
      </w:tr>
      <w:tr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Calorie tracker backend (NutriCheck)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3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ADOPT patterns: external client layer, vision estimation lane, dual food data source</w:t>
            </w:r>
          </w:p>
        </w:tc>
      </w:tr>
      <w:tr>
        <w:tc>
          <w:tcPr>
            <w:tcW w:type="dxa" w:w="2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Diet assistant web application (DietGPT)</w:t>
            </w:r>
          </w:p>
        </w:tc>
        <w:tc>
          <w:tcPr>
            <w:tcW w:type="dxa" w:w="19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licence file, all rights reserved</w:t>
            </w:r>
          </w:p>
        </w:tc>
        <w:tc>
          <w:tcPr>
            <w:tcW w:type="dxa" w:w="17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32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REJECT CODE. Interface reference only</w:t>
            </w:r>
          </w:p>
        </w:tc>
      </w:tr>
      <w:tr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Platform function proxy samples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Archived; the platform feature itself retired September 2025</w:t>
            </w:r>
          </w:p>
        </w:tc>
        <w:tc>
          <w:tcPr>
            <w:tcW w:type="dxa" w:w="3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REJECT. Superseded by API Management (ADR-018)</w:t>
            </w:r>
          </w:p>
        </w:tc>
      </w:tr>
      <w:tr>
        <w:tc>
          <w:tcPr>
            <w:tcW w:type="dxa" w:w="2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gateway library (LiteLLM)</w:t>
            </w:r>
          </w:p>
        </w:tc>
        <w:tc>
          <w:tcPr>
            <w:tcW w:type="dxa" w:w="19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MIT, excluding a separately licensed enterprise directory</w:t>
            </w:r>
          </w:p>
        </w:tc>
        <w:tc>
          <w:tcPr>
            <w:tcW w:type="dxa" w:w="17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Very active</w:t>
            </w:r>
          </w:p>
        </w:tc>
        <w:tc>
          <w:tcPr>
            <w:tcW w:type="dxa" w:w="32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ADOPT as a core dependency, MIT core only (ADR-012)</w:t>
            </w:r>
          </w:p>
        </w:tc>
      </w:tr>
      <w:tr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Telegram Mini App SDK and template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Active; several sibling templates archived</w:t>
            </w:r>
          </w:p>
        </w:tc>
        <w:tc>
          <w:tcPr>
            <w:tcW w:type="dxa" w:w="3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ADOPT the active template and the maintained validation library (ADR-017)</w:t>
            </w:r>
          </w:p>
        </w:tc>
      </w:tr>
      <w:tr>
        <w:tc>
          <w:tcPr>
            <w:tcW w:type="dxa" w:w="2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Official platform documentation</w:t>
            </w:r>
          </w:p>
        </w:tc>
        <w:tc>
          <w:tcPr>
            <w:tcW w:type="dxa" w:w="19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7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Current</w:t>
            </w:r>
          </w:p>
        </w:tc>
        <w:tc>
          <w:tcPr>
            <w:tcW w:type="dxa" w:w="32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Normative reference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3. Obligations Accepted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Obligation</w:t>
            </w:r>
          </w:p>
        </w:tc>
        <w:tc>
          <w:tcPr>
            <w:tcW w:type="dxa" w:w="20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8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Discharge</w:t>
            </w:r>
          </w:p>
        </w:tc>
      </w:tr>
      <w:tr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Attribution and share-alike on exercise data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CC-BY-SA 3.0 content</w:t>
            </w:r>
          </w:p>
        </w:tc>
        <w:tc>
          <w:tcPr>
            <w:tcW w:type="dxa" w:w="48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Per-record licence fields retained; in-app credit on the exercise library screen; ATTRIBUTION file in the repository; derived data set kept share-alike</w:t>
            </w:r>
          </w:p>
        </w:tc>
      </w:tr>
      <w:tr>
        <w:tc>
          <w:tcPr>
            <w:tcW w:type="dxa" w:w="2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Preserve permissive copyright notices</w:t>
            </w:r>
          </w:p>
        </w:tc>
        <w:tc>
          <w:tcPr>
            <w:tcW w:type="dxa" w:w="2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MIT dependencies</w:t>
            </w:r>
          </w:p>
        </w:tc>
        <w:tc>
          <w:tcPr>
            <w:tcW w:type="dxa" w:w="48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THIRD_PARTY_NOTICES file updated whenever a dependency is added</w:t>
            </w:r>
          </w:p>
        </w:tc>
      </w:tr>
      <w:tr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non-commercial or unlicensed code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Rejected sources</w:t>
            </w:r>
          </w:p>
        </w:tc>
        <w:tc>
          <w:tcPr>
            <w:tcW w:type="dxa" w:w="48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files copied; concepts reimplemented independently; automated licence allowlist</w:t>
            </w:r>
          </w:p>
        </w:tc>
      </w:tr>
      <w:tr>
        <w:tc>
          <w:tcPr>
            <w:tcW w:type="dxa" w:w="2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strong-copyleft derivative</w:t>
            </w:r>
          </w:p>
        </w:tc>
        <w:tc>
          <w:tcPr>
            <w:tcW w:type="dxa" w:w="2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AGPL source</w:t>
            </w:r>
          </w:p>
        </w:tc>
        <w:tc>
          <w:tcPr>
            <w:tcW w:type="dxa" w:w="48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such code in the repository; no modified instance deployed</w:t>
            </w:r>
          </w:p>
        </w:tc>
      </w:tr>
      <w:tr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Respect food data terms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Composition and crowd-sourced databases</w:t>
            </w:r>
          </w:p>
        </w:tc>
        <w:tc>
          <w:tcPr>
            <w:tcW w:type="dxa" w:w="48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Terms confirmed at ingestion and recorded here; low-confidence records flagged in the interface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4. Standing Controls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No external code enters the repository until its licence is verified and a verdict is recorded here with a date.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Pipeline guard: the build fails if a banned proxy configuration file appears anywhere in the tree.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Pipeline guard: the build fails if a provider SDK is imported outside the designated integration module.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Pipeline guard: dependency licences are restricted to an allowlist of MIT, Apache-2.0, BSD and ISC.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The register is reviewed at the start of every sprint and before every release.</w:t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5. Capability Gained From This Evaluation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226"/>
      </w:tblGrid>
      <w:tr>
        <w:trPr>
          <w:tblHeader/>
        </w:trPr>
        <w:tc>
          <w:tcPr>
            <w:tcW w:type="dxa" w:w="36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2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Origin</w:t>
            </w:r>
          </w:p>
        </w:tc>
        <w:tc>
          <w:tcPr>
            <w:tcW w:type="dxa" w:w="22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Seeded exercise library with images and metadata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Licensed corpus plus seed pattern</w:t>
            </w:r>
          </w:p>
        </w:tc>
        <w:tc>
          <w:tcPr>
            <w:tcW w:type="dxa" w:w="2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</w:t>
            </w:r>
          </w:p>
        </w:tc>
      </w:tr>
      <w:tr>
        <w:tc>
          <w:tcPr>
            <w:tcW w:type="dxa" w:w="36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Iteration-indexed declarative progression</w:t>
            </w:r>
          </w:p>
        </w:tc>
        <w:tc>
          <w:tcPr>
            <w:tcW w:type="dxa" w:w="3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 platform domain model</w:t>
            </w:r>
          </w:p>
        </w:tc>
        <w:tc>
          <w:tcPr>
            <w:tcW w:type="dxa" w:w="22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</w:t>
            </w:r>
          </w:p>
        </w:tc>
      </w:tr>
      <w:tr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 envelope separated from per-set logs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 platform domain model</w:t>
            </w:r>
          </w:p>
        </w:tc>
        <w:tc>
          <w:tcPr>
            <w:tcW w:type="dxa" w:w="2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</w:t>
            </w:r>
          </w:p>
        </w:tc>
      </w:tr>
      <w:tr>
        <w:tc>
          <w:tcPr>
            <w:tcW w:type="dxa" w:w="36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Guided full-screen session mode with rest timer</w:t>
            </w:r>
          </w:p>
        </w:tc>
        <w:tc>
          <w:tcPr>
            <w:tcW w:type="dxa" w:w="3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Self-hosted tracker</w:t>
            </w:r>
          </w:p>
        </w:tc>
        <w:tc>
          <w:tcPr>
            <w:tcW w:type="dxa" w:w="22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</w:t>
            </w:r>
          </w:p>
        </w:tc>
      </w:tr>
      <w:tr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Barcode food scanning at zero AI cost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Self-hosted tracker plus open food database</w:t>
            </w:r>
          </w:p>
        </w:tc>
        <w:tc>
          <w:tcPr>
            <w:tcW w:type="dxa" w:w="2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</w:t>
            </w:r>
          </w:p>
        </w:tc>
      </w:tr>
      <w:tr>
        <w:tc>
          <w:tcPr>
            <w:tcW w:type="dxa" w:w="36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Dual food data source localised to Australia</w:t>
            </w:r>
          </w:p>
        </w:tc>
        <w:tc>
          <w:tcPr>
            <w:tcW w:type="dxa" w:w="3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Calorie tracker backend pattern</w:t>
            </w:r>
          </w:p>
        </w:tc>
        <w:tc>
          <w:tcPr>
            <w:tcW w:type="dxa" w:w="22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</w:t>
            </w:r>
          </w:p>
        </w:tc>
      </w:tr>
      <w:tr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Five-step pipeline with deterministic arithmetic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Concept studied, own design</w:t>
            </w:r>
          </w:p>
        </w:tc>
        <w:tc>
          <w:tcPr>
            <w:tcW w:type="dxa" w:w="2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</w:t>
            </w:r>
          </w:p>
        </w:tc>
      </w:tr>
      <w:tr>
        <w:tc>
          <w:tcPr>
            <w:tcW w:type="dxa" w:w="36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Gateway with fallbacks, cost tracking and per-tier budgets</w:t>
            </w:r>
          </w:p>
        </w:tc>
        <w:tc>
          <w:tcPr>
            <w:tcW w:type="dxa" w:w="3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gateway library</w:t>
            </w:r>
          </w:p>
        </w:tc>
        <w:tc>
          <w:tcPr>
            <w:tcW w:type="dxa" w:w="22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</w:t>
            </w:r>
          </w:p>
        </w:tc>
      </w:tr>
      <w:tr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Maintained launch data validation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Platform SDK</w:t>
            </w:r>
          </w:p>
        </w:tc>
        <w:tc>
          <w:tcPr>
            <w:tcW w:type="dxa" w:w="2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</w:t>
            </w:r>
          </w:p>
        </w:tc>
      </w:tr>
      <w:tr>
        <w:tc>
          <w:tcPr>
            <w:tcW w:type="dxa" w:w="36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Rotating single-use refresh tokens</w:t>
            </w:r>
          </w:p>
        </w:tc>
        <w:tc>
          <w:tcPr>
            <w:tcW w:type="dxa" w:w="3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Security lesson from an evaluated platform</w:t>
            </w:r>
          </w:p>
        </w:tc>
        <w:tc>
          <w:tcPr>
            <w:tcW w:type="dxa" w:w="22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672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672"/>
        <w:sz w:val="15"/>
        <w:szCs w:val="15"/>
      </w:rPr>
      <w:t xml:space="preserve">AquaZeroFit  |  AquaZero  |  NIT3003 Group 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832369395cfd7c02229296103a36accede6733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2026-07-29T03:21:19.608Z</dcterms:created>
  <dcterms:modified xsi:type="dcterms:W3CDTF">2026-07-29T03:21:19.608Z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