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900"/>
        <w:jc w:val="center"/>
      </w:pPr>
      <w:r>
        <w:drawing>
          <wp:inline distT="0" distB="0" distL="0" distR="0">
            <wp:extent cx="314325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21C0DA"/>
          <w:sz w:val="20"/>
          <w:szCs w:val="20"/>
        </w:rPr>
        <w:t xml:space="preserve">AQF-13</w:t>
      </w:r>
    </w:p>
    <w:p>
      <w:pPr>
        <w:spacing w:after="120"/>
        <w:jc w:val="center"/>
      </w:pPr>
      <w:r>
        <w:rPr>
          <w:b/>
          <w:bCs/>
          <w:color w:val="0B2233"/>
          <w:sz w:val="40"/>
          <w:szCs w:val="40"/>
        </w:rPr>
        <w:t xml:space="preserve">Technical Implementation Document</w:t>
      </w:r>
    </w:p>
    <w:p>
      <w:pPr>
        <w:spacing w:after="400"/>
        <w:jc w:val="center"/>
      </w:pPr>
      <w:r>
        <w:rPr>
          <w:color w:val="5A6672"/>
          <w:sz w:val="22"/>
          <w:szCs w:val="22"/>
        </w:rPr>
        <w:t xml:space="preserve">Repository, environment setup, build sequence and implementation evidence</w:t>
      </w:r>
    </w:p>
    <w:p>
      <w:pPr>
        <w:jc w:val="center"/>
      </w:pPr>
      <w:r>
        <w:rPr>
          <w:b/>
          <w:bCs/>
          <w:color w:val="0A8CAB"/>
          <w:sz w:val="20"/>
          <w:szCs w:val="20"/>
        </w:rPr>
        <w:t xml:space="preserve">AquaZeroFit, an AquaZero product</w:t>
      </w:r>
    </w:p>
    <w:p>
      <w:pPr>
        <w:spacing w:after="60"/>
        <w:jc w:val="center"/>
      </w:pPr>
      <w:r>
        <w:rPr>
          <w:color w:val="5A6672"/>
          <w:sz w:val="19"/>
          <w:szCs w:val="19"/>
        </w:rPr>
        <w:t xml:space="preserve">NIT3003 IT Capstone Project, Project 5</w:t>
      </w:r>
    </w:p>
    <w:p>
      <w:pPr>
        <w:jc w:val="center"/>
      </w:pPr>
      <w:r>
        <w:rPr>
          <w:color w:val="5A6672"/>
          <w:sz w:val="19"/>
          <w:szCs w:val="19"/>
        </w:rPr>
        <w:t xml:space="preserve">Group 15, Victoria University, Melbourne, Australia</w:t>
      </w:r>
    </w:p>
    <w:p>
      <w:pPr>
        <w:spacing w:before="240"/>
        <w:jc w:val="center"/>
      </w:pPr>
      <w:r>
        <w:rPr>
          <w:color w:val="5A6672"/>
          <w:sz w:val="18"/>
          <w:szCs w:val="18"/>
        </w:rPr>
        <w:t xml:space="preserve">Version 2.0, July 2026</w:t>
      </w:r>
    </w:p>
    <w:p>
      <w:r>
        <w:br w:type="page"/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AQF-13 Technical Implementation Document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 (AquaZeroFit rebrand, diagrams added)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 how the design was actually built: the repository layout, the tooling, the build order, and where the evidence of each implemented requirement lives.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 Williams-Fulwood, Technical Lead and Software Architect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Contributors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Eric La (Frontend), Victor Hong (Data and Quality)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[To be completed by the team]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Draft for supervisor review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Change history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v1.0 initial draft as VitalAI. v2.0 rebranded to AquaZeroFit, diagrams added, roles assigned, sequencing applied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1. Technology Stack as Implemented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626"/>
      </w:tblGrid>
      <w:tr>
        <w:trPr>
          <w:tblHeader/>
        </w:trPr>
        <w:tc>
          <w:tcPr>
            <w:tcW w:type="dxa" w:w="15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9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6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 reference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 18, TypeScript, Vite, official Telegram Mini App template</w:t>
            </w:r>
          </w:p>
        </w:tc>
        <w:tc>
          <w:tcPr>
            <w:tcW w:type="dxa" w:w="36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ADR-001, ADR-017</w:t>
            </w:r>
          </w:p>
        </w:tc>
      </w:tr>
      <w:tr>
        <w:tc>
          <w:tcPr>
            <w:tcW w:type="dxa" w:w="15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Styling</w:t>
            </w:r>
          </w:p>
        </w:tc>
        <w:tc>
          <w:tcPr>
            <w:tcW w:type="dxa" w:w="3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Utility CSS mapped to AquaZero design tokens; Telegram theme variables bound in the Mini App branch</w:t>
            </w:r>
          </w:p>
        </w:tc>
        <w:tc>
          <w:tcPr>
            <w:tcW w:type="dxa" w:w="36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AQF-09 section 4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Azure Functions, Node.js, TypeScript</w:t>
            </w:r>
          </w:p>
        </w:tc>
        <w:tc>
          <w:tcPr>
            <w:tcW w:type="dxa" w:w="36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ADR-002</w:t>
            </w:r>
          </w:p>
        </w:tc>
      </w:tr>
      <w:tr>
        <w:tc>
          <w:tcPr>
            <w:tcW w:type="dxa" w:w="15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3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Azure Cosmos DB, free tier</w:t>
            </w:r>
          </w:p>
        </w:tc>
        <w:tc>
          <w:tcPr>
            <w:tcW w:type="dxa" w:w="36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ADR-003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Storage and queue</w:t>
            </w:r>
          </w:p>
        </w:tc>
        <w:tc>
          <w:tcPr>
            <w:tcW w:type="dxa" w:w="3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Azure Blob Storage, Azure Storage Queue</w:t>
            </w:r>
          </w:p>
        </w:tc>
        <w:tc>
          <w:tcPr>
            <w:tcW w:type="dxa" w:w="36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ADR-008</w:t>
            </w:r>
          </w:p>
        </w:tc>
      </w:tr>
      <w:tr>
        <w:tc>
          <w:tcPr>
            <w:tcW w:type="dxa" w:w="15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gateway</w:t>
            </w:r>
          </w:p>
        </w:tc>
        <w:tc>
          <w:tcPr>
            <w:tcW w:type="dxa" w:w="3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Gateway proxy container on Azure Container Apps</w:t>
            </w:r>
          </w:p>
        </w:tc>
        <w:tc>
          <w:tcPr>
            <w:tcW w:type="dxa" w:w="36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ADR-004, ADR-012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Providers</w:t>
            </w:r>
          </w:p>
        </w:tc>
        <w:tc>
          <w:tcPr>
            <w:tcW w:type="dxa" w:w="3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Groq, Gemini, Ollama Cloud, NVIDIA</w:t>
            </w:r>
          </w:p>
        </w:tc>
        <w:tc>
          <w:tcPr>
            <w:tcW w:type="dxa" w:w="36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ADR-005</w:t>
            </w:r>
          </w:p>
        </w:tc>
      </w:tr>
      <w:tr>
        <w:tc>
          <w:tcPr>
            <w:tcW w:type="dxa" w:w="15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Retrieval</w:t>
            </w:r>
          </w:p>
        </w:tc>
        <w:tc>
          <w:tcPr>
            <w:tcW w:type="dxa" w:w="3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Azure AI Search, free tier</w:t>
            </w:r>
          </w:p>
        </w:tc>
        <w:tc>
          <w:tcPr>
            <w:tcW w:type="dxa" w:w="36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AQF-04 section 3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Secrets</w:t>
            </w:r>
          </w:p>
        </w:tc>
        <w:tc>
          <w:tcPr>
            <w:tcW w:type="dxa" w:w="3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Azure Key Vault with Managed Identity</w:t>
            </w:r>
          </w:p>
        </w:tc>
        <w:tc>
          <w:tcPr>
            <w:tcW w:type="dxa" w:w="36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ADR-006</w:t>
            </w:r>
          </w:p>
        </w:tc>
      </w:tr>
      <w:tr>
        <w:tc>
          <w:tcPr>
            <w:tcW w:type="dxa" w:w="15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39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Bicep templates, pipeline deployed with federated credentials</w:t>
            </w:r>
          </w:p>
        </w:tc>
        <w:tc>
          <w:tcPr>
            <w:tcW w:type="dxa" w:w="36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ADR-010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Application Insights and Azure Monitor</w:t>
            </w:r>
          </w:p>
        </w:tc>
        <w:tc>
          <w:tcPr>
            <w:tcW w:type="dxa" w:w="36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AQF-10 section 4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2. Repository Layout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/apps/web            React application, both delivery targets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/apps/api            Azure Functions, service modules and jobs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/packages/shared     Types, validation schemas, generated API client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/infra               Bicep templates and parameter files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/prompts             Versioned prompt files, one per prompt identifier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/evals               Evaluation sets and the runner used as a pipeline gate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/scripts             Seeding and migration scripts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/docs                This document set, UML sources, traceability matrix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/content             ATTRIBUTION.md and licensed content notes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THIRD_PARTY_NOTICES.md, README.md, CHANGELOG.md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3. Environment Setup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3.1 Prerequisites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Node.js LTS and a package manager, Azure CLI, Bicep, Docker for the gateway container, Git.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An Azure for Students subscription for the project, with a second member's subscription held as a cold spare.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Access to the four AI provider accounts and a Telegram bot token obtained from the platform bot manager.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3.2 First-time provisioning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Authenticate with the Azure CLI and select the project subscription.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Deploy the infrastructure template, which creates both resource groups and every service including budgets and policy assignments.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Populate the vault with the provider keys, the bot token and the signing key. Names are canonical and are listed in AQF-15.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Grant the Functions and gateway identities read access to the vault and verify with the health endpoint, which lists secret names only.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Run the seeding scripts for the exercise corpus and the food composition data, recording the ingested record counts.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Register the deployed frontend URL with the platform bot manager so the Mini App launches against the correct environment.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3.3 Local development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npm install                # workspace install at the repository root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npm run dev                # web target in a browser, Telegram environment mocked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npm run dev:https          # local TLS, required for a real Telegram launch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npm run api                # Functions host locally against development resources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npm run seed:exercises     # populate the content container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npm run seed:foods         # populate the food composition data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npm run test               # unit and integration suites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npm run eval               # AI evaluation sets, the same runner the pipeline uses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4. Build Sequence</w:t>
      </w:r>
    </w:p>
    <w:p>
      <w:pPr>
        <w:spacing w:after="11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Work is implemented in dependency order so that no module is blocked waiting on an unbuilt dependency. This ordering is the basis of the sprint plan.</w:t>
      </w:r>
    </w:p>
    <w:p>
      <w:pPr>
        <w:spacing w:after="40" w:before="140"/>
        <w:jc w:val="center"/>
      </w:pPr>
      <w:r>
        <w:drawing>
          <wp:inline distT="0" distB="0" distL="0" distR="0">
            <wp:extent cx="43815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672"/>
          <w:sz w:val="17"/>
          <w:szCs w:val="17"/>
        </w:rPr>
        <w:t xml:space="preserve">Figure 13.1: Implementation sequence across the semester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2400"/>
        <w:gridCol w:w="2526"/>
      </w:tblGrid>
      <w:tr>
        <w:trPr>
          <w:tblHeader/>
        </w:trPr>
        <w:tc>
          <w:tcPr>
            <w:tcW w:type="dxa" w:w="7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34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</w:t>
            </w:r>
          </w:p>
        </w:tc>
        <w:tc>
          <w:tcPr>
            <w:tcW w:type="dxa" w:w="24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5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Repository, pipeline, infrastructure template, governance and access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Charter approved</w:t>
            </w:r>
          </w:p>
        </w:tc>
        <w:tc>
          <w:tcPr>
            <w:tcW w:type="dxa" w:w="2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</w:t>
            </w:r>
          </w:p>
        </w:tc>
      </w:tr>
      <w:tr>
        <w:tc>
          <w:tcPr>
            <w:tcW w:type="dxa" w:w="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Authentication for both paths, token service, session model</w:t>
            </w:r>
          </w:p>
        </w:tc>
        <w:tc>
          <w:tcPr>
            <w:tcW w:type="dxa" w:w="2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Infrastructure live</w:t>
            </w:r>
          </w:p>
        </w:tc>
        <w:tc>
          <w:tcPr>
            <w:tcW w:type="dxa" w:w="25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</w:t>
            </w:r>
          </w:p>
        </w:tc>
      </w:tr>
      <w:tr>
        <w:tc>
          <w:tcPr>
            <w:tcW w:type="dxa" w:w="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Profile capture and target derivation with safety clamp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</w:t>
            </w:r>
          </w:p>
        </w:tc>
      </w:tr>
      <w:tr>
        <w:tc>
          <w:tcPr>
            <w:tcW w:type="dxa" w:w="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Design system implementation and application shell for both targets</w:t>
            </w:r>
          </w:p>
        </w:tc>
        <w:tc>
          <w:tcPr>
            <w:tcW w:type="dxa" w:w="2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contract frozen</w:t>
            </w:r>
          </w:p>
        </w:tc>
        <w:tc>
          <w:tcPr>
            <w:tcW w:type="dxa" w:w="25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Eric</w:t>
            </w:r>
          </w:p>
        </w:tc>
      </w:tr>
      <w:tr>
        <w:tc>
          <w:tcPr>
            <w:tcW w:type="dxa" w:w="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Content ingestion: exercise corpus and food composition data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Database provisioned</w:t>
            </w:r>
          </w:p>
        </w:tc>
        <w:tc>
          <w:tcPr>
            <w:tcW w:type="dxa" w:w="2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Victor</w:t>
            </w:r>
          </w:p>
        </w:tc>
      </w:tr>
      <w:tr>
        <w:tc>
          <w:tcPr>
            <w:tcW w:type="dxa" w:w="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 food logging and nutrition dashboard</w:t>
            </w:r>
          </w:p>
        </w:tc>
        <w:tc>
          <w:tcPr>
            <w:tcW w:type="dxa" w:w="2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Profile and content</w:t>
            </w:r>
          </w:p>
        </w:tc>
        <w:tc>
          <w:tcPr>
            <w:tcW w:type="dxa" w:w="25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 and Eric</w:t>
            </w:r>
          </w:p>
        </w:tc>
      </w:tr>
      <w:tr>
        <w:tc>
          <w:tcPr>
            <w:tcW w:type="dxa" w:w="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Gateway container, provider configuration and guardrails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Vault populated</w:t>
            </w:r>
          </w:p>
        </w:tc>
        <w:tc>
          <w:tcPr>
            <w:tcW w:type="dxa" w:w="2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</w:t>
            </w:r>
          </w:p>
        </w:tc>
      </w:tr>
      <w:tr>
        <w:tc>
          <w:tcPr>
            <w:tcW w:type="dxa" w:w="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Vision pipeline: upload, queue, inference, mapping, confirmation</w:t>
            </w:r>
          </w:p>
        </w:tc>
        <w:tc>
          <w:tcPr>
            <w:tcW w:type="dxa" w:w="2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Gateway and content</w:t>
            </w:r>
          </w:p>
        </w:tc>
        <w:tc>
          <w:tcPr>
            <w:tcW w:type="dxa" w:w="25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 and Eric</w:t>
            </w:r>
          </w:p>
        </w:tc>
      </w:tr>
      <w:tr>
        <w:tc>
          <w:tcPr>
            <w:tcW w:type="dxa" w:w="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Recommendation and training plan generation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Gateway and targets</w:t>
            </w:r>
          </w:p>
        </w:tc>
        <w:tc>
          <w:tcPr>
            <w:tcW w:type="dxa" w:w="2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</w:t>
            </w:r>
          </w:p>
        </w:tc>
      </w:tr>
      <w:tr>
        <w:tc>
          <w:tcPr>
            <w:tcW w:type="dxa" w:w="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Training screens and guided session mode</w:t>
            </w:r>
          </w:p>
        </w:tc>
        <w:tc>
          <w:tcPr>
            <w:tcW w:type="dxa" w:w="2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 generation</w:t>
            </w:r>
          </w:p>
        </w:tc>
        <w:tc>
          <w:tcPr>
            <w:tcW w:type="dxa" w:w="25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Eric</w:t>
            </w:r>
          </w:p>
        </w:tc>
      </w:tr>
      <w:tr>
        <w:tc>
          <w:tcPr>
            <w:tcW w:type="dxa" w:w="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Progress, achievements and analytics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Logging and training</w:t>
            </w:r>
          </w:p>
        </w:tc>
        <w:tc>
          <w:tcPr>
            <w:tcW w:type="dxa" w:w="2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 and Eric</w:t>
            </w:r>
          </w:p>
        </w:tc>
      </w:tr>
      <w:tr>
        <w:tc>
          <w:tcPr>
            <w:tcW w:type="dxa" w:w="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Assistant with tool calls and full guardrail chain</w:t>
            </w:r>
          </w:p>
        </w:tc>
        <w:tc>
          <w:tcPr>
            <w:tcW w:type="dxa" w:w="2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25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</w:t>
            </w:r>
          </w:p>
        </w:tc>
      </w:tr>
      <w:tr>
        <w:tc>
          <w:tcPr>
            <w:tcW w:type="dxa" w:w="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Privacy controls: consent, export, deletion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data stores</w:t>
            </w:r>
          </w:p>
        </w:tc>
        <w:tc>
          <w:tcPr>
            <w:tcW w:type="dxa" w:w="2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 and Victor</w:t>
            </w:r>
          </w:p>
        </w:tc>
      </w:tr>
      <w:tr>
        <w:tc>
          <w:tcPr>
            <w:tcW w:type="dxa" w:w="7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 execution, evidence capture, defect closure</w:t>
            </w:r>
          </w:p>
        </w:tc>
        <w:tc>
          <w:tcPr>
            <w:tcW w:type="dxa" w:w="2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Features complete</w:t>
            </w:r>
          </w:p>
        </w:tc>
        <w:tc>
          <w:tcPr>
            <w:tcW w:type="dxa" w:w="25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Victor</w:t>
            </w:r>
          </w:p>
        </w:tc>
      </w:tr>
      <w:tr>
        <w:tc>
          <w:tcPr>
            <w:tcW w:type="dxa" w:w="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Mini App polish, bot registration, demonstration rehearsal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Everything above</w:t>
            </w:r>
          </w:p>
        </w:tc>
        <w:tc>
          <w:tcPr>
            <w:tcW w:type="dxa" w:w="2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5. Implementation Notes and Deviations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4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 library</w:t>
            </w:r>
          </w:p>
        </w:tc>
        <w:tc>
          <w:tcPr>
            <w:tcW w:type="dxa" w:w="7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Launch data validation uses the maintained library rather than hand-rolled cryptography. The specification in AQF-09 remains the basis of our own test vectors, which we still author and own</w:t>
            </w:r>
          </w:p>
        </w:tc>
      </w:tr>
      <w:tr>
        <w:tc>
          <w:tcPr>
            <w:tcW w:type="dxa" w:w="16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Gateway deployment</w:t>
            </w:r>
          </w:p>
        </w:tc>
        <w:tc>
          <w:tcPr>
            <w:tcW w:type="dxa" w:w="7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gateway runs as a container rather than as an in-process library because the backend is TypeScript and the library is Python. This kept the codebase in one language</w:t>
            </w:r>
          </w:p>
        </w:tc>
      </w:tr>
      <w:tr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Arithmetic</w:t>
            </w:r>
          </w:p>
        </w:tc>
        <w:tc>
          <w:tcPr>
            <w:tcW w:type="dxa" w:w="7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Calorie and macronutrient computation was moved out of the model and into code after evaluating an alternative design that let the model estimate. The result is reproducible and cheaper</w:t>
            </w:r>
          </w:p>
        </w:tc>
      </w:tr>
      <w:tr>
        <w:tc>
          <w:tcPr>
            <w:tcW w:type="dxa" w:w="16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Banned artefact</w:t>
            </w:r>
          </w:p>
        </w:tc>
        <w:tc>
          <w:tcPr>
            <w:tcW w:type="dxa" w:w="7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proxy configuration file exists in the repository; a pipeline guard enforces this after the evaluated sample was found to rely on a retired platform feature</w:t>
            </w:r>
          </w:p>
        </w:tc>
      </w:tr>
      <w:tr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Deferred</w:t>
            </w:r>
          </w:p>
        </w:tc>
        <w:tc>
          <w:tcPr>
            <w:tcW w:type="dxa" w:w="7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Wearable synchronisation, native applications, live payments and multi-language support are documented as future work rather than partially built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6. Evidence Index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 area</w:t>
            </w:r>
          </w:p>
        </w:tc>
        <w:tc>
          <w:tcPr>
            <w:tcW w:type="dxa" w:w="64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 location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Authentication and profile</w:t>
            </w:r>
          </w:p>
        </w:tc>
        <w:tc>
          <w:tcPr>
            <w:tcW w:type="dxa" w:w="6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tests for the validator and target calculator; demonstration of registration through to first plan</w:t>
            </w:r>
          </w:p>
        </w:tc>
      </w:tr>
      <w:tr>
        <w:tc>
          <w:tcPr>
            <w:tcW w:type="dxa" w:w="26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Food logging and recognition</w:t>
            </w:r>
          </w:p>
        </w:tc>
        <w:tc>
          <w:tcPr>
            <w:tcW w:type="dxa" w:w="6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Integration tests; recorded photograph-to-log walkthrough; correction rate in telemetry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Recommendations and training</w:t>
            </w:r>
          </w:p>
        </w:tc>
        <w:tc>
          <w:tcPr>
            <w:tcW w:type="dxa" w:w="6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Evaluation run output with rubric scores; generated plan samples in the repository</w:t>
            </w:r>
          </w:p>
        </w:tc>
      </w:tr>
      <w:tr>
        <w:tc>
          <w:tcPr>
            <w:tcW w:type="dxa" w:w="26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Progress and achievements</w:t>
            </w:r>
          </w:p>
        </w:tc>
        <w:tc>
          <w:tcPr>
            <w:tcW w:type="dxa" w:w="6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Integration tests against seeded histories; dashboard screenshots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Assistant and safety</w:t>
            </w:r>
          </w:p>
        </w:tc>
        <w:tc>
          <w:tcPr>
            <w:tcW w:type="dxa" w:w="6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Adversarial evaluation report with pass rates; guardrail trigger telemetry</w:t>
            </w:r>
          </w:p>
        </w:tc>
      </w:tr>
      <w:tr>
        <w:tc>
          <w:tcPr>
            <w:tcW w:type="dxa" w:w="26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Privacy controls</w:t>
            </w:r>
          </w:p>
        </w:tc>
        <w:tc>
          <w:tcPr>
            <w:tcW w:type="dxa" w:w="64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 archive sample and deletion verification record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Infrastructure and pipeline</w:t>
            </w:r>
          </w:p>
        </w:tc>
        <w:tc>
          <w:tcPr>
            <w:tcW w:type="dxa" w:w="6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Bicep templates, pipeline run history, cost report from the portal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672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672"/>
        <w:sz w:val="15"/>
        <w:szCs w:val="15"/>
      </w:rPr>
      <w:t xml:space="preserve">AquaZeroFit  |  AquaZero  |  NIT3003 Group 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832369395cfd7c02229296103a36accede67334.png"/><Relationship Id="rId10" Type="http://schemas.openxmlformats.org/officeDocument/2006/relationships/image" Target="media/106c83c33b1f6149646a174745cf12ecd59a607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2026-07-29T03:21:19.676Z</dcterms:created>
  <dcterms:modified xsi:type="dcterms:W3CDTF">2026-07-29T03:21:19.676Z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