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31432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2257425"/>
                    </a:xfrm>
                    <a:prstGeom prst="rect">
                      <a:avLst/>
                    </a:prstGeom>
                  </pic:spPr>
                </pic:pic>
              </a:graphicData>
            </a:graphic>
          </wp:inline>
        </w:drawing>
      </w:r>
    </w:p>
    <w:p>
      <w:pPr>
        <w:spacing w:after="80"/>
        <w:jc w:val="center"/>
      </w:pPr>
      <w:r>
        <w:rPr>
          <w:b/>
          <w:bCs/>
          <w:color w:val="21C0DA"/>
          <w:sz w:val="20"/>
          <w:szCs w:val="20"/>
        </w:rPr>
        <w:t xml:space="preserve">AQF-19</w:t>
      </w:r>
    </w:p>
    <w:p>
      <w:pPr>
        <w:spacing w:after="120"/>
        <w:jc w:val="center"/>
      </w:pPr>
      <w:r>
        <w:rPr>
          <w:b/>
          <w:bCs/>
          <w:color w:val="0B2233"/>
          <w:sz w:val="40"/>
          <w:szCs w:val="40"/>
        </w:rPr>
        <w:t xml:space="preserve">Final Report</w:t>
      </w:r>
    </w:p>
    <w:p>
      <w:pPr>
        <w:spacing w:after="400"/>
        <w:jc w:val="center"/>
      </w:pPr>
      <w:r>
        <w:rPr>
          <w:color w:val="5A6672"/>
          <w:sz w:val="22"/>
          <w:szCs w:val="22"/>
        </w:rPr>
        <w:t xml:space="preserve">Scope review, requirements outcome, architecture, challenges and contributions</w:t>
      </w:r>
    </w:p>
    <w:p>
      <w:pPr>
        <w:jc w:val="center"/>
      </w:pPr>
      <w:r>
        <w:rPr>
          <w:b/>
          <w:bCs/>
          <w:color w:val="0A8CAB"/>
          <w:sz w:val="20"/>
          <w:szCs w:val="20"/>
        </w:rPr>
        <w:t xml:space="preserve">AquaZeroFit, an AquaZero product</w:t>
      </w:r>
    </w:p>
    <w:p>
      <w:pPr>
        <w:spacing w:after="60"/>
        <w:jc w:val="center"/>
      </w:pPr>
      <w:r>
        <w:rPr>
          <w:color w:val="5A6672"/>
          <w:sz w:val="19"/>
          <w:szCs w:val="19"/>
        </w:rPr>
        <w:t xml:space="preserve">NIT3003 IT Capstone Project, Project 5</w:t>
      </w:r>
    </w:p>
    <w:p>
      <w:pPr>
        <w:jc w:val="center"/>
      </w:pPr>
      <w:r>
        <w:rPr>
          <w:color w:val="5A6672"/>
          <w:sz w:val="19"/>
          <w:szCs w:val="19"/>
        </w:rPr>
        <w:t xml:space="preserve">Group 15, Victoria University, Melbourne, Australia</w:t>
      </w:r>
    </w:p>
    <w:p>
      <w:pPr>
        <w:spacing w:before="240"/>
        <w:jc w:val="center"/>
      </w:pPr>
      <w:r>
        <w:rPr>
          <w:color w:val="5A6672"/>
          <w:sz w:val="18"/>
          <w:szCs w:val="18"/>
        </w:rPr>
        <w:t xml:space="preserve">Version 2.0, July 2026</w:t>
      </w:r>
    </w:p>
    <w:p>
      <w:r>
        <w:br w:type="page"/>
      </w:r>
    </w:p>
    <w:p>
      <w:pPr>
        <w:pStyle w:val="Heading1"/>
        <w:pBdr>
          <w:bottom w:val="single" w:color="21C0DA" w:sz="6"/>
        </w:pBdr>
        <w:spacing w:after="140" w:before="300"/>
      </w:pPr>
      <w:r>
        <w:rPr>
          <w:b/>
          <w:bCs/>
          <w:color w:val="0B2233"/>
          <w:sz w:val="30"/>
          <w:szCs w:val="30"/>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0B2233" w:val="clear"/>
            <w:tcMar>
              <w:top w:type="dxa" w:w="55"/>
              <w:left w:type="dxa" w:w="90"/>
              <w:bottom w:type="dxa" w:w="55"/>
              <w:right w:type="dxa" w:w="90"/>
            </w:tcMar>
          </w:tcPr>
          <w:p>
            <w:r>
              <w:rPr>
                <w:b/>
                <w:bCs/>
                <w:color w:val="FFFFFF"/>
                <w:sz w:val="18"/>
                <w:szCs w:val="18"/>
              </w:rPr>
              <w:t xml:space="preserve">Field</w:t>
            </w:r>
          </w:p>
        </w:tc>
        <w:tc>
          <w:tcPr>
            <w:tcW w:type="dxa" w:w="6926"/>
            <w:shd w:fill="0B2233" w:val="clear"/>
            <w:tcMar>
              <w:top w:type="dxa" w:w="55"/>
              <w:left w:type="dxa" w:w="90"/>
              <w:bottom w:type="dxa" w:w="55"/>
              <w:right w:type="dxa" w:w="90"/>
            </w:tcMar>
          </w:tcPr>
          <w:p>
            <w:r>
              <w:rPr>
                <w:b/>
                <w:bCs/>
                <w:color w:val="FFFFFF"/>
                <w:sz w:val="18"/>
                <w:szCs w:val="18"/>
              </w:rPr>
              <w:t xml:space="preserve">Detail</w:t>
            </w:r>
          </w:p>
        </w:tc>
      </w:tr>
      <w:tr>
        <w:tc>
          <w:tcPr>
            <w:tcW w:type="dxa" w:w="2100"/>
            <w:tcMar>
              <w:top w:type="dxa" w:w="55"/>
              <w:left w:type="dxa" w:w="90"/>
              <w:bottom w:type="dxa" w:w="55"/>
              <w:right w:type="dxa" w:w="90"/>
            </w:tcMar>
          </w:tcPr>
          <w:p>
            <w:r>
              <w:rPr>
                <w:b w:val="false"/>
                <w:bCs w:val="false"/>
                <w:color w:val="000000"/>
                <w:sz w:val="18"/>
                <w:szCs w:val="18"/>
              </w:rPr>
              <w:t xml:space="preserve">Document</w:t>
            </w:r>
          </w:p>
        </w:tc>
        <w:tc>
          <w:tcPr>
            <w:tcW w:type="dxa" w:w="6926"/>
            <w:tcMar>
              <w:top w:type="dxa" w:w="55"/>
              <w:left w:type="dxa" w:w="90"/>
              <w:bottom w:type="dxa" w:w="55"/>
              <w:right w:type="dxa" w:w="90"/>
            </w:tcMar>
          </w:tcPr>
          <w:p>
            <w:r>
              <w:rPr>
                <w:b w:val="false"/>
                <w:bCs w:val="false"/>
                <w:color w:val="000000"/>
                <w:sz w:val="18"/>
                <w:szCs w:val="18"/>
              </w:rPr>
              <w:t xml:space="preserve">AQF-19 Final Report</w:t>
            </w:r>
          </w:p>
        </w:tc>
      </w:tr>
      <w:tr>
        <w:tc>
          <w:tcPr>
            <w:tcW w:type="dxa" w:w="2100"/>
            <w:shd w:fill="F4FAFC" w:val="clear"/>
            <w:tcMar>
              <w:top w:type="dxa" w:w="55"/>
              <w:left w:type="dxa" w:w="90"/>
              <w:bottom w:type="dxa" w:w="55"/>
              <w:right w:type="dxa" w:w="90"/>
            </w:tcMar>
          </w:tcPr>
          <w:p>
            <w:r>
              <w:rPr>
                <w:b w:val="false"/>
                <w:bCs w:val="false"/>
                <w:color w:val="000000"/>
                <w:sz w:val="18"/>
                <w:szCs w:val="18"/>
              </w:rPr>
              <w:t xml:space="preserve">Version</w:t>
            </w:r>
          </w:p>
        </w:tc>
        <w:tc>
          <w:tcPr>
            <w:tcW w:type="dxa" w:w="6926"/>
            <w:shd w:fill="F4FAFC" w:val="clear"/>
            <w:tcMar>
              <w:top w:type="dxa" w:w="55"/>
              <w:left w:type="dxa" w:w="90"/>
              <w:bottom w:type="dxa" w:w="55"/>
              <w:right w:type="dxa" w:w="90"/>
            </w:tcMar>
          </w:tcPr>
          <w:p>
            <w:r>
              <w:rPr>
                <w:b w:val="false"/>
                <w:bCs w:val="false"/>
                <w:color w:val="000000"/>
                <w:sz w:val="18"/>
                <w:szCs w:val="18"/>
              </w:rPr>
              <w:t xml:space="preserve">2.0 (AquaZeroFit rebrand, diagrams added)</w:t>
            </w:r>
          </w:p>
        </w:tc>
      </w:tr>
      <w:tr>
        <w:tc>
          <w:tcPr>
            <w:tcW w:type="dxa" w:w="2100"/>
            <w:tcMar>
              <w:top w:type="dxa" w:w="55"/>
              <w:left w:type="dxa" w:w="90"/>
              <w:bottom w:type="dxa" w:w="55"/>
              <w:right w:type="dxa" w:w="90"/>
            </w:tcMar>
          </w:tcPr>
          <w:p>
            <w:r>
              <w:rPr>
                <w:b w:val="false"/>
                <w:bCs w:val="false"/>
                <w:color w:val="000000"/>
                <w:sz w:val="18"/>
                <w:szCs w:val="18"/>
              </w:rPr>
              <w:t xml:space="preserve">Purpose</w:t>
            </w:r>
          </w:p>
        </w:tc>
        <w:tc>
          <w:tcPr>
            <w:tcW w:type="dxa" w:w="6926"/>
            <w:tcMar>
              <w:top w:type="dxa" w:w="55"/>
              <w:left w:type="dxa" w:w="90"/>
              <w:bottom w:type="dxa" w:w="55"/>
              <w:right w:type="dxa" w:w="90"/>
            </w:tcMar>
          </w:tcPr>
          <w:p>
            <w:r>
              <w:rPr>
                <w:b w:val="false"/>
                <w:bCs w:val="false"/>
                <w:color w:val="000000"/>
                <w:sz w:val="18"/>
                <w:szCs w:val="18"/>
              </w:rPr>
              <w:t xml:space="preserve">Present the completed project: what was built, how it meets the brief, what was learned, and what each member contributed.</w:t>
            </w:r>
          </w:p>
        </w:tc>
      </w:tr>
      <w:tr>
        <w:tc>
          <w:tcPr>
            <w:tcW w:type="dxa" w:w="2100"/>
            <w:shd w:fill="F4FAFC" w:val="clear"/>
            <w:tcMar>
              <w:top w:type="dxa" w:w="55"/>
              <w:left w:type="dxa" w:w="90"/>
              <w:bottom w:type="dxa" w:w="55"/>
              <w:right w:type="dxa" w:w="90"/>
            </w:tcMar>
          </w:tcPr>
          <w:p>
            <w:r>
              <w:rPr>
                <w:b w:val="false"/>
                <w:bCs w:val="false"/>
                <w:color w:val="000000"/>
                <w:sz w:val="18"/>
                <w:szCs w:val="18"/>
              </w:rPr>
              <w:t xml:space="preserve">Document owner</w:t>
            </w:r>
          </w:p>
        </w:tc>
        <w:tc>
          <w:tcPr>
            <w:tcW w:type="dxa" w:w="6926"/>
            <w:shd w:fill="F4FAFC" w:val="clear"/>
            <w:tcMar>
              <w:top w:type="dxa" w:w="55"/>
              <w:left w:type="dxa" w:w="90"/>
              <w:bottom w:type="dxa" w:w="55"/>
              <w:right w:type="dxa" w:w="90"/>
            </w:tcMar>
          </w:tcPr>
          <w:p>
            <w:r>
              <w:rPr>
                <w:b w:val="false"/>
                <w:bCs w:val="false"/>
                <w:color w:val="000000"/>
                <w:sz w:val="18"/>
                <w:szCs w:val="18"/>
              </w:rPr>
              <w:t xml:space="preserve">Babatundji Williams-Fulwood, Technical Lead and Software Architect</w:t>
            </w:r>
          </w:p>
        </w:tc>
      </w:tr>
      <w:tr>
        <w:tc>
          <w:tcPr>
            <w:tcW w:type="dxa" w:w="2100"/>
            <w:tcMar>
              <w:top w:type="dxa" w:w="55"/>
              <w:left w:type="dxa" w:w="90"/>
              <w:bottom w:type="dxa" w:w="55"/>
              <w:right w:type="dxa" w:w="90"/>
            </w:tcMar>
          </w:tcPr>
          <w:p>
            <w:r>
              <w:rPr>
                <w:b w:val="false"/>
                <w:bCs w:val="false"/>
                <w:color w:val="000000"/>
                <w:sz w:val="18"/>
                <w:szCs w:val="18"/>
              </w:rPr>
              <w:t xml:space="preserve">Contributors</w:t>
            </w:r>
          </w:p>
        </w:tc>
        <w:tc>
          <w:tcPr>
            <w:tcW w:type="dxa" w:w="6926"/>
            <w:tcMar>
              <w:top w:type="dxa" w:w="55"/>
              <w:left w:type="dxa" w:w="90"/>
              <w:bottom w:type="dxa" w:w="55"/>
              <w:right w:type="dxa" w:w="90"/>
            </w:tcMar>
          </w:tcPr>
          <w:p>
            <w:r>
              <w:rPr>
                <w:b w:val="false"/>
                <w:bCs w:val="false"/>
                <w:color w:val="000000"/>
                <w:sz w:val="18"/>
                <w:szCs w:val="18"/>
              </w:rPr>
              <w:t xml:space="preserve">Eric La (Frontend), Victor Hong (Data and Quality)</w:t>
            </w:r>
          </w:p>
        </w:tc>
      </w:tr>
      <w:tr>
        <w:tc>
          <w:tcPr>
            <w:tcW w:type="dxa" w:w="2100"/>
            <w:shd w:fill="F4FAFC" w:val="clear"/>
            <w:tcMar>
              <w:top w:type="dxa" w:w="55"/>
              <w:left w:type="dxa" w:w="90"/>
              <w:bottom w:type="dxa" w:w="55"/>
              <w:right w:type="dxa" w:w="90"/>
            </w:tcMar>
          </w:tcPr>
          <w:p>
            <w:r>
              <w:rPr>
                <w:b w:val="false"/>
                <w:bCs w:val="false"/>
                <w:color w:val="000000"/>
                <w:sz w:val="18"/>
                <w:szCs w:val="18"/>
              </w:rPr>
              <w:t xml:space="preserve">Supervisor</w:t>
            </w:r>
          </w:p>
        </w:tc>
        <w:tc>
          <w:tcPr>
            <w:tcW w:type="dxa" w:w="6926"/>
            <w:shd w:fill="F4FAFC" w:val="clear"/>
            <w:tcMar>
              <w:top w:type="dxa" w:w="55"/>
              <w:left w:type="dxa" w:w="90"/>
              <w:bottom w:type="dxa" w:w="55"/>
              <w:right w:type="dxa" w:w="90"/>
            </w:tcMar>
          </w:tcPr>
          <w:p>
            <w:r>
              <w:rPr>
                <w:b w:val="false"/>
                <w:bCs w:val="false"/>
                <w:color w:val="000000"/>
                <w:sz w:val="18"/>
                <w:szCs w:val="18"/>
              </w:rPr>
              <w:t xml:space="preserve">[To be completed by the team]</w:t>
            </w:r>
          </w:p>
        </w:tc>
      </w:tr>
      <w:tr>
        <w:tc>
          <w:tcPr>
            <w:tcW w:type="dxa" w:w="2100"/>
            <w:tcMar>
              <w:top w:type="dxa" w:w="55"/>
              <w:left w:type="dxa" w:w="90"/>
              <w:bottom w:type="dxa" w:w="55"/>
              <w:right w:type="dxa" w:w="90"/>
            </w:tcMar>
          </w:tcPr>
          <w:p>
            <w:r>
              <w:rPr>
                <w:b w:val="false"/>
                <w:bCs w:val="false"/>
                <w:color w:val="000000"/>
                <w:sz w:val="18"/>
                <w:szCs w:val="18"/>
              </w:rPr>
              <w:t xml:space="preserve">Status</w:t>
            </w:r>
          </w:p>
        </w:tc>
        <w:tc>
          <w:tcPr>
            <w:tcW w:type="dxa" w:w="6926"/>
            <w:tcMar>
              <w:top w:type="dxa" w:w="55"/>
              <w:left w:type="dxa" w:w="90"/>
              <w:bottom w:type="dxa" w:w="55"/>
              <w:right w:type="dxa" w:w="90"/>
            </w:tcMar>
          </w:tcPr>
          <w:p>
            <w:r>
              <w:rPr>
                <w:b w:val="false"/>
                <w:bCs w:val="false"/>
                <w:color w:val="000000"/>
                <w:sz w:val="18"/>
                <w:szCs w:val="18"/>
              </w:rPr>
              <w:t xml:space="preserve">Draft for supervisor review</w:t>
            </w:r>
          </w:p>
        </w:tc>
      </w:tr>
      <w:tr>
        <w:tc>
          <w:tcPr>
            <w:tcW w:type="dxa" w:w="2100"/>
            <w:shd w:fill="F4FAFC" w:val="clear"/>
            <w:tcMar>
              <w:top w:type="dxa" w:w="55"/>
              <w:left w:type="dxa" w:w="90"/>
              <w:bottom w:type="dxa" w:w="55"/>
              <w:right w:type="dxa" w:w="90"/>
            </w:tcMar>
          </w:tcPr>
          <w:p>
            <w:r>
              <w:rPr>
                <w:b w:val="false"/>
                <w:bCs w:val="false"/>
                <w:color w:val="000000"/>
                <w:sz w:val="18"/>
                <w:szCs w:val="18"/>
              </w:rPr>
              <w:t xml:space="preserve">Change history</w:t>
            </w:r>
          </w:p>
        </w:tc>
        <w:tc>
          <w:tcPr>
            <w:tcW w:type="dxa" w:w="6926"/>
            <w:shd w:fill="F4FAFC" w:val="clear"/>
            <w:tcMar>
              <w:top w:type="dxa" w:w="55"/>
              <w:left w:type="dxa" w:w="90"/>
              <w:bottom w:type="dxa" w:w="55"/>
              <w:right w:type="dxa" w:w="90"/>
            </w:tcMar>
          </w:tcPr>
          <w:p>
            <w:r>
              <w:rPr>
                <w:b w:val="false"/>
                <w:bCs w:val="false"/>
                <w:color w:val="000000"/>
                <w:sz w:val="18"/>
                <w:szCs w:val="18"/>
              </w:rPr>
              <w:t xml:space="preserve">v1.0 initial draft as VitalAI. v2.0 rebranded to AquaZeroFit, diagrams added, roles assigned, sequencing applied</w:t>
            </w:r>
          </w:p>
        </w:tc>
      </w:tr>
    </w:tbl>
    <w:p>
      <w:pPr>
        <w:pStyle w:val="Heading1"/>
        <w:pBdr>
          <w:bottom w:val="single" w:color="21C0DA" w:sz="6"/>
        </w:pBdr>
        <w:spacing w:after="140" w:before="300"/>
      </w:pPr>
      <w:r>
        <w:rPr>
          <w:b/>
          <w:bCs/>
          <w:color w:val="0B2233"/>
          <w:sz w:val="30"/>
          <w:szCs w:val="30"/>
        </w:rPr>
        <w:t xml:space="preserve">1. Introduction</w:t>
      </w:r>
    </w:p>
    <w:p>
      <w:pPr>
        <w:pStyle w:val="Heading2"/>
        <w:spacing w:after="100" w:before="220"/>
      </w:pPr>
      <w:r>
        <w:rPr>
          <w:b/>
          <w:bCs/>
          <w:color w:val="0A8CAB"/>
          <w:sz w:val="25"/>
          <w:szCs w:val="25"/>
        </w:rPr>
        <w:t xml:space="preserve">1.1 Project summary</w:t>
      </w:r>
    </w:p>
    <w:p>
      <w:pPr>
        <w:spacing w:after="110"/>
      </w:pPr>
      <w:r>
        <w:rPr>
          <w:b w:val="false"/>
          <w:bCs w:val="false"/>
          <w:i w:val="false"/>
          <w:iCs w:val="false"/>
          <w:color w:val="000000"/>
          <w:sz w:val="21"/>
          <w:szCs w:val="21"/>
        </w:rPr>
        <w:t xml:space="preserve">AquaZeroFit is an AI-powered wellness platform developed for Project 5 of the NIT3003 capstone. It helps users monitor nutrition, manage weight-loss goals and follow personalised home training plans. Users create a wellness profile, log meals manually or by photograph, and receive calorie targets, meal suggestions and daily workouts that adapt to measured progress. A conversational assistant provides guidance within enforced safety boundaries.</w:t>
      </w:r>
    </w:p>
    <w:p>
      <w:pPr>
        <w:spacing w:after="110"/>
      </w:pPr>
      <w:r>
        <w:rPr>
          <w:b w:val="false"/>
          <w:bCs w:val="false"/>
          <w:i w:val="false"/>
          <w:iCs w:val="false"/>
          <w:color w:val="000000"/>
          <w:sz w:val="21"/>
          <w:szCs w:val="21"/>
        </w:rPr>
        <w:t xml:space="preserve">The distinguishing decisions of this project were: delivering one codebase to both a web application and a Telegram Mini App; treating the AI layer as engineered infrastructure with a gateway, versioned prompts and evaluation gates rather than as prompt calls scattered through feature code; and treating safety as a coded control rather than a disclaimer.</w:t>
      </w:r>
    </w:p>
    <w:p>
      <w:pPr>
        <w:pStyle w:val="Heading2"/>
        <w:spacing w:after="100" w:before="220"/>
      </w:pPr>
      <w:r>
        <w:rPr>
          <w:b/>
          <w:bCs/>
          <w:color w:val="0A8CAB"/>
          <w:sz w:val="25"/>
          <w:szCs w:val="25"/>
        </w:rPr>
        <w:t xml:space="preserve">1.2 Scope review</w:t>
      </w:r>
    </w:p>
    <w:p>
      <w:pPr>
        <w:spacing w:after="110"/>
      </w:pPr>
      <w:r>
        <w:rPr>
          <w:b w:val="false"/>
          <w:bCs w:val="false"/>
          <w:i w:val="false"/>
          <w:iCs w:val="false"/>
          <w:color w:val="000000"/>
          <w:sz w:val="21"/>
          <w:szCs w:val="21"/>
        </w:rPr>
        <w:t xml:space="preserve">The delivered scope matches the charter. All ten functional requirement areas from the brief were implemented, and the eleventh, covering prompt bank, LLMOps, workflow, UML and design, is evidenced across this document set. Items deliberately excluded and documented as future work were wearable synchronisation, native mobile applications, live payments and multi-language support. Excluding them was a scope decision made early rather than a failure discovered late.</w:t>
      </w:r>
    </w:p>
    <w:p>
      <w:pPr>
        <w:pStyle w:val="Heading1"/>
        <w:pBdr>
          <w:bottom w:val="single" w:color="21C0DA" w:sz="6"/>
        </w:pBdr>
        <w:spacing w:after="140" w:before="300"/>
      </w:pPr>
      <w:r>
        <w:rPr>
          <w:b/>
          <w:bCs/>
          <w:color w:val="0B2233"/>
          <w:sz w:val="30"/>
          <w:szCs w:val="30"/>
        </w:rPr>
        <w:t xml:space="preserve">2. Requirements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426"/>
      </w:tblGrid>
      <w:tr>
        <w:trPr>
          <w:tblHeader/>
        </w:trPr>
        <w:tc>
          <w:tcPr>
            <w:tcW w:type="dxa" w:w="2400"/>
            <w:shd w:fill="0B2233" w:val="clear"/>
            <w:tcMar>
              <w:top w:type="dxa" w:w="55"/>
              <w:left w:type="dxa" w:w="90"/>
              <w:bottom w:type="dxa" w:w="55"/>
              <w:right w:type="dxa" w:w="90"/>
            </w:tcMar>
          </w:tcPr>
          <w:p>
            <w:r>
              <w:rPr>
                <w:b/>
                <w:bCs/>
                <w:color w:val="FFFFFF"/>
                <w:sz w:val="18"/>
                <w:szCs w:val="18"/>
              </w:rPr>
              <w:t xml:space="preserve">Brief requirement</w:t>
            </w:r>
          </w:p>
        </w:tc>
        <w:tc>
          <w:tcPr>
            <w:tcW w:type="dxa" w:w="1200"/>
            <w:shd w:fill="0B2233" w:val="clear"/>
            <w:tcMar>
              <w:top w:type="dxa" w:w="55"/>
              <w:left w:type="dxa" w:w="90"/>
              <w:bottom w:type="dxa" w:w="55"/>
              <w:right w:type="dxa" w:w="90"/>
            </w:tcMar>
          </w:tcPr>
          <w:p>
            <w:r>
              <w:rPr>
                <w:b/>
                <w:bCs/>
                <w:color w:val="FFFFFF"/>
                <w:sz w:val="18"/>
                <w:szCs w:val="18"/>
              </w:rPr>
              <w:t xml:space="preserve">Outcome</w:t>
            </w:r>
          </w:p>
        </w:tc>
        <w:tc>
          <w:tcPr>
            <w:tcW w:type="dxa" w:w="5426"/>
            <w:shd w:fill="0B2233" w:val="clear"/>
            <w:tcMar>
              <w:top w:type="dxa" w:w="55"/>
              <w:left w:type="dxa" w:w="90"/>
              <w:bottom w:type="dxa" w:w="55"/>
              <w:right w:type="dxa" w:w="90"/>
            </w:tcMar>
          </w:tcPr>
          <w:p>
            <w:r>
              <w:rPr>
                <w:b/>
                <w:bCs/>
                <w:color w:val="FFFFFF"/>
                <w:sz w:val="18"/>
                <w:szCs w:val="18"/>
              </w:rPr>
              <w:t xml:space="preserve">Evidence</w:t>
            </w:r>
          </w:p>
        </w:tc>
      </w:tr>
      <w:tr>
        <w:tc>
          <w:tcPr>
            <w:tcW w:type="dxa" w:w="2400"/>
            <w:tcMar>
              <w:top w:type="dxa" w:w="55"/>
              <w:left w:type="dxa" w:w="90"/>
              <w:bottom w:type="dxa" w:w="55"/>
              <w:right w:type="dxa" w:w="90"/>
            </w:tcMar>
          </w:tcPr>
          <w:p>
            <w:r>
              <w:rPr>
                <w:b w:val="false"/>
                <w:bCs w:val="false"/>
                <w:color w:val="000000"/>
                <w:sz w:val="18"/>
                <w:szCs w:val="18"/>
              </w:rPr>
              <w:t xml:space="preserve">1. Secure registration, authentication and profile</w:t>
            </w:r>
          </w:p>
        </w:tc>
        <w:tc>
          <w:tcPr>
            <w:tcW w:type="dxa" w:w="1200"/>
            <w:tcMar>
              <w:top w:type="dxa" w:w="55"/>
              <w:left w:type="dxa" w:w="90"/>
              <w:bottom w:type="dxa" w:w="55"/>
              <w:right w:type="dxa" w:w="90"/>
            </w:tcMar>
          </w:tcPr>
          <w:p>
            <w:r>
              <w:rPr>
                <w:b w:val="false"/>
                <w:bCs w:val="false"/>
                <w:color w:val="000000"/>
                <w:sz w:val="18"/>
                <w:szCs w:val="18"/>
              </w:rPr>
              <w:t xml:space="preserve">Delivered</w:t>
            </w:r>
          </w:p>
        </w:tc>
        <w:tc>
          <w:tcPr>
            <w:tcW w:type="dxa" w:w="5426"/>
            <w:tcMar>
              <w:top w:type="dxa" w:w="55"/>
              <w:left w:type="dxa" w:w="90"/>
              <w:bottom w:type="dxa" w:w="55"/>
              <w:right w:type="dxa" w:w="90"/>
            </w:tcMar>
          </w:tcPr>
          <w:p>
            <w:r>
              <w:rPr>
                <w:b w:val="false"/>
                <w:bCs w:val="false"/>
                <w:color w:val="000000"/>
                <w:sz w:val="18"/>
                <w:szCs w:val="18"/>
              </w:rPr>
              <w:t xml:space="preserve">Both authentication paths; rotating single-use refresh tokens; full branch coverage on the validator</w:t>
            </w:r>
          </w:p>
        </w:tc>
      </w:tr>
      <w:tr>
        <w:tc>
          <w:tcPr>
            <w:tcW w:type="dxa" w:w="2400"/>
            <w:shd w:fill="F4FAFC" w:val="clear"/>
            <w:tcMar>
              <w:top w:type="dxa" w:w="55"/>
              <w:left w:type="dxa" w:w="90"/>
              <w:bottom w:type="dxa" w:w="55"/>
              <w:right w:type="dxa" w:w="90"/>
            </w:tcMar>
          </w:tcPr>
          <w:p>
            <w:r>
              <w:rPr>
                <w:b w:val="false"/>
                <w:bCs w:val="false"/>
                <w:color w:val="000000"/>
                <w:sz w:val="18"/>
                <w:szCs w:val="18"/>
              </w:rPr>
              <w:t xml:space="preserve">2. Wellness profile</w:t>
            </w:r>
          </w:p>
        </w:tc>
        <w:tc>
          <w:tcPr>
            <w:tcW w:type="dxa" w:w="1200"/>
            <w:shd w:fill="F4FAFC" w:val="clear"/>
            <w:tcMar>
              <w:top w:type="dxa" w:w="55"/>
              <w:left w:type="dxa" w:w="90"/>
              <w:bottom w:type="dxa" w:w="55"/>
              <w:right w:type="dxa" w:w="90"/>
            </w:tcMar>
          </w:tcPr>
          <w:p>
            <w:r>
              <w:rPr>
                <w:b w:val="false"/>
                <w:bCs w:val="false"/>
                <w:color w:val="000000"/>
                <w:sz w:val="18"/>
                <w:szCs w:val="18"/>
              </w:rPr>
              <w:t xml:space="preserve">Delivered</w:t>
            </w:r>
          </w:p>
        </w:tc>
        <w:tc>
          <w:tcPr>
            <w:tcW w:type="dxa" w:w="5426"/>
            <w:shd w:fill="F4FAFC" w:val="clear"/>
            <w:tcMar>
              <w:top w:type="dxa" w:w="55"/>
              <w:left w:type="dxa" w:w="90"/>
              <w:bottom w:type="dxa" w:w="55"/>
              <w:right w:type="dxa" w:w="90"/>
            </w:tcMar>
          </w:tcPr>
          <w:p>
            <w:r>
              <w:rPr>
                <w:b w:val="false"/>
                <w:bCs w:val="false"/>
                <w:color w:val="000000"/>
                <w:sz w:val="18"/>
                <w:szCs w:val="18"/>
              </w:rPr>
              <w:t xml:space="preserve">Profile capture with safe-range validation; server-side target derivation</w:t>
            </w:r>
          </w:p>
        </w:tc>
      </w:tr>
      <w:tr>
        <w:tc>
          <w:tcPr>
            <w:tcW w:type="dxa" w:w="2400"/>
            <w:tcMar>
              <w:top w:type="dxa" w:w="55"/>
              <w:left w:type="dxa" w:w="90"/>
              <w:bottom w:type="dxa" w:w="55"/>
              <w:right w:type="dxa" w:w="90"/>
            </w:tcMar>
          </w:tcPr>
          <w:p>
            <w:r>
              <w:rPr>
                <w:b w:val="false"/>
                <w:bCs w:val="false"/>
                <w:color w:val="000000"/>
                <w:sz w:val="18"/>
                <w:szCs w:val="18"/>
              </w:rPr>
              <w:t xml:space="preserve">3. Food logging with image recognition</w:t>
            </w:r>
          </w:p>
        </w:tc>
        <w:tc>
          <w:tcPr>
            <w:tcW w:type="dxa" w:w="1200"/>
            <w:tcMar>
              <w:top w:type="dxa" w:w="55"/>
              <w:left w:type="dxa" w:w="90"/>
              <w:bottom w:type="dxa" w:w="55"/>
              <w:right w:type="dxa" w:w="90"/>
            </w:tcMar>
          </w:tcPr>
          <w:p>
            <w:r>
              <w:rPr>
                <w:b w:val="false"/>
                <w:bCs w:val="false"/>
                <w:color w:val="000000"/>
                <w:sz w:val="18"/>
                <w:szCs w:val="18"/>
              </w:rPr>
              <w:t xml:space="preserve">Delivered</w:t>
            </w:r>
          </w:p>
        </w:tc>
        <w:tc>
          <w:tcPr>
            <w:tcW w:type="dxa" w:w="5426"/>
            <w:tcMar>
              <w:top w:type="dxa" w:w="55"/>
              <w:left w:type="dxa" w:w="90"/>
              <w:bottom w:type="dxa" w:w="55"/>
              <w:right w:type="dxa" w:w="90"/>
            </w:tcMar>
          </w:tcPr>
          <w:p>
            <w:r>
              <w:rPr>
                <w:b w:val="false"/>
                <w:bCs w:val="false"/>
                <w:color w:val="000000"/>
                <w:sz w:val="18"/>
                <w:szCs w:val="18"/>
              </w:rPr>
              <w:t xml:space="preserve">Manual logging and the five-step photograph pipeline with mandatory confirmation</w:t>
            </w:r>
          </w:p>
        </w:tc>
      </w:tr>
      <w:tr>
        <w:tc>
          <w:tcPr>
            <w:tcW w:type="dxa" w:w="2400"/>
            <w:shd w:fill="F4FAFC" w:val="clear"/>
            <w:tcMar>
              <w:top w:type="dxa" w:w="55"/>
              <w:left w:type="dxa" w:w="90"/>
              <w:bottom w:type="dxa" w:w="55"/>
              <w:right w:type="dxa" w:w="90"/>
            </w:tcMar>
          </w:tcPr>
          <w:p>
            <w:r>
              <w:rPr>
                <w:b w:val="false"/>
                <w:bCs w:val="false"/>
                <w:color w:val="000000"/>
                <w:sz w:val="18"/>
                <w:szCs w:val="18"/>
              </w:rPr>
              <w:t xml:space="preserve">4. Nutrition monitoring dashboard</w:t>
            </w:r>
          </w:p>
        </w:tc>
        <w:tc>
          <w:tcPr>
            <w:tcW w:type="dxa" w:w="1200"/>
            <w:shd w:fill="F4FAFC" w:val="clear"/>
            <w:tcMar>
              <w:top w:type="dxa" w:w="55"/>
              <w:left w:type="dxa" w:w="90"/>
              <w:bottom w:type="dxa" w:w="55"/>
              <w:right w:type="dxa" w:w="90"/>
            </w:tcMar>
          </w:tcPr>
          <w:p>
            <w:r>
              <w:rPr>
                <w:b w:val="false"/>
                <w:bCs w:val="false"/>
                <w:color w:val="000000"/>
                <w:sz w:val="18"/>
                <w:szCs w:val="18"/>
              </w:rPr>
              <w:t xml:space="preserve">Delivered</w:t>
            </w:r>
          </w:p>
        </w:tc>
        <w:tc>
          <w:tcPr>
            <w:tcW w:type="dxa" w:w="5426"/>
            <w:shd w:fill="F4FAFC" w:val="clear"/>
            <w:tcMar>
              <w:top w:type="dxa" w:w="55"/>
              <w:left w:type="dxa" w:w="90"/>
              <w:bottom w:type="dxa" w:w="55"/>
              <w:right w:type="dxa" w:w="90"/>
            </w:tcMar>
          </w:tcPr>
          <w:p>
            <w:r>
              <w:rPr>
                <w:b w:val="false"/>
                <w:bCs w:val="false"/>
                <w:color w:val="000000"/>
                <w:sz w:val="18"/>
                <w:szCs w:val="18"/>
              </w:rPr>
              <w:t xml:space="preserve">Calories, macronutrients, water and weight, reconciled to source records</w:t>
            </w:r>
          </w:p>
        </w:tc>
      </w:tr>
      <w:tr>
        <w:tc>
          <w:tcPr>
            <w:tcW w:type="dxa" w:w="2400"/>
            <w:tcMar>
              <w:top w:type="dxa" w:w="55"/>
              <w:left w:type="dxa" w:w="90"/>
              <w:bottom w:type="dxa" w:w="55"/>
              <w:right w:type="dxa" w:w="90"/>
            </w:tcMar>
          </w:tcPr>
          <w:p>
            <w:r>
              <w:rPr>
                <w:b w:val="false"/>
                <w:bCs w:val="false"/>
                <w:color w:val="000000"/>
                <w:sz w:val="18"/>
                <w:szCs w:val="18"/>
              </w:rPr>
              <w:t xml:space="preserve">5. Meal and recipe recommendation</w:t>
            </w:r>
          </w:p>
        </w:tc>
        <w:tc>
          <w:tcPr>
            <w:tcW w:type="dxa" w:w="1200"/>
            <w:tcMar>
              <w:top w:type="dxa" w:w="55"/>
              <w:left w:type="dxa" w:w="90"/>
              <w:bottom w:type="dxa" w:w="55"/>
              <w:right w:type="dxa" w:w="90"/>
            </w:tcMar>
          </w:tcPr>
          <w:p>
            <w:r>
              <w:rPr>
                <w:b w:val="false"/>
                <w:bCs w:val="false"/>
                <w:color w:val="000000"/>
                <w:sz w:val="18"/>
                <w:szCs w:val="18"/>
              </w:rPr>
              <w:t xml:space="preserve">Delivered</w:t>
            </w:r>
          </w:p>
        </w:tc>
        <w:tc>
          <w:tcPr>
            <w:tcW w:type="dxa" w:w="5426"/>
            <w:tcMar>
              <w:top w:type="dxa" w:w="55"/>
              <w:left w:type="dxa" w:w="90"/>
              <w:bottom w:type="dxa" w:w="55"/>
              <w:right w:type="dxa" w:w="90"/>
            </w:tcMar>
          </w:tcPr>
          <w:p>
            <w:r>
              <w:rPr>
                <w:b w:val="false"/>
                <w:bCs w:val="false"/>
                <w:color w:val="000000"/>
                <w:sz w:val="18"/>
                <w:szCs w:val="18"/>
              </w:rPr>
              <w:t xml:space="preserve">Structured generation with deterministic allergen exclusion</w:t>
            </w:r>
          </w:p>
        </w:tc>
      </w:tr>
      <w:tr>
        <w:tc>
          <w:tcPr>
            <w:tcW w:type="dxa" w:w="2400"/>
            <w:shd w:fill="F4FAFC" w:val="clear"/>
            <w:tcMar>
              <w:top w:type="dxa" w:w="55"/>
              <w:left w:type="dxa" w:w="90"/>
              <w:bottom w:type="dxa" w:w="55"/>
              <w:right w:type="dxa" w:w="90"/>
            </w:tcMar>
          </w:tcPr>
          <w:p>
            <w:r>
              <w:rPr>
                <w:b w:val="false"/>
                <w:bCs w:val="false"/>
                <w:color w:val="000000"/>
                <w:sz w:val="18"/>
                <w:szCs w:val="18"/>
              </w:rPr>
              <w:t xml:space="preserve">6. Home training and weight-loss planning</w:t>
            </w:r>
          </w:p>
        </w:tc>
        <w:tc>
          <w:tcPr>
            <w:tcW w:type="dxa" w:w="1200"/>
            <w:shd w:fill="F4FAFC" w:val="clear"/>
            <w:tcMar>
              <w:top w:type="dxa" w:w="55"/>
              <w:left w:type="dxa" w:w="90"/>
              <w:bottom w:type="dxa" w:w="55"/>
              <w:right w:type="dxa" w:w="90"/>
            </w:tcMar>
          </w:tcPr>
          <w:p>
            <w:r>
              <w:rPr>
                <w:b w:val="false"/>
                <w:bCs w:val="false"/>
                <w:color w:val="000000"/>
                <w:sz w:val="18"/>
                <w:szCs w:val="18"/>
              </w:rPr>
              <w:t xml:space="preserve">Delivered</w:t>
            </w:r>
          </w:p>
        </w:tc>
        <w:tc>
          <w:tcPr>
            <w:tcW w:type="dxa" w:w="5426"/>
            <w:shd w:fill="F4FAFC" w:val="clear"/>
            <w:tcMar>
              <w:top w:type="dxa" w:w="55"/>
              <w:left w:type="dxa" w:w="90"/>
              <w:bottom w:type="dxa" w:w="55"/>
              <w:right w:type="dxa" w:w="90"/>
            </w:tcMar>
          </w:tcPr>
          <w:p>
            <w:r>
              <w:rPr>
                <w:b w:val="false"/>
                <w:bCs w:val="false"/>
                <w:color w:val="000000"/>
                <w:sz w:val="18"/>
                <w:szCs w:val="18"/>
              </w:rPr>
              <w:t xml:space="preserve">Plan generation with iteration-indexed progression and safety bounds</w:t>
            </w:r>
          </w:p>
        </w:tc>
      </w:tr>
      <w:tr>
        <w:tc>
          <w:tcPr>
            <w:tcW w:type="dxa" w:w="2400"/>
            <w:tcMar>
              <w:top w:type="dxa" w:w="55"/>
              <w:left w:type="dxa" w:w="90"/>
              <w:bottom w:type="dxa" w:w="55"/>
              <w:right w:type="dxa" w:w="90"/>
            </w:tcMar>
          </w:tcPr>
          <w:p>
            <w:r>
              <w:rPr>
                <w:b w:val="false"/>
                <w:bCs w:val="false"/>
                <w:color w:val="000000"/>
                <w:sz w:val="18"/>
                <w:szCs w:val="18"/>
              </w:rPr>
              <w:t xml:space="preserve">7. Daily workout module with media</w:t>
            </w:r>
          </w:p>
        </w:tc>
        <w:tc>
          <w:tcPr>
            <w:tcW w:type="dxa" w:w="1200"/>
            <w:tcMar>
              <w:top w:type="dxa" w:w="55"/>
              <w:left w:type="dxa" w:w="90"/>
              <w:bottom w:type="dxa" w:w="55"/>
              <w:right w:type="dxa" w:w="90"/>
            </w:tcMar>
          </w:tcPr>
          <w:p>
            <w:r>
              <w:rPr>
                <w:b w:val="false"/>
                <w:bCs w:val="false"/>
                <w:color w:val="000000"/>
                <w:sz w:val="18"/>
                <w:szCs w:val="18"/>
              </w:rPr>
              <w:t xml:space="preserve">Delivered</w:t>
            </w:r>
          </w:p>
        </w:tc>
        <w:tc>
          <w:tcPr>
            <w:tcW w:type="dxa" w:w="5426"/>
            <w:tcMar>
              <w:top w:type="dxa" w:w="55"/>
              <w:left w:type="dxa" w:w="90"/>
              <w:bottom w:type="dxa" w:w="55"/>
              <w:right w:type="dxa" w:w="90"/>
            </w:tcMar>
          </w:tcPr>
          <w:p>
            <w:r>
              <w:rPr>
                <w:b w:val="false"/>
                <w:bCs w:val="false"/>
                <w:color w:val="000000"/>
                <w:sz w:val="18"/>
                <w:szCs w:val="18"/>
              </w:rPr>
              <w:t xml:space="preserve">Guided session mode; every exercise carries a description and media</w:t>
            </w:r>
          </w:p>
        </w:tc>
      </w:tr>
      <w:tr>
        <w:tc>
          <w:tcPr>
            <w:tcW w:type="dxa" w:w="2400"/>
            <w:shd w:fill="F4FAFC" w:val="clear"/>
            <w:tcMar>
              <w:top w:type="dxa" w:w="55"/>
              <w:left w:type="dxa" w:w="90"/>
              <w:bottom w:type="dxa" w:w="55"/>
              <w:right w:type="dxa" w:w="90"/>
            </w:tcMar>
          </w:tcPr>
          <w:p>
            <w:r>
              <w:rPr>
                <w:b w:val="false"/>
                <w:bCs w:val="false"/>
                <w:color w:val="000000"/>
                <w:sz w:val="18"/>
                <w:szCs w:val="18"/>
              </w:rPr>
              <w:t xml:space="preserve">8. Progress tracking dashboard</w:t>
            </w:r>
          </w:p>
        </w:tc>
        <w:tc>
          <w:tcPr>
            <w:tcW w:type="dxa" w:w="1200"/>
            <w:shd w:fill="F4FAFC" w:val="clear"/>
            <w:tcMar>
              <w:top w:type="dxa" w:w="55"/>
              <w:left w:type="dxa" w:w="90"/>
              <w:bottom w:type="dxa" w:w="55"/>
              <w:right w:type="dxa" w:w="90"/>
            </w:tcMar>
          </w:tcPr>
          <w:p>
            <w:r>
              <w:rPr>
                <w:b w:val="false"/>
                <w:bCs w:val="false"/>
                <w:color w:val="000000"/>
                <w:sz w:val="18"/>
                <w:szCs w:val="18"/>
              </w:rPr>
              <w:t xml:space="preserve">Delivered</w:t>
            </w:r>
          </w:p>
        </w:tc>
        <w:tc>
          <w:tcPr>
            <w:tcW w:type="dxa" w:w="5426"/>
            <w:shd w:fill="F4FAFC" w:val="clear"/>
            <w:tcMar>
              <w:top w:type="dxa" w:w="55"/>
              <w:left w:type="dxa" w:w="90"/>
              <w:bottom w:type="dxa" w:w="55"/>
              <w:right w:type="dxa" w:w="90"/>
            </w:tcMar>
          </w:tcPr>
          <w:p>
            <w:r>
              <w:rPr>
                <w:b w:val="false"/>
                <w:bCs w:val="false"/>
                <w:color w:val="000000"/>
                <w:sz w:val="18"/>
                <w:szCs w:val="18"/>
              </w:rPr>
              <w:t xml:space="preserve">Weight, calorie trends, training history and achievements</w:t>
            </w:r>
          </w:p>
        </w:tc>
      </w:tr>
      <w:tr>
        <w:tc>
          <w:tcPr>
            <w:tcW w:type="dxa" w:w="2400"/>
            <w:tcMar>
              <w:top w:type="dxa" w:w="55"/>
              <w:left w:type="dxa" w:w="90"/>
              <w:bottom w:type="dxa" w:w="55"/>
              <w:right w:type="dxa" w:w="90"/>
            </w:tcMar>
          </w:tcPr>
          <w:p>
            <w:r>
              <w:rPr>
                <w:b w:val="false"/>
                <w:bCs w:val="false"/>
                <w:color w:val="000000"/>
                <w:sz w:val="18"/>
                <w:szCs w:val="18"/>
              </w:rPr>
              <w:t xml:space="preserve">9. Conversational assistant</w:t>
            </w:r>
          </w:p>
        </w:tc>
        <w:tc>
          <w:tcPr>
            <w:tcW w:type="dxa" w:w="1200"/>
            <w:tcMar>
              <w:top w:type="dxa" w:w="55"/>
              <w:left w:type="dxa" w:w="90"/>
              <w:bottom w:type="dxa" w:w="55"/>
              <w:right w:type="dxa" w:w="90"/>
            </w:tcMar>
          </w:tcPr>
          <w:p>
            <w:r>
              <w:rPr>
                <w:b w:val="false"/>
                <w:bCs w:val="false"/>
                <w:color w:val="000000"/>
                <w:sz w:val="18"/>
                <w:szCs w:val="18"/>
              </w:rPr>
              <w:t xml:space="preserve">Delivered</w:t>
            </w:r>
          </w:p>
        </w:tc>
        <w:tc>
          <w:tcPr>
            <w:tcW w:type="dxa" w:w="5426"/>
            <w:tcMar>
              <w:top w:type="dxa" w:w="55"/>
              <w:left w:type="dxa" w:w="90"/>
              <w:bottom w:type="dxa" w:w="55"/>
              <w:right w:type="dxa" w:w="90"/>
            </w:tcMar>
          </w:tcPr>
          <w:p>
            <w:r>
              <w:rPr>
                <w:b w:val="false"/>
                <w:bCs w:val="false"/>
                <w:color w:val="000000"/>
                <w:sz w:val="18"/>
                <w:szCs w:val="18"/>
              </w:rPr>
              <w:t xml:space="preserve">Tool-calling assistant with the six-stage guardrail chain</w:t>
            </w:r>
          </w:p>
        </w:tc>
      </w:tr>
      <w:tr>
        <w:tc>
          <w:tcPr>
            <w:tcW w:type="dxa" w:w="2400"/>
            <w:shd w:fill="F4FAFC" w:val="clear"/>
            <w:tcMar>
              <w:top w:type="dxa" w:w="55"/>
              <w:left w:type="dxa" w:w="90"/>
              <w:bottom w:type="dxa" w:w="55"/>
              <w:right w:type="dxa" w:w="90"/>
            </w:tcMar>
          </w:tcPr>
          <w:p>
            <w:r>
              <w:rPr>
                <w:b w:val="false"/>
                <w:bCs w:val="false"/>
                <w:color w:val="000000"/>
                <w:sz w:val="18"/>
                <w:szCs w:val="18"/>
              </w:rPr>
              <w:t xml:space="preserve">10. Safety, privacy and ethical design</w:t>
            </w:r>
          </w:p>
        </w:tc>
        <w:tc>
          <w:tcPr>
            <w:tcW w:type="dxa" w:w="1200"/>
            <w:shd w:fill="F4FAFC" w:val="clear"/>
            <w:tcMar>
              <w:top w:type="dxa" w:w="55"/>
              <w:left w:type="dxa" w:w="90"/>
              <w:bottom w:type="dxa" w:w="55"/>
              <w:right w:type="dxa" w:w="90"/>
            </w:tcMar>
          </w:tcPr>
          <w:p>
            <w:r>
              <w:rPr>
                <w:b w:val="false"/>
                <w:bCs w:val="false"/>
                <w:color w:val="000000"/>
                <w:sz w:val="18"/>
                <w:szCs w:val="18"/>
              </w:rPr>
              <w:t xml:space="preserve">Delivered</w:t>
            </w:r>
          </w:p>
        </w:tc>
        <w:tc>
          <w:tcPr>
            <w:tcW w:type="dxa" w:w="5426"/>
            <w:shd w:fill="F4FAFC" w:val="clear"/>
            <w:tcMar>
              <w:top w:type="dxa" w:w="55"/>
              <w:left w:type="dxa" w:w="90"/>
              <w:bottom w:type="dxa" w:w="55"/>
              <w:right w:type="dxa" w:w="90"/>
            </w:tcMar>
          </w:tcPr>
          <w:p>
            <w:r>
              <w:rPr>
                <w:b w:val="false"/>
                <w:bCs w:val="false"/>
                <w:color w:val="000000"/>
                <w:sz w:val="18"/>
                <w:szCs w:val="18"/>
              </w:rPr>
              <w:t xml:space="preserve">AQF-11; calorie clamp; crisis handling; consent, export and deletion</w:t>
            </w:r>
          </w:p>
        </w:tc>
      </w:tr>
      <w:tr>
        <w:tc>
          <w:tcPr>
            <w:tcW w:type="dxa" w:w="2400"/>
            <w:tcMar>
              <w:top w:type="dxa" w:w="55"/>
              <w:left w:type="dxa" w:w="90"/>
              <w:bottom w:type="dxa" w:w="55"/>
              <w:right w:type="dxa" w:w="90"/>
            </w:tcMar>
          </w:tcPr>
          <w:p>
            <w:r>
              <w:rPr>
                <w:b w:val="false"/>
                <w:bCs w:val="false"/>
                <w:color w:val="000000"/>
                <w:sz w:val="18"/>
                <w:szCs w:val="18"/>
              </w:rPr>
              <w:t xml:space="preserve">11. Prompt bank, LLMOps, workflow, UML, design</w:t>
            </w:r>
          </w:p>
        </w:tc>
        <w:tc>
          <w:tcPr>
            <w:tcW w:type="dxa" w:w="1200"/>
            <w:tcMar>
              <w:top w:type="dxa" w:w="55"/>
              <w:left w:type="dxa" w:w="90"/>
              <w:bottom w:type="dxa" w:w="55"/>
              <w:right w:type="dxa" w:w="90"/>
            </w:tcMar>
          </w:tcPr>
          <w:p>
            <w:r>
              <w:rPr>
                <w:b w:val="false"/>
                <w:bCs w:val="false"/>
                <w:color w:val="000000"/>
                <w:sz w:val="18"/>
                <w:szCs w:val="18"/>
              </w:rPr>
              <w:t xml:space="preserve">Delivered</w:t>
            </w:r>
          </w:p>
        </w:tc>
        <w:tc>
          <w:tcPr>
            <w:tcW w:type="dxa" w:w="5426"/>
            <w:tcMar>
              <w:top w:type="dxa" w:w="55"/>
              <w:left w:type="dxa" w:w="90"/>
              <w:bottom w:type="dxa" w:w="55"/>
              <w:right w:type="dxa" w:w="90"/>
            </w:tcMar>
          </w:tcPr>
          <w:p>
            <w:r>
              <w:rPr>
                <w:b w:val="false"/>
                <w:bCs w:val="false"/>
                <w:color w:val="000000"/>
                <w:sz w:val="18"/>
                <w:szCs w:val="18"/>
              </w:rPr>
              <w:t xml:space="preserve">AQF-05, AQF-08, AQF-10, AQF-12 and the AquaZero design system</w:t>
            </w:r>
          </w:p>
        </w:tc>
      </w:tr>
    </w:tbl>
    <w:p>
      <w:pPr>
        <w:pStyle w:val="Heading1"/>
        <w:pBdr>
          <w:bottom w:val="single" w:color="21C0DA" w:sz="6"/>
        </w:pBdr>
        <w:spacing w:after="140" w:before="300"/>
      </w:pPr>
      <w:r>
        <w:rPr>
          <w:b/>
          <w:bCs/>
          <w:color w:val="0B2233"/>
          <w:sz w:val="30"/>
          <w:szCs w:val="30"/>
        </w:rPr>
        <w:t xml:space="preserve">3. System Architecture</w:t>
      </w:r>
    </w:p>
    <w:p>
      <w:pPr>
        <w:spacing w:after="40" w:before="14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i/>
          <w:iCs/>
          <w:color w:val="5A6672"/>
          <w:sz w:val="17"/>
          <w:szCs w:val="17"/>
        </w:rPr>
        <w:t xml:space="preserve">Figure 19.1: Delivered architecture within the Azure subscription</w:t>
      </w:r>
    </w:p>
    <w:p>
      <w:pPr>
        <w:pStyle w:val="ListParagraph"/>
        <w:numPr>
          <w:ilvl w:val="0"/>
          <w:numId w:val="2"/>
        </w:numPr>
        <w:spacing w:after="55"/>
      </w:pPr>
      <w:r>
        <w:rPr>
          <w:sz w:val="21"/>
          <w:szCs w:val="21"/>
        </w:rPr>
        <w:t xml:space="preserve">One React codebase produces both delivery targets, with behaviour branching at bootstrap.</w:t>
      </w:r>
    </w:p>
    <w:p>
      <w:pPr>
        <w:pStyle w:val="ListParagraph"/>
        <w:numPr>
          <w:ilvl w:val="0"/>
          <w:numId w:val="2"/>
        </w:numPr>
        <w:spacing w:after="55"/>
      </w:pPr>
      <w:r>
        <w:rPr>
          <w:sz w:val="21"/>
          <w:szCs w:val="21"/>
        </w:rPr>
        <w:t xml:space="preserve">Azure Functions on a consumption plan serve the API and run queue-triggered and scheduled jobs.</w:t>
      </w:r>
    </w:p>
    <w:p>
      <w:pPr>
        <w:pStyle w:val="ListParagraph"/>
        <w:numPr>
          <w:ilvl w:val="0"/>
          <w:numId w:val="2"/>
        </w:numPr>
        <w:spacing w:after="55"/>
      </w:pPr>
      <w:r>
        <w:rPr>
          <w:sz w:val="21"/>
          <w:szCs w:val="21"/>
        </w:rPr>
        <w:t xml:space="preserve">Cosmos DB on the lifetime free tier stores all operational data, partitioned so that a user's day is a single-partition read.</w:t>
      </w:r>
    </w:p>
    <w:p>
      <w:pPr>
        <w:pStyle w:val="ListParagraph"/>
        <w:numPr>
          <w:ilvl w:val="0"/>
          <w:numId w:val="2"/>
        </w:numPr>
        <w:spacing w:after="55"/>
      </w:pPr>
      <w:r>
        <w:rPr>
          <w:sz w:val="21"/>
          <w:szCs w:val="21"/>
        </w:rPr>
        <w:t xml:space="preserve">A gateway container fronts four AI providers, holding routing, fallbacks, cost tracking and per-tier budgets in configuration.</w:t>
      </w:r>
    </w:p>
    <w:p>
      <w:pPr>
        <w:pStyle w:val="ListParagraph"/>
        <w:numPr>
          <w:ilvl w:val="0"/>
          <w:numId w:val="2"/>
        </w:numPr>
        <w:spacing w:after="55"/>
      </w:pPr>
      <w:r>
        <w:rPr>
          <w:sz w:val="21"/>
          <w:szCs w:val="21"/>
        </w:rPr>
        <w:t xml:space="preserve">Secrets live in a managed vault and are read at runtime by identity. No secret exists in source or in the pipeline.</w:t>
      </w:r>
    </w:p>
    <w:p>
      <w:pPr>
        <w:pStyle w:val="Heading1"/>
        <w:pBdr>
          <w:bottom w:val="single" w:color="21C0DA" w:sz="6"/>
        </w:pBdr>
        <w:spacing w:after="140" w:before="300"/>
      </w:pPr>
      <w:r>
        <w:rPr>
          <w:b/>
          <w:bCs/>
          <w:color w:val="0B2233"/>
          <w:sz w:val="30"/>
          <w:szCs w:val="30"/>
        </w:rPr>
        <w:t xml:space="preserve">4. Database</w:t>
      </w:r>
    </w:p>
    <w:p>
      <w:pPr>
        <w:spacing w:after="110"/>
      </w:pPr>
      <w:r>
        <w:rPr>
          <w:b w:val="false"/>
          <w:bCs w:val="false"/>
          <w:i w:val="false"/>
          <w:iCs w:val="false"/>
          <w:color w:val="000000"/>
          <w:sz w:val="21"/>
          <w:szCs w:val="21"/>
        </w:rPr>
        <w:t xml:space="preserve">The team selected a document database rather than a relational one because the operational data is naturally document shaped and because it is the only option on the platform that remains free permanently, which matters for a project with no budget and for the product's life after the semester.</w:t>
      </w:r>
    </w:p>
    <w:p>
      <w:pPr>
        <w:spacing w:after="40" w:before="14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609850"/>
                    </a:xfrm>
                    <a:prstGeom prst="rect">
                      <a:avLst/>
                    </a:prstGeom>
                  </pic:spPr>
                </pic:pic>
              </a:graphicData>
            </a:graphic>
          </wp:inline>
        </w:drawing>
      </w:r>
    </w:p>
    <w:p>
      <w:pPr>
        <w:spacing w:after="160"/>
        <w:jc w:val="center"/>
      </w:pPr>
      <w:r>
        <w:rPr>
          <w:i/>
          <w:iCs/>
          <w:color w:val="5A6672"/>
          <w:sz w:val="17"/>
          <w:szCs w:val="17"/>
        </w:rPr>
        <w:t xml:space="preserve">Figure 19.2: Container map and partition strategy as delivered</w:t>
      </w:r>
    </w:p>
    <w:p>
      <w:pPr>
        <w:spacing w:after="110"/>
      </w:pPr>
      <w:r>
        <w:rPr>
          <w:b w:val="false"/>
          <w:bCs w:val="false"/>
          <w:i w:val="false"/>
          <w:iCs w:val="false"/>
          <w:color w:val="000000"/>
          <w:sz w:val="21"/>
          <w:szCs w:val="21"/>
        </w:rPr>
        <w:t xml:space="preserve">Partition keys were chosen against the hot path rather than against the entity list. Rendering a user's day is one single-partition read, which is why the dashboard meets its latency target on a free tier.</w:t>
      </w:r>
    </w:p>
    <w:p>
      <w:pPr>
        <w:pStyle w:val="Heading1"/>
        <w:pBdr>
          <w:bottom w:val="single" w:color="21C0DA" w:sz="6"/>
        </w:pBdr>
        <w:spacing w:after="140" w:before="300"/>
      </w:pPr>
      <w:r>
        <w:rPr>
          <w:b/>
          <w:bCs/>
          <w:color w:val="0B2233"/>
          <w:sz w:val="30"/>
          <w:szCs w:val="30"/>
        </w:rPr>
        <w:t xml:space="preserve">5. AI Engineering</w:t>
      </w:r>
    </w:p>
    <w:p>
      <w:pPr>
        <w:spacing w:after="40" w:before="140"/>
        <w:jc w:val="center"/>
      </w:pPr>
      <w:r>
        <w:drawing>
          <wp:inline distT="0" distB="0" distL="0" distR="0">
            <wp:extent cx="447675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295400"/>
                    </a:xfrm>
                    <a:prstGeom prst="rect">
                      <a:avLst/>
                    </a:prstGeom>
                  </pic:spPr>
                </pic:pic>
              </a:graphicData>
            </a:graphic>
          </wp:inline>
        </w:drawing>
      </w:r>
    </w:p>
    <w:p>
      <w:pPr>
        <w:spacing w:after="160"/>
        <w:jc w:val="center"/>
      </w:pPr>
      <w:r>
        <w:rPr>
          <w:i/>
          <w:iCs/>
          <w:color w:val="5A6672"/>
          <w:sz w:val="17"/>
          <w:szCs w:val="17"/>
        </w:rPr>
        <w:t xml:space="preserve">Figure 19.3: The meal photograph pipeline, showing which steps are model calls</w:t>
      </w:r>
    </w:p>
    <w:p>
      <w:pPr>
        <w:spacing w:after="110"/>
      </w:pPr>
      <w:r>
        <w:rPr>
          <w:b w:val="false"/>
          <w:bCs w:val="false"/>
          <w:i w:val="false"/>
          <w:iCs w:val="false"/>
          <w:color w:val="000000"/>
          <w:sz w:val="21"/>
          <w:szCs w:val="21"/>
        </w:rPr>
        <w:t xml:space="preserve">The most consequential engineering decision in the project was to remove arithmetic from the model. An evaluated reference design allowed the vision model to estimate calories directly. Testing showed this to be unreproducible and unauditable. Splitting the pipeline so that the model identifies and code calculates made results deterministic for identical inputs, reduced cost, and produced an evaluation metric for each step rather than one impression of overall quality.</w:t>
      </w:r>
    </w:p>
    <w:p>
      <w:pPr>
        <w:pStyle w:val="ListParagraph"/>
        <w:numPr>
          <w:ilvl w:val="0"/>
          <w:numId w:val="2"/>
        </w:numPr>
        <w:spacing w:after="55"/>
      </w:pPr>
      <w:r>
        <w:rPr>
          <w:sz w:val="21"/>
          <w:szCs w:val="21"/>
        </w:rPr>
        <w:t xml:space="preserve">Nine versioned prompts, each with a defined output schema, examples and known failure modes.</w:t>
      </w:r>
    </w:p>
    <w:p>
      <w:pPr>
        <w:pStyle w:val="ListParagraph"/>
        <w:numPr>
          <w:ilvl w:val="0"/>
          <w:numId w:val="2"/>
        </w:numPr>
        <w:spacing w:after="55"/>
      </w:pPr>
      <w:r>
        <w:rPr>
          <w:sz w:val="21"/>
          <w:szCs w:val="21"/>
        </w:rPr>
        <w:t xml:space="preserve">Four evaluation sets, with the adversarial safety set acting as a merge gate rather than a warning.</w:t>
      </w:r>
    </w:p>
    <w:p>
      <w:pPr>
        <w:pStyle w:val="ListParagraph"/>
        <w:numPr>
          <w:ilvl w:val="0"/>
          <w:numId w:val="2"/>
        </w:numPr>
        <w:spacing w:after="55"/>
      </w:pPr>
      <w:r>
        <w:rPr>
          <w:sz w:val="21"/>
          <w:szCs w:val="21"/>
        </w:rPr>
        <w:t xml:space="preserve">Provider routing by task, so latency-sensitive chat never queues behind heavy generation.</w:t>
      </w:r>
    </w:p>
    <w:p>
      <w:pPr>
        <w:pStyle w:val="ListParagraph"/>
        <w:numPr>
          <w:ilvl w:val="0"/>
          <w:numId w:val="2"/>
        </w:numPr>
        <w:spacing w:after="55"/>
      </w:pPr>
      <w:r>
        <w:rPr>
          <w:sz w:val="21"/>
          <w:szCs w:val="21"/>
        </w:rPr>
        <w:t xml:space="preserve">Per-tier virtual keys with hard budgets, so a policy bug cannot produce unbounded spend.</w:t>
      </w:r>
    </w:p>
    <w:p>
      <w:pPr>
        <w:pStyle w:val="Heading1"/>
        <w:pBdr>
          <w:bottom w:val="single" w:color="21C0DA" w:sz="6"/>
        </w:pBdr>
        <w:spacing w:after="140" w:before="300"/>
      </w:pPr>
      <w:r>
        <w:rPr>
          <w:b/>
          <w:bCs/>
          <w:color w:val="0B2233"/>
          <w:sz w:val="30"/>
          <w:szCs w:val="30"/>
        </w:rPr>
        <w:t xml:space="preserve">6. Challenges and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0B2233" w:val="clear"/>
            <w:tcMar>
              <w:top w:type="dxa" w:w="55"/>
              <w:left w:type="dxa" w:w="90"/>
              <w:bottom w:type="dxa" w:w="55"/>
              <w:right w:type="dxa" w:w="90"/>
            </w:tcMar>
          </w:tcPr>
          <w:p>
            <w:r>
              <w:rPr>
                <w:b/>
                <w:bCs/>
                <w:color w:val="FFFFFF"/>
                <w:sz w:val="18"/>
                <w:szCs w:val="18"/>
              </w:rPr>
              <w:t xml:space="preserve">Challenge</w:t>
            </w:r>
          </w:p>
        </w:tc>
        <w:tc>
          <w:tcPr>
            <w:tcW w:type="dxa" w:w="3200"/>
            <w:shd w:fill="0B2233" w:val="clear"/>
            <w:tcMar>
              <w:top w:type="dxa" w:w="55"/>
              <w:left w:type="dxa" w:w="90"/>
              <w:bottom w:type="dxa" w:w="55"/>
              <w:right w:type="dxa" w:w="90"/>
            </w:tcMar>
          </w:tcPr>
          <w:p>
            <w:r>
              <w:rPr>
                <w:b/>
                <w:bCs/>
                <w:color w:val="FFFFFF"/>
                <w:sz w:val="18"/>
                <w:szCs w:val="18"/>
              </w:rPr>
              <w:t xml:space="preserve">Response</w:t>
            </w:r>
          </w:p>
        </w:tc>
        <w:tc>
          <w:tcPr>
            <w:tcW w:type="dxa" w:w="3226"/>
            <w:shd w:fill="0B2233" w:val="clear"/>
            <w:tcMar>
              <w:top w:type="dxa" w:w="55"/>
              <w:left w:type="dxa" w:w="90"/>
              <w:bottom w:type="dxa" w:w="55"/>
              <w:right w:type="dxa" w:w="90"/>
            </w:tcMar>
          </w:tcPr>
          <w:p>
            <w:r>
              <w:rPr>
                <w:b/>
                <w:bCs/>
                <w:color w:val="FFFFFF"/>
                <w:sz w:val="18"/>
                <w:szCs w:val="18"/>
              </w:rPr>
              <w:t xml:space="preserve">Outcome</w:t>
            </w:r>
          </w:p>
        </w:tc>
      </w:tr>
      <w:tr>
        <w:tc>
          <w:tcPr>
            <w:tcW w:type="dxa" w:w="2600"/>
            <w:tcMar>
              <w:top w:type="dxa" w:w="55"/>
              <w:left w:type="dxa" w:w="90"/>
              <w:bottom w:type="dxa" w:w="55"/>
              <w:right w:type="dxa" w:w="90"/>
            </w:tcMar>
          </w:tcPr>
          <w:p>
            <w:r>
              <w:rPr>
                <w:b w:val="false"/>
                <w:bCs w:val="false"/>
                <w:color w:val="000000"/>
                <w:sz w:val="18"/>
                <w:szCs w:val="18"/>
              </w:rPr>
              <w:t xml:space="preserve">Three of the evaluated open-source sources could not legally be used: one strong copyleft, one non-commercial, one unlicensed</w:t>
            </w:r>
          </w:p>
        </w:tc>
        <w:tc>
          <w:tcPr>
            <w:tcW w:type="dxa" w:w="3200"/>
            <w:tcMar>
              <w:top w:type="dxa" w:w="55"/>
              <w:left w:type="dxa" w:w="90"/>
              <w:bottom w:type="dxa" w:w="55"/>
              <w:right w:type="dxa" w:w="90"/>
            </w:tcMar>
          </w:tcPr>
          <w:p>
            <w:r>
              <w:rPr>
                <w:b w:val="false"/>
                <w:bCs w:val="false"/>
                <w:color w:val="000000"/>
                <w:sz w:val="18"/>
                <w:szCs w:val="18"/>
              </w:rPr>
              <w:t xml:space="preserve">Verified every licence before writing code; adopted data and patterns only where permitted; recorded verdicts in a register with pipeline enforcement</w:t>
            </w:r>
          </w:p>
        </w:tc>
        <w:tc>
          <w:tcPr>
            <w:tcW w:type="dxa" w:w="3226"/>
            <w:tcMar>
              <w:top w:type="dxa" w:w="55"/>
              <w:left w:type="dxa" w:w="90"/>
              <w:bottom w:type="dxa" w:w="55"/>
              <w:right w:type="dxa" w:w="90"/>
            </w:tcMar>
          </w:tcPr>
          <w:p>
            <w:r>
              <w:rPr>
                <w:b w:val="false"/>
                <w:bCs w:val="false"/>
                <w:color w:val="000000"/>
                <w:sz w:val="18"/>
                <w:szCs w:val="18"/>
              </w:rPr>
              <w:t xml:space="preserve">No incompatible code entered the repository, and the evaluation itself became evidence of professional practice</w:t>
            </w:r>
          </w:p>
        </w:tc>
      </w:tr>
      <w:tr>
        <w:tc>
          <w:tcPr>
            <w:tcW w:type="dxa" w:w="2600"/>
            <w:shd w:fill="F4FAFC" w:val="clear"/>
            <w:tcMar>
              <w:top w:type="dxa" w:w="55"/>
              <w:left w:type="dxa" w:w="90"/>
              <w:bottom w:type="dxa" w:w="55"/>
              <w:right w:type="dxa" w:w="90"/>
            </w:tcMar>
          </w:tcPr>
          <w:p>
            <w:r>
              <w:rPr>
                <w:b w:val="false"/>
                <w:bCs w:val="false"/>
                <w:color w:val="000000"/>
                <w:sz w:val="18"/>
                <w:szCs w:val="18"/>
              </w:rPr>
              <w:t xml:space="preserve">An evaluated platform sample relied on a feature retired in September 2025</w:t>
            </w:r>
          </w:p>
        </w:tc>
        <w:tc>
          <w:tcPr>
            <w:tcW w:type="dxa" w:w="3200"/>
            <w:shd w:fill="F4FAFC" w:val="clear"/>
            <w:tcMar>
              <w:top w:type="dxa" w:w="55"/>
              <w:left w:type="dxa" w:w="90"/>
              <w:bottom w:type="dxa" w:w="55"/>
              <w:right w:type="dxa" w:w="90"/>
            </w:tcMar>
          </w:tcPr>
          <w:p>
            <w:r>
              <w:rPr>
                <w:b w:val="false"/>
                <w:bCs w:val="false"/>
                <w:color w:val="000000"/>
                <w:sz w:val="18"/>
                <w:szCs w:val="18"/>
              </w:rPr>
              <w:t xml:space="preserve">Checked currency rather than trusting the sample; adopted the supported alternative and banned the artefact in the pipeline</w:t>
            </w:r>
          </w:p>
        </w:tc>
        <w:tc>
          <w:tcPr>
            <w:tcW w:type="dxa" w:w="3226"/>
            <w:shd w:fill="F4FAFC" w:val="clear"/>
            <w:tcMar>
              <w:top w:type="dxa" w:w="55"/>
              <w:left w:type="dxa" w:w="90"/>
              <w:bottom w:type="dxa" w:w="55"/>
              <w:right w:type="dxa" w:w="90"/>
            </w:tcMar>
          </w:tcPr>
          <w:p>
            <w:r>
              <w:rPr>
                <w:b w:val="false"/>
                <w:bCs w:val="false"/>
                <w:color w:val="000000"/>
                <w:sz w:val="18"/>
                <w:szCs w:val="18"/>
              </w:rPr>
              <w:t xml:space="preserve">Avoided building on a removed feature</w:t>
            </w:r>
          </w:p>
        </w:tc>
      </w:tr>
      <w:tr>
        <w:tc>
          <w:tcPr>
            <w:tcW w:type="dxa" w:w="2600"/>
            <w:tcMar>
              <w:top w:type="dxa" w:w="55"/>
              <w:left w:type="dxa" w:w="90"/>
              <w:bottom w:type="dxa" w:w="55"/>
              <w:right w:type="dxa" w:w="90"/>
            </w:tcMar>
          </w:tcPr>
          <w:p>
            <w:r>
              <w:rPr>
                <w:b w:val="false"/>
                <w:bCs w:val="false"/>
                <w:color w:val="000000"/>
                <w:sz w:val="18"/>
                <w:szCs w:val="18"/>
              </w:rPr>
              <w:t xml:space="preserve">The chosen gateway library is Python while the backend is TypeScript</w:t>
            </w:r>
          </w:p>
        </w:tc>
        <w:tc>
          <w:tcPr>
            <w:tcW w:type="dxa" w:w="3200"/>
            <w:tcMar>
              <w:top w:type="dxa" w:w="55"/>
              <w:left w:type="dxa" w:w="90"/>
              <w:bottom w:type="dxa" w:w="55"/>
              <w:right w:type="dxa" w:w="90"/>
            </w:tcMar>
          </w:tcPr>
          <w:p>
            <w:r>
              <w:rPr>
                <w:b w:val="false"/>
                <w:bCs w:val="false"/>
                <w:color w:val="000000"/>
                <w:sz w:val="18"/>
                <w:szCs w:val="18"/>
              </w:rPr>
              <w:t xml:space="preserve">Deployed the gateway as a container exposing a standard interface rather than splitting the codebase</w:t>
            </w:r>
          </w:p>
        </w:tc>
        <w:tc>
          <w:tcPr>
            <w:tcW w:type="dxa" w:w="3226"/>
            <w:tcMar>
              <w:top w:type="dxa" w:w="55"/>
              <w:left w:type="dxa" w:w="90"/>
              <w:bottom w:type="dxa" w:w="55"/>
              <w:right w:type="dxa" w:w="90"/>
            </w:tcMar>
          </w:tcPr>
          <w:p>
            <w:r>
              <w:rPr>
                <w:b w:val="false"/>
                <w:bCs w:val="false"/>
                <w:color w:val="000000"/>
                <w:sz w:val="18"/>
                <w:szCs w:val="18"/>
              </w:rPr>
              <w:t xml:space="preserve">One language in the codebase and richer gateway features than a hand-rolled adapter would have provided</w:t>
            </w:r>
          </w:p>
        </w:tc>
      </w:tr>
      <w:tr>
        <w:tc>
          <w:tcPr>
            <w:tcW w:type="dxa" w:w="2600"/>
            <w:shd w:fill="F4FAFC" w:val="clear"/>
            <w:tcMar>
              <w:top w:type="dxa" w:w="55"/>
              <w:left w:type="dxa" w:w="90"/>
              <w:bottom w:type="dxa" w:w="55"/>
              <w:right w:type="dxa" w:w="90"/>
            </w:tcMar>
          </w:tcPr>
          <w:p>
            <w:r>
              <w:rPr>
                <w:b w:val="false"/>
                <w:bCs w:val="false"/>
                <w:color w:val="000000"/>
                <w:sz w:val="18"/>
                <w:szCs w:val="18"/>
              </w:rPr>
              <w:t xml:space="preserve">Image recognition is imperfect on mixed dishes</w:t>
            </w:r>
          </w:p>
        </w:tc>
        <w:tc>
          <w:tcPr>
            <w:tcW w:type="dxa" w:w="3200"/>
            <w:shd w:fill="F4FAFC" w:val="clear"/>
            <w:tcMar>
              <w:top w:type="dxa" w:w="55"/>
              <w:left w:type="dxa" w:w="90"/>
              <w:bottom w:type="dxa" w:w="55"/>
              <w:right w:type="dxa" w:w="90"/>
            </w:tcMar>
          </w:tcPr>
          <w:p>
            <w:r>
              <w:rPr>
                <w:b w:val="false"/>
                <w:bCs w:val="false"/>
                <w:color w:val="000000"/>
                <w:sz w:val="18"/>
                <w:szCs w:val="18"/>
              </w:rPr>
              <w:t xml:space="preserve">Made user confirmation mandatory, displayed confidence, and fed corrections into the evaluation set</w:t>
            </w:r>
          </w:p>
        </w:tc>
        <w:tc>
          <w:tcPr>
            <w:tcW w:type="dxa" w:w="3226"/>
            <w:shd w:fill="F4FAFC" w:val="clear"/>
            <w:tcMar>
              <w:top w:type="dxa" w:w="55"/>
              <w:left w:type="dxa" w:w="90"/>
              <w:bottom w:type="dxa" w:w="55"/>
              <w:right w:type="dxa" w:w="90"/>
            </w:tcMar>
          </w:tcPr>
          <w:p>
            <w:r>
              <w:rPr>
                <w:b w:val="false"/>
                <w:bCs w:val="false"/>
                <w:color w:val="000000"/>
                <w:sz w:val="18"/>
                <w:szCs w:val="18"/>
              </w:rPr>
              <w:t xml:space="preserve">Errors became a measurable signal rather than silent bad data</w:t>
            </w:r>
          </w:p>
        </w:tc>
      </w:tr>
      <w:tr>
        <w:tc>
          <w:tcPr>
            <w:tcW w:type="dxa" w:w="2600"/>
            <w:tcMar>
              <w:top w:type="dxa" w:w="55"/>
              <w:left w:type="dxa" w:w="90"/>
              <w:bottom w:type="dxa" w:w="55"/>
              <w:right w:type="dxa" w:w="90"/>
            </w:tcMar>
          </w:tcPr>
          <w:p>
            <w:r>
              <w:rPr>
                <w:b w:val="false"/>
                <w:bCs w:val="false"/>
                <w:color w:val="000000"/>
                <w:sz w:val="18"/>
                <w:szCs w:val="18"/>
              </w:rPr>
              <w:t xml:space="preserve">A fixed student credit with no cash budget</w:t>
            </w:r>
          </w:p>
        </w:tc>
        <w:tc>
          <w:tcPr>
            <w:tcW w:type="dxa" w:w="3200"/>
            <w:tcMar>
              <w:top w:type="dxa" w:w="55"/>
              <w:left w:type="dxa" w:w="90"/>
              <w:bottom w:type="dxa" w:w="55"/>
              <w:right w:type="dxa" w:w="90"/>
            </w:tcMar>
          </w:tcPr>
          <w:p>
            <w:r>
              <w:rPr>
                <w:b w:val="false"/>
                <w:bCs w:val="false"/>
                <w:color w:val="000000"/>
                <w:sz w:val="18"/>
                <w:szCs w:val="18"/>
              </w:rPr>
              <w:t xml:space="preserve">Free-tier and scale-to-zero services throughout, cheap-lane routing, caching and budget alerts</w:t>
            </w:r>
          </w:p>
        </w:tc>
        <w:tc>
          <w:tcPr>
            <w:tcW w:type="dxa" w:w="3226"/>
            <w:tcMar>
              <w:top w:type="dxa" w:w="55"/>
              <w:left w:type="dxa" w:w="90"/>
              <w:bottom w:type="dxa" w:w="55"/>
              <w:right w:type="dxa" w:w="90"/>
            </w:tcMar>
          </w:tcPr>
          <w:p>
            <w:r>
              <w:rPr>
                <w:b w:val="false"/>
                <w:bCs w:val="false"/>
                <w:color w:val="000000"/>
                <w:sz w:val="18"/>
                <w:szCs w:val="18"/>
              </w:rPr>
              <w:t xml:space="preserve">The project ran within credit with a verified cold-spare recovery path</w:t>
            </w:r>
          </w:p>
        </w:tc>
      </w:tr>
      <w:tr>
        <w:tc>
          <w:tcPr>
            <w:tcW w:type="dxa" w:w="2600"/>
            <w:shd w:fill="F4FAFC" w:val="clear"/>
            <w:tcMar>
              <w:top w:type="dxa" w:w="55"/>
              <w:left w:type="dxa" w:w="90"/>
              <w:bottom w:type="dxa" w:w="55"/>
              <w:right w:type="dxa" w:w="90"/>
            </w:tcMar>
          </w:tcPr>
          <w:p>
            <w:r>
              <w:rPr>
                <w:b w:val="false"/>
                <w:bCs w:val="false"/>
                <w:color w:val="000000"/>
                <w:sz w:val="18"/>
                <w:szCs w:val="18"/>
              </w:rPr>
              <w:t xml:space="preserve">Three junior developers with uneven specialisation</w:t>
            </w:r>
          </w:p>
        </w:tc>
        <w:tc>
          <w:tcPr>
            <w:tcW w:type="dxa" w:w="3200"/>
            <w:shd w:fill="F4FAFC" w:val="clear"/>
            <w:tcMar>
              <w:top w:type="dxa" w:w="55"/>
              <w:left w:type="dxa" w:w="90"/>
              <w:bottom w:type="dxa" w:w="55"/>
              <w:right w:type="dxa" w:w="90"/>
            </w:tcMar>
          </w:tcPr>
          <w:p>
            <w:r>
              <w:rPr>
                <w:b w:val="false"/>
                <w:bCs w:val="false"/>
                <w:color w:val="000000"/>
                <w:sz w:val="18"/>
                <w:szCs w:val="18"/>
              </w:rPr>
              <w:t xml:space="preserve">Bounded, independently demonstrable ownership per member, with cross-lane review each sprint</w:t>
            </w:r>
          </w:p>
        </w:tc>
        <w:tc>
          <w:tcPr>
            <w:tcW w:type="dxa" w:w="3226"/>
            <w:shd w:fill="F4FAFC" w:val="clear"/>
            <w:tcMar>
              <w:top w:type="dxa" w:w="55"/>
              <w:left w:type="dxa" w:w="90"/>
              <w:bottom w:type="dxa" w:w="55"/>
              <w:right w:type="dxa" w:w="90"/>
            </w:tcMar>
          </w:tcPr>
          <w:p>
            <w:r>
              <w:rPr>
                <w:b w:val="false"/>
                <w:bCs w:val="false"/>
                <w:color w:val="000000"/>
                <w:sz w:val="18"/>
                <w:szCs w:val="18"/>
              </w:rPr>
              <w:t xml:space="preserve">Each member can demonstrate and explain their own work at review</w:t>
            </w:r>
          </w:p>
        </w:tc>
      </w:tr>
    </w:tbl>
    <w:p>
      <w:pPr>
        <w:pStyle w:val="Heading1"/>
        <w:pBdr>
          <w:bottom w:val="single" w:color="21C0DA" w:sz="6"/>
        </w:pBdr>
        <w:spacing w:after="140" w:before="300"/>
      </w:pPr>
      <w:r>
        <w:rPr>
          <w:b/>
          <w:bCs/>
          <w:color w:val="0B2233"/>
          <w:sz w:val="30"/>
          <w:szCs w:val="30"/>
        </w:rPr>
        <w:t xml:space="preserve">7. What We Would Do Differently</w:t>
      </w:r>
    </w:p>
    <w:p>
      <w:pPr>
        <w:pStyle w:val="ListParagraph"/>
        <w:numPr>
          <w:ilvl w:val="0"/>
          <w:numId w:val="2"/>
        </w:numPr>
        <w:spacing w:after="55"/>
      </w:pPr>
      <w:r>
        <w:rPr>
          <w:sz w:val="21"/>
          <w:szCs w:val="21"/>
        </w:rPr>
        <w:t xml:space="preserve">Assemble the evaluation sets in the first sprint rather than alongside the feature. Every AI decision after that point would have had a measurement behind it from the start.</w:t>
      </w:r>
    </w:p>
    <w:p>
      <w:pPr>
        <w:pStyle w:val="ListParagraph"/>
        <w:numPr>
          <w:ilvl w:val="0"/>
          <w:numId w:val="2"/>
        </w:numPr>
        <w:spacing w:after="55"/>
      </w:pPr>
      <w:r>
        <w:rPr>
          <w:sz w:val="21"/>
          <w:szCs w:val="21"/>
        </w:rPr>
        <w:t xml:space="preserve">Write the licence register before reading any source code, not after. Two sources were studied in detail before their licences ruled them out.</w:t>
      </w:r>
    </w:p>
    <w:p>
      <w:pPr>
        <w:pStyle w:val="ListParagraph"/>
        <w:numPr>
          <w:ilvl w:val="0"/>
          <w:numId w:val="2"/>
        </w:numPr>
        <w:spacing w:after="55"/>
      </w:pPr>
      <w:r>
        <w:rPr>
          <w:sz w:val="21"/>
          <w:szCs w:val="21"/>
        </w:rPr>
        <w:t xml:space="preserve">Schedule the first end-to-end integration in week four with a deliberately thin slice, rather than integrating a rich set of features later.</w:t>
      </w:r>
    </w:p>
    <w:p>
      <w:pPr>
        <w:pStyle w:val="ListParagraph"/>
        <w:numPr>
          <w:ilvl w:val="0"/>
          <w:numId w:val="2"/>
        </w:numPr>
        <w:spacing w:after="55"/>
      </w:pPr>
      <w:r>
        <w:rPr>
          <w:sz w:val="21"/>
          <w:szCs w:val="21"/>
        </w:rPr>
        <w:t xml:space="preserve">Introduce accessibility scanning at the first screen rather than after several screens existed, which would have avoided retrofitting focus states.</w:t>
      </w:r>
    </w:p>
    <w:p>
      <w:pPr>
        <w:pStyle w:val="Heading1"/>
        <w:pBdr>
          <w:bottom w:val="single" w:color="21C0DA" w:sz="6"/>
        </w:pBdr>
        <w:spacing w:after="140" w:before="300"/>
      </w:pPr>
      <w:r>
        <w:rPr>
          <w:b/>
          <w:bCs/>
          <w:color w:val="0B2233"/>
          <w:sz w:val="30"/>
          <w:szCs w:val="30"/>
        </w:rPr>
        <w:t xml:space="preserve">8. Student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0B2233" w:val="clear"/>
            <w:tcMar>
              <w:top w:type="dxa" w:w="55"/>
              <w:left w:type="dxa" w:w="90"/>
              <w:bottom w:type="dxa" w:w="55"/>
              <w:right w:type="dxa" w:w="90"/>
            </w:tcMar>
          </w:tcPr>
          <w:p>
            <w:r>
              <w:rPr>
                <w:b/>
                <w:bCs/>
                <w:color w:val="FFFFFF"/>
                <w:sz w:val="18"/>
                <w:szCs w:val="18"/>
              </w:rPr>
              <w:t xml:space="preserve">Member</w:t>
            </w:r>
          </w:p>
        </w:tc>
        <w:tc>
          <w:tcPr>
            <w:tcW w:type="dxa" w:w="6826"/>
            <w:shd w:fill="0B2233" w:val="clear"/>
            <w:tcMar>
              <w:top w:type="dxa" w:w="55"/>
              <w:left w:type="dxa" w:w="90"/>
              <w:bottom w:type="dxa" w:w="55"/>
              <w:right w:type="dxa" w:w="90"/>
            </w:tcMar>
          </w:tcPr>
          <w:p>
            <w:r>
              <w:rPr>
                <w:b/>
                <w:bCs/>
                <w:color w:val="FFFFFF"/>
                <w:sz w:val="18"/>
                <w:szCs w:val="18"/>
              </w:rPr>
              <w:t xml:space="preserve">Contribution</w:t>
            </w:r>
          </w:p>
        </w:tc>
      </w:tr>
      <w:tr>
        <w:tc>
          <w:tcPr>
            <w:tcW w:type="dxa" w:w="2200"/>
            <w:tcMar>
              <w:top w:type="dxa" w:w="55"/>
              <w:left w:type="dxa" w:w="90"/>
              <w:bottom w:type="dxa" w:w="55"/>
              <w:right w:type="dxa" w:w="90"/>
            </w:tcMar>
          </w:tcPr>
          <w:p>
            <w:r>
              <w:rPr>
                <w:b w:val="false"/>
                <w:bCs w:val="false"/>
                <w:color w:val="000000"/>
                <w:sz w:val="18"/>
                <w:szCs w:val="18"/>
              </w:rPr>
              <w:t xml:space="preserve">Babatundji Williams-Fulwood</w:t>
            </w:r>
          </w:p>
        </w:tc>
        <w:tc>
          <w:tcPr>
            <w:tcW w:type="dxa" w:w="6826"/>
            <w:tcMar>
              <w:top w:type="dxa" w:w="55"/>
              <w:left w:type="dxa" w:w="90"/>
              <w:bottom w:type="dxa" w:w="55"/>
              <w:right w:type="dxa" w:w="90"/>
            </w:tcMar>
          </w:tcPr>
          <w:p>
            <w:r>
              <w:rPr>
                <w:b w:val="false"/>
                <w:bCs w:val="false"/>
                <w:color w:val="000000"/>
                <w:sz w:val="18"/>
                <w:szCs w:val="18"/>
              </w:rPr>
              <w:t xml:space="preserve">Technical lead and architect. Designed the system architecture and authored the architecture, requirements, decision, data, interface, low-level design, AI, safety, licensing, implementation and runbook documentation. Implemented the cloud platform, governance and pipeline; both authentication paths and the token model; profile and target derivation including the safety clamp; the AI gateway with routing, fallbacks and per-tier budgets; the vision pipeline; recommendation and training plan generation; the guardrail chain; and the privacy controls. Led sprint facilitation and the integrated demonstration</w:t>
            </w:r>
          </w:p>
        </w:tc>
      </w:tr>
      <w:tr>
        <w:tc>
          <w:tcPr>
            <w:tcW w:type="dxa" w:w="2200"/>
            <w:shd w:fill="F4FAFC" w:val="clear"/>
            <w:tcMar>
              <w:top w:type="dxa" w:w="55"/>
              <w:left w:type="dxa" w:w="90"/>
              <w:bottom w:type="dxa" w:w="55"/>
              <w:right w:type="dxa" w:w="90"/>
            </w:tcMar>
          </w:tcPr>
          <w:p>
            <w:r>
              <w:rPr>
                <w:b w:val="false"/>
                <w:bCs w:val="false"/>
                <w:color w:val="000000"/>
                <w:sz w:val="18"/>
                <w:szCs w:val="18"/>
              </w:rPr>
              <w:t xml:space="preserve">Eric La</w:t>
            </w:r>
          </w:p>
        </w:tc>
        <w:tc>
          <w:tcPr>
            <w:tcW w:type="dxa" w:w="6826"/>
            <w:shd w:fill="F4FAFC" w:val="clear"/>
            <w:tcMar>
              <w:top w:type="dxa" w:w="55"/>
              <w:left w:type="dxa" w:w="90"/>
              <w:bottom w:type="dxa" w:w="55"/>
              <w:right w:type="dxa" w:w="90"/>
            </w:tcMar>
          </w:tcPr>
          <w:p>
            <w:r>
              <w:rPr>
                <w:b w:val="false"/>
                <w:bCs w:val="false"/>
                <w:color w:val="000000"/>
                <w:sz w:val="18"/>
                <w:szCs w:val="18"/>
              </w:rPr>
              <w:t xml:space="preserve">Frontend developer. Implemented the application shell and routing serving both delivery targets from one codebase, the AquaZero design system, the authentication and onboarding screens, the nutrition screen, the recognition review screen, the training and guided session screens and the progress screen, together with loading, empty and error states throughout. Owned accessibility conformance and authored the User Manual</w:t>
            </w:r>
          </w:p>
        </w:tc>
      </w:tr>
      <w:tr>
        <w:tc>
          <w:tcPr>
            <w:tcW w:type="dxa" w:w="2200"/>
            <w:tcMar>
              <w:top w:type="dxa" w:w="55"/>
              <w:left w:type="dxa" w:w="90"/>
              <w:bottom w:type="dxa" w:w="55"/>
              <w:right w:type="dxa" w:w="90"/>
            </w:tcMar>
          </w:tcPr>
          <w:p>
            <w:r>
              <w:rPr>
                <w:b w:val="false"/>
                <w:bCs w:val="false"/>
                <w:color w:val="000000"/>
                <w:sz w:val="18"/>
                <w:szCs w:val="18"/>
              </w:rPr>
              <w:t xml:space="preserve">Victor Hong</w:t>
            </w:r>
          </w:p>
        </w:tc>
        <w:tc>
          <w:tcPr>
            <w:tcW w:type="dxa" w:w="6826"/>
            <w:tcMar>
              <w:top w:type="dxa" w:w="55"/>
              <w:left w:type="dxa" w:w="90"/>
              <w:bottom w:type="dxa" w:w="55"/>
              <w:right w:type="dxa" w:w="90"/>
            </w:tcMar>
          </w:tcPr>
          <w:p>
            <w:r>
              <w:rPr>
                <w:b w:val="false"/>
                <w:bCs w:val="false"/>
                <w:color w:val="000000"/>
                <w:sz w:val="18"/>
                <w:szCs w:val="18"/>
              </w:rPr>
              <w:t xml:space="preserve">Data and quality engineer. Implemented the exercise corpus and dual food data ingestion with attribution retained, database seeding, indexing and caching. Authored and executed the test plan including the authorisation matrix and integration suites, assembled the photograph evaluation set, verified the cold-spare recovery procedure and owned the evidence pack and defect tracking</w:t>
            </w:r>
          </w:p>
        </w:tc>
      </w:tr>
    </w:tbl>
    <w:p>
      <w:pPr>
        <w:pStyle w:val="Heading1"/>
        <w:pBdr>
          <w:bottom w:val="single" w:color="21C0DA" w:sz="6"/>
        </w:pBdr>
        <w:spacing w:after="140" w:before="300"/>
      </w:pPr>
      <w:r>
        <w:rPr>
          <w:b/>
          <w:bCs/>
          <w:color w:val="0B2233"/>
          <w:sz w:val="30"/>
          <w:szCs w:val="30"/>
        </w:rPr>
        <w:t xml:space="preserve">9. Conclusion</w:t>
      </w:r>
    </w:p>
    <w:p>
      <w:pPr>
        <w:spacing w:after="110"/>
      </w:pPr>
      <w:r>
        <w:rPr>
          <w:b w:val="false"/>
          <w:bCs w:val="false"/>
          <w:i w:val="false"/>
          <w:iCs w:val="false"/>
          <w:color w:val="000000"/>
          <w:sz w:val="21"/>
          <w:szCs w:val="21"/>
        </w:rPr>
        <w:t xml:space="preserve">AquaZeroFit meets the requirements of Project 5 and does so with engineering practices that would survive contact with a real user base: a documented architecture with recorded decisions, a licence-clean dependency chain, an AI layer with measurable quality and enforced safety, and an operational runbook with a tested recovery path. The safety boundary that the brief asks for is implemented as code, not as a sentence in a footer, which is the difference between a product that says it is safe and one that is.</w:t>
      </w:r>
    </w:p>
    <w:p>
      <w:pPr>
        <w:pStyle w:val="Heading1"/>
        <w:pBdr>
          <w:bottom w:val="single" w:color="21C0DA" w:sz="6"/>
        </w:pBdr>
        <w:spacing w:after="140" w:before="300"/>
      </w:pPr>
      <w:r>
        <w:rPr>
          <w:b/>
          <w:bCs/>
          <w:color w:val="0B2233"/>
          <w:sz w:val="30"/>
          <w:szCs w:val="30"/>
        </w:rPr>
        <w:t xml:space="preserve">10. References and Document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0B2233" w:val="clear"/>
            <w:tcMar>
              <w:top w:type="dxa" w:w="55"/>
              <w:left w:type="dxa" w:w="90"/>
              <w:bottom w:type="dxa" w:w="55"/>
              <w:right w:type="dxa" w:w="90"/>
            </w:tcMar>
          </w:tcPr>
          <w:p>
            <w:r>
              <w:rPr>
                <w:b/>
                <w:bCs/>
                <w:color w:val="FFFFFF"/>
                <w:sz w:val="18"/>
                <w:szCs w:val="18"/>
              </w:rPr>
              <w:t xml:space="preserve">Reference</w:t>
            </w:r>
          </w:p>
        </w:tc>
        <w:tc>
          <w:tcPr>
            <w:tcW w:type="dxa" w:w="7526"/>
            <w:shd w:fill="0B2233" w:val="clear"/>
            <w:tcMar>
              <w:top w:type="dxa" w:w="55"/>
              <w:left w:type="dxa" w:w="90"/>
              <w:bottom w:type="dxa" w:w="55"/>
              <w:right w:type="dxa" w:w="90"/>
            </w:tcMar>
          </w:tcPr>
          <w:p>
            <w:r>
              <w:rPr>
                <w:b/>
                <w:bCs/>
                <w:color w:val="FFFFFF"/>
                <w:sz w:val="18"/>
                <w:szCs w:val="18"/>
              </w:rPr>
              <w:t xml:space="preserve">Document</w:t>
            </w:r>
          </w:p>
        </w:tc>
      </w:tr>
      <w:tr>
        <w:tc>
          <w:tcPr>
            <w:tcW w:type="dxa" w:w="1500"/>
            <w:tcMar>
              <w:top w:type="dxa" w:w="55"/>
              <w:left w:type="dxa" w:w="90"/>
              <w:bottom w:type="dxa" w:w="55"/>
              <w:right w:type="dxa" w:w="90"/>
            </w:tcMar>
          </w:tcPr>
          <w:p>
            <w:r>
              <w:rPr>
                <w:b w:val="false"/>
                <w:bCs w:val="false"/>
                <w:color w:val="000000"/>
                <w:sz w:val="18"/>
                <w:szCs w:val="18"/>
              </w:rPr>
              <w:t xml:space="preserve">AQF-01</w:t>
            </w:r>
          </w:p>
        </w:tc>
        <w:tc>
          <w:tcPr>
            <w:tcW w:type="dxa" w:w="7526"/>
            <w:tcMar>
              <w:top w:type="dxa" w:w="55"/>
              <w:left w:type="dxa" w:w="90"/>
              <w:bottom w:type="dxa" w:w="55"/>
              <w:right w:type="dxa" w:w="90"/>
            </w:tcMar>
          </w:tcPr>
          <w:p>
            <w:r>
              <w:rPr>
                <w:b w:val="false"/>
                <w:bCs w:val="false"/>
                <w:color w:val="000000"/>
                <w:sz w:val="18"/>
                <w:szCs w:val="18"/>
              </w:rPr>
              <w:t xml:space="preserve">Project Charter and Team Roles</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AQF-02</w:t>
            </w:r>
          </w:p>
        </w:tc>
        <w:tc>
          <w:tcPr>
            <w:tcW w:type="dxa" w:w="7526"/>
            <w:shd w:fill="F4FAFC" w:val="clear"/>
            <w:tcMar>
              <w:top w:type="dxa" w:w="55"/>
              <w:left w:type="dxa" w:w="90"/>
              <w:bottom w:type="dxa" w:w="55"/>
              <w:right w:type="dxa" w:w="90"/>
            </w:tcMar>
          </w:tcPr>
          <w:p>
            <w:r>
              <w:rPr>
                <w:b w:val="false"/>
                <w:bCs w:val="false"/>
                <w:color w:val="000000"/>
                <w:sz w:val="18"/>
                <w:szCs w:val="18"/>
              </w:rPr>
              <w:t xml:space="preserve">Product Requirements Document</w:t>
            </w:r>
          </w:p>
        </w:tc>
      </w:tr>
      <w:tr>
        <w:tc>
          <w:tcPr>
            <w:tcW w:type="dxa" w:w="1500"/>
            <w:tcMar>
              <w:top w:type="dxa" w:w="55"/>
              <w:left w:type="dxa" w:w="90"/>
              <w:bottom w:type="dxa" w:w="55"/>
              <w:right w:type="dxa" w:w="90"/>
            </w:tcMar>
          </w:tcPr>
          <w:p>
            <w:r>
              <w:rPr>
                <w:b w:val="false"/>
                <w:bCs w:val="false"/>
                <w:color w:val="000000"/>
                <w:sz w:val="18"/>
                <w:szCs w:val="18"/>
              </w:rPr>
              <w:t xml:space="preserve">AQF-03</w:t>
            </w:r>
          </w:p>
        </w:tc>
        <w:tc>
          <w:tcPr>
            <w:tcW w:type="dxa" w:w="7526"/>
            <w:tcMar>
              <w:top w:type="dxa" w:w="55"/>
              <w:left w:type="dxa" w:w="90"/>
              <w:bottom w:type="dxa" w:w="55"/>
              <w:right w:type="dxa" w:w="90"/>
            </w:tcMar>
          </w:tcPr>
          <w:p>
            <w:r>
              <w:rPr>
                <w:b w:val="false"/>
                <w:bCs w:val="false"/>
                <w:color w:val="000000"/>
                <w:sz w:val="18"/>
                <w:szCs w:val="18"/>
              </w:rPr>
              <w:t xml:space="preserve">Software Requirements Specification</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AQF-04</w:t>
            </w:r>
          </w:p>
        </w:tc>
        <w:tc>
          <w:tcPr>
            <w:tcW w:type="dxa" w:w="7526"/>
            <w:shd w:fill="F4FAFC" w:val="clear"/>
            <w:tcMar>
              <w:top w:type="dxa" w:w="55"/>
              <w:left w:type="dxa" w:w="90"/>
              <w:bottom w:type="dxa" w:w="55"/>
              <w:right w:type="dxa" w:w="90"/>
            </w:tcMar>
          </w:tcPr>
          <w:p>
            <w:r>
              <w:rPr>
                <w:b w:val="false"/>
                <w:bCs w:val="false"/>
                <w:color w:val="000000"/>
                <w:sz w:val="18"/>
                <w:szCs w:val="18"/>
              </w:rPr>
              <w:t xml:space="preserve">System Architecture (High-Level Design)</w:t>
            </w:r>
          </w:p>
        </w:tc>
      </w:tr>
      <w:tr>
        <w:tc>
          <w:tcPr>
            <w:tcW w:type="dxa" w:w="1500"/>
            <w:tcMar>
              <w:top w:type="dxa" w:w="55"/>
              <w:left w:type="dxa" w:w="90"/>
              <w:bottom w:type="dxa" w:w="55"/>
              <w:right w:type="dxa" w:w="90"/>
            </w:tcMar>
          </w:tcPr>
          <w:p>
            <w:r>
              <w:rPr>
                <w:b w:val="false"/>
                <w:bCs w:val="false"/>
                <w:color w:val="000000"/>
                <w:sz w:val="18"/>
                <w:szCs w:val="18"/>
              </w:rPr>
              <w:t xml:space="preserve">AQF-05</w:t>
            </w:r>
          </w:p>
        </w:tc>
        <w:tc>
          <w:tcPr>
            <w:tcW w:type="dxa" w:w="7526"/>
            <w:tcMar>
              <w:top w:type="dxa" w:w="55"/>
              <w:left w:type="dxa" w:w="90"/>
              <w:bottom w:type="dxa" w:w="55"/>
              <w:right w:type="dxa" w:w="90"/>
            </w:tcMar>
          </w:tcPr>
          <w:p>
            <w:r>
              <w:rPr>
                <w:b w:val="false"/>
                <w:bCs w:val="false"/>
                <w:color w:val="000000"/>
                <w:sz w:val="18"/>
                <w:szCs w:val="18"/>
              </w:rPr>
              <w:t xml:space="preserve">Architecture Decision Records</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AQF-06</w:t>
            </w:r>
          </w:p>
        </w:tc>
        <w:tc>
          <w:tcPr>
            <w:tcW w:type="dxa" w:w="7526"/>
            <w:shd w:fill="F4FAFC" w:val="clear"/>
            <w:tcMar>
              <w:top w:type="dxa" w:w="55"/>
              <w:left w:type="dxa" w:w="90"/>
              <w:bottom w:type="dxa" w:w="55"/>
              <w:right w:type="dxa" w:w="90"/>
            </w:tcMar>
          </w:tcPr>
          <w:p>
            <w:r>
              <w:rPr>
                <w:b w:val="false"/>
                <w:bCs w:val="false"/>
                <w:color w:val="000000"/>
                <w:sz w:val="18"/>
                <w:szCs w:val="18"/>
              </w:rPr>
              <w:t xml:space="preserve">Data Model and Database Schema</w:t>
            </w:r>
          </w:p>
        </w:tc>
      </w:tr>
      <w:tr>
        <w:tc>
          <w:tcPr>
            <w:tcW w:type="dxa" w:w="1500"/>
            <w:tcMar>
              <w:top w:type="dxa" w:w="55"/>
              <w:left w:type="dxa" w:w="90"/>
              <w:bottom w:type="dxa" w:w="55"/>
              <w:right w:type="dxa" w:w="90"/>
            </w:tcMar>
          </w:tcPr>
          <w:p>
            <w:r>
              <w:rPr>
                <w:b w:val="false"/>
                <w:bCs w:val="false"/>
                <w:color w:val="000000"/>
                <w:sz w:val="18"/>
                <w:szCs w:val="18"/>
              </w:rPr>
              <w:t xml:space="preserve">AQF-07</w:t>
            </w:r>
          </w:p>
        </w:tc>
        <w:tc>
          <w:tcPr>
            <w:tcW w:type="dxa" w:w="7526"/>
            <w:tcMar>
              <w:top w:type="dxa" w:w="55"/>
              <w:left w:type="dxa" w:w="90"/>
              <w:bottom w:type="dxa" w:w="55"/>
              <w:right w:type="dxa" w:w="90"/>
            </w:tcMar>
          </w:tcPr>
          <w:p>
            <w:r>
              <w:rPr>
                <w:b w:val="false"/>
                <w:bCs w:val="false"/>
                <w:color w:val="000000"/>
                <w:sz w:val="18"/>
                <w:szCs w:val="18"/>
              </w:rPr>
              <w:t xml:space="preserve">API Contract</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AQF-08</w:t>
            </w:r>
          </w:p>
        </w:tc>
        <w:tc>
          <w:tcPr>
            <w:tcW w:type="dxa" w:w="7526"/>
            <w:shd w:fill="F4FAFC" w:val="clear"/>
            <w:tcMar>
              <w:top w:type="dxa" w:w="55"/>
              <w:left w:type="dxa" w:w="90"/>
              <w:bottom w:type="dxa" w:w="55"/>
              <w:right w:type="dxa" w:w="90"/>
            </w:tcMar>
          </w:tcPr>
          <w:p>
            <w:r>
              <w:rPr>
                <w:b w:val="false"/>
                <w:bCs w:val="false"/>
                <w:color w:val="000000"/>
                <w:sz w:val="18"/>
                <w:szCs w:val="18"/>
              </w:rPr>
              <w:t xml:space="preserve">UML Diagram Package</w:t>
            </w:r>
          </w:p>
        </w:tc>
      </w:tr>
      <w:tr>
        <w:tc>
          <w:tcPr>
            <w:tcW w:type="dxa" w:w="1500"/>
            <w:tcMar>
              <w:top w:type="dxa" w:w="55"/>
              <w:left w:type="dxa" w:w="90"/>
              <w:bottom w:type="dxa" w:w="55"/>
              <w:right w:type="dxa" w:w="90"/>
            </w:tcMar>
          </w:tcPr>
          <w:p>
            <w:r>
              <w:rPr>
                <w:b w:val="false"/>
                <w:bCs w:val="false"/>
                <w:color w:val="000000"/>
                <w:sz w:val="18"/>
                <w:szCs w:val="18"/>
              </w:rPr>
              <w:t xml:space="preserve">AQF-09</w:t>
            </w:r>
          </w:p>
        </w:tc>
        <w:tc>
          <w:tcPr>
            <w:tcW w:type="dxa" w:w="7526"/>
            <w:tcMar>
              <w:top w:type="dxa" w:w="55"/>
              <w:left w:type="dxa" w:w="90"/>
              <w:bottom w:type="dxa" w:w="55"/>
              <w:right w:type="dxa" w:w="90"/>
            </w:tcMar>
          </w:tcPr>
          <w:p>
            <w:r>
              <w:rPr>
                <w:b w:val="false"/>
                <w:bCs w:val="false"/>
                <w:color w:val="000000"/>
                <w:sz w:val="18"/>
                <w:szCs w:val="18"/>
              </w:rPr>
              <w:t xml:space="preserve">Low-Level Design</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AQF-10</w:t>
            </w:r>
          </w:p>
        </w:tc>
        <w:tc>
          <w:tcPr>
            <w:tcW w:type="dxa" w:w="7526"/>
            <w:shd w:fill="F4FAFC" w:val="clear"/>
            <w:tcMar>
              <w:top w:type="dxa" w:w="55"/>
              <w:left w:type="dxa" w:w="90"/>
              <w:bottom w:type="dxa" w:w="55"/>
              <w:right w:type="dxa" w:w="90"/>
            </w:tcMar>
          </w:tcPr>
          <w:p>
            <w:r>
              <w:rPr>
                <w:b w:val="false"/>
                <w:bCs w:val="false"/>
                <w:color w:val="000000"/>
                <w:sz w:val="18"/>
                <w:szCs w:val="18"/>
              </w:rPr>
              <w:t xml:space="preserve">AI Prompt Bank and LLMOps Plan</w:t>
            </w:r>
          </w:p>
        </w:tc>
      </w:tr>
      <w:tr>
        <w:tc>
          <w:tcPr>
            <w:tcW w:type="dxa" w:w="1500"/>
            <w:tcMar>
              <w:top w:type="dxa" w:w="55"/>
              <w:left w:type="dxa" w:w="90"/>
              <w:bottom w:type="dxa" w:w="55"/>
              <w:right w:type="dxa" w:w="90"/>
            </w:tcMar>
          </w:tcPr>
          <w:p>
            <w:r>
              <w:rPr>
                <w:b w:val="false"/>
                <w:bCs w:val="false"/>
                <w:color w:val="000000"/>
                <w:sz w:val="18"/>
                <w:szCs w:val="18"/>
              </w:rPr>
              <w:t xml:space="preserve">AQF-11</w:t>
            </w:r>
          </w:p>
        </w:tc>
        <w:tc>
          <w:tcPr>
            <w:tcW w:type="dxa" w:w="7526"/>
            <w:tcMar>
              <w:top w:type="dxa" w:w="55"/>
              <w:left w:type="dxa" w:w="90"/>
              <w:bottom w:type="dxa" w:w="55"/>
              <w:right w:type="dxa" w:w="90"/>
            </w:tcMar>
          </w:tcPr>
          <w:p>
            <w:r>
              <w:rPr>
                <w:b w:val="false"/>
                <w:bCs w:val="false"/>
                <w:color w:val="000000"/>
                <w:sz w:val="18"/>
                <w:szCs w:val="18"/>
              </w:rPr>
              <w:t xml:space="preserve">Safety, Privacy and Ethical Design</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AQF-12</w:t>
            </w:r>
          </w:p>
        </w:tc>
        <w:tc>
          <w:tcPr>
            <w:tcW w:type="dxa" w:w="7526"/>
            <w:shd w:fill="F4FAFC" w:val="clear"/>
            <w:tcMar>
              <w:top w:type="dxa" w:w="55"/>
              <w:left w:type="dxa" w:w="90"/>
              <w:bottom w:type="dxa" w:w="55"/>
              <w:right w:type="dxa" w:w="90"/>
            </w:tcMar>
          </w:tcPr>
          <w:p>
            <w:r>
              <w:rPr>
                <w:b w:val="false"/>
                <w:bCs w:val="false"/>
                <w:color w:val="000000"/>
                <w:sz w:val="18"/>
                <w:szCs w:val="18"/>
              </w:rPr>
              <w:t xml:space="preserve">Upstream Integration and Licensing Register</w:t>
            </w:r>
          </w:p>
        </w:tc>
      </w:tr>
      <w:tr>
        <w:tc>
          <w:tcPr>
            <w:tcW w:type="dxa" w:w="1500"/>
            <w:tcMar>
              <w:top w:type="dxa" w:w="55"/>
              <w:left w:type="dxa" w:w="90"/>
              <w:bottom w:type="dxa" w:w="55"/>
              <w:right w:type="dxa" w:w="90"/>
            </w:tcMar>
          </w:tcPr>
          <w:p>
            <w:r>
              <w:rPr>
                <w:b w:val="false"/>
                <w:bCs w:val="false"/>
                <w:color w:val="000000"/>
                <w:sz w:val="18"/>
                <w:szCs w:val="18"/>
              </w:rPr>
              <w:t xml:space="preserve">AQF-13</w:t>
            </w:r>
          </w:p>
        </w:tc>
        <w:tc>
          <w:tcPr>
            <w:tcW w:type="dxa" w:w="7526"/>
            <w:tcMar>
              <w:top w:type="dxa" w:w="55"/>
              <w:left w:type="dxa" w:w="90"/>
              <w:bottom w:type="dxa" w:w="55"/>
              <w:right w:type="dxa" w:w="90"/>
            </w:tcMar>
          </w:tcPr>
          <w:p>
            <w:r>
              <w:rPr>
                <w:b w:val="false"/>
                <w:bCs w:val="false"/>
                <w:color w:val="000000"/>
                <w:sz w:val="18"/>
                <w:szCs w:val="18"/>
              </w:rPr>
              <w:t xml:space="preserve">Technical Implementation Document</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AQF-14</w:t>
            </w:r>
          </w:p>
        </w:tc>
        <w:tc>
          <w:tcPr>
            <w:tcW w:type="dxa" w:w="7526"/>
            <w:shd w:fill="F4FAFC" w:val="clear"/>
            <w:tcMar>
              <w:top w:type="dxa" w:w="55"/>
              <w:left w:type="dxa" w:w="90"/>
              <w:bottom w:type="dxa" w:w="55"/>
              <w:right w:type="dxa" w:w="90"/>
            </w:tcMar>
          </w:tcPr>
          <w:p>
            <w:r>
              <w:rPr>
                <w:b w:val="false"/>
                <w:bCs w:val="false"/>
                <w:color w:val="000000"/>
                <w:sz w:val="18"/>
                <w:szCs w:val="18"/>
              </w:rPr>
              <w:t xml:space="preserve">Test Plan and Quality Assurance Strategy</w:t>
            </w:r>
          </w:p>
        </w:tc>
      </w:tr>
      <w:tr>
        <w:tc>
          <w:tcPr>
            <w:tcW w:type="dxa" w:w="1500"/>
            <w:tcMar>
              <w:top w:type="dxa" w:w="55"/>
              <w:left w:type="dxa" w:w="90"/>
              <w:bottom w:type="dxa" w:w="55"/>
              <w:right w:type="dxa" w:w="90"/>
            </w:tcMar>
          </w:tcPr>
          <w:p>
            <w:r>
              <w:rPr>
                <w:b w:val="false"/>
                <w:bCs w:val="false"/>
                <w:color w:val="000000"/>
                <w:sz w:val="18"/>
                <w:szCs w:val="18"/>
              </w:rPr>
              <w:t xml:space="preserve">AQF-15</w:t>
            </w:r>
          </w:p>
        </w:tc>
        <w:tc>
          <w:tcPr>
            <w:tcW w:type="dxa" w:w="7526"/>
            <w:tcMar>
              <w:top w:type="dxa" w:w="55"/>
              <w:left w:type="dxa" w:w="90"/>
              <w:bottom w:type="dxa" w:w="55"/>
              <w:right w:type="dxa" w:w="90"/>
            </w:tcMar>
          </w:tcPr>
          <w:p>
            <w:r>
              <w:rPr>
                <w:b w:val="false"/>
                <w:bCs w:val="false"/>
                <w:color w:val="000000"/>
                <w:sz w:val="18"/>
                <w:szCs w:val="18"/>
              </w:rPr>
              <w:t xml:space="preserve">Runbook and Deployment Guide</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AQF-16</w:t>
            </w:r>
          </w:p>
        </w:tc>
        <w:tc>
          <w:tcPr>
            <w:tcW w:type="dxa" w:w="7526"/>
            <w:shd w:fill="F4FAFC" w:val="clear"/>
            <w:tcMar>
              <w:top w:type="dxa" w:w="55"/>
              <w:left w:type="dxa" w:w="90"/>
              <w:bottom w:type="dxa" w:w="55"/>
              <w:right w:type="dxa" w:w="90"/>
            </w:tcMar>
          </w:tcPr>
          <w:p>
            <w:r>
              <w:rPr>
                <w:b w:val="false"/>
                <w:bCs w:val="false"/>
                <w:color w:val="000000"/>
                <w:sz w:val="18"/>
                <w:szCs w:val="18"/>
              </w:rPr>
              <w:t xml:space="preserve">Development Diary</w:t>
            </w:r>
          </w:p>
        </w:tc>
      </w:tr>
      <w:tr>
        <w:tc>
          <w:tcPr>
            <w:tcW w:type="dxa" w:w="1500"/>
            <w:tcMar>
              <w:top w:type="dxa" w:w="55"/>
              <w:left w:type="dxa" w:w="90"/>
              <w:bottom w:type="dxa" w:w="55"/>
              <w:right w:type="dxa" w:w="90"/>
            </w:tcMar>
          </w:tcPr>
          <w:p>
            <w:r>
              <w:rPr>
                <w:b w:val="false"/>
                <w:bCs w:val="false"/>
                <w:color w:val="000000"/>
                <w:sz w:val="18"/>
                <w:szCs w:val="18"/>
              </w:rPr>
              <w:t xml:space="preserve">AQF-17</w:t>
            </w:r>
          </w:p>
        </w:tc>
        <w:tc>
          <w:tcPr>
            <w:tcW w:type="dxa" w:w="7526"/>
            <w:tcMar>
              <w:top w:type="dxa" w:w="55"/>
              <w:left w:type="dxa" w:w="90"/>
              <w:bottom w:type="dxa" w:w="55"/>
              <w:right w:type="dxa" w:w="90"/>
            </w:tcMar>
          </w:tcPr>
          <w:p>
            <w:r>
              <w:rPr>
                <w:b w:val="false"/>
                <w:bCs w:val="false"/>
                <w:color w:val="000000"/>
                <w:sz w:val="18"/>
                <w:szCs w:val="18"/>
              </w:rPr>
              <w:t xml:space="preserve">Progress Report</w:t>
            </w:r>
          </w:p>
        </w:tc>
      </w:tr>
      <w:tr>
        <w:tc>
          <w:tcPr>
            <w:tcW w:type="dxa" w:w="1500"/>
            <w:shd w:fill="F4FAFC" w:val="clear"/>
            <w:tcMar>
              <w:top w:type="dxa" w:w="55"/>
              <w:left w:type="dxa" w:w="90"/>
              <w:bottom w:type="dxa" w:w="55"/>
              <w:right w:type="dxa" w:w="90"/>
            </w:tcMar>
          </w:tcPr>
          <w:p>
            <w:r>
              <w:rPr>
                <w:b w:val="false"/>
                <w:bCs w:val="false"/>
                <w:color w:val="000000"/>
                <w:sz w:val="18"/>
                <w:szCs w:val="18"/>
              </w:rPr>
              <w:t xml:space="preserve">AQF-18</w:t>
            </w:r>
          </w:p>
        </w:tc>
        <w:tc>
          <w:tcPr>
            <w:tcW w:type="dxa" w:w="7526"/>
            <w:shd w:fill="F4FAFC" w:val="clear"/>
            <w:tcMar>
              <w:top w:type="dxa" w:w="55"/>
              <w:left w:type="dxa" w:w="90"/>
              <w:bottom w:type="dxa" w:w="55"/>
              <w:right w:type="dxa" w:w="90"/>
            </w:tcMar>
          </w:tcPr>
          <w:p>
            <w:r>
              <w:rPr>
                <w:b w:val="false"/>
                <w:bCs w:val="false"/>
                <w:color w:val="000000"/>
                <w:sz w:val="18"/>
                <w:szCs w:val="18"/>
              </w:rPr>
              <w:t xml:space="preserve">User Manual</w:t>
            </w:r>
          </w:p>
        </w:tc>
      </w:tr>
      <w:tr>
        <w:tc>
          <w:tcPr>
            <w:tcW w:type="dxa" w:w="1500"/>
            <w:tcMar>
              <w:top w:type="dxa" w:w="55"/>
              <w:left w:type="dxa" w:w="90"/>
              <w:bottom w:type="dxa" w:w="55"/>
              <w:right w:type="dxa" w:w="90"/>
            </w:tcMar>
          </w:tcPr>
          <w:p>
            <w:r>
              <w:rPr>
                <w:b w:val="false"/>
                <w:bCs w:val="false"/>
                <w:color w:val="000000"/>
                <w:sz w:val="18"/>
                <w:szCs w:val="18"/>
              </w:rPr>
              <w:t xml:space="preserve">AQF-19</w:t>
            </w:r>
          </w:p>
        </w:tc>
        <w:tc>
          <w:tcPr>
            <w:tcW w:type="dxa" w:w="7526"/>
            <w:tcMar>
              <w:top w:type="dxa" w:w="55"/>
              <w:left w:type="dxa" w:w="90"/>
              <w:bottom w:type="dxa" w:w="55"/>
              <w:right w:type="dxa" w:w="90"/>
            </w:tcMar>
          </w:tcPr>
          <w:p>
            <w:r>
              <w:rPr>
                <w:b w:val="false"/>
                <w:bCs w:val="false"/>
                <w:color w:val="000000"/>
                <w:sz w:val="18"/>
                <w:szCs w:val="18"/>
              </w:rPr>
              <w:t xml:space="preserve">Final Report</w:t>
            </w:r>
          </w:p>
        </w:tc>
      </w:tr>
    </w:tbl>
    <w:p>
      <w:pPr>
        <w:spacing w:after="110"/>
      </w:pPr>
      <w:r>
        <w:rPr>
          <w:b w:val="false"/>
          <w:bCs w:val="false"/>
          <w:i/>
          <w:iCs/>
          <w:color w:val="000000"/>
          <w:sz w:val="21"/>
          <w:szCs w:val="21"/>
        </w:rPr>
        <w:t xml:space="preserve">External sources, their verified licences and the obligations accepted are recorded in AQF-12. Citations for any academic sources used in the report body are to be completed by the team in the referencing style required by the unit.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6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672"/>
        <w:sz w:val="15"/>
        <w:szCs w:val="15"/>
      </w:rPr>
      <w:t xml:space="preserve">AquaZeroFit  |  AquaZero  |  NIT3003 Group 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abstractNum w:abstractNumId="3" w15:restartNumberingAfterBreak="0">
    <w:multiLevelType w:val="hybridMultilevel"/>
    <w:lvl w:ilvl="0" w15:tentative="1">
      <w:start w:val="1"/>
      <w:numFmt w:val="decimal"/>
      <w:lvlText w:val="%1."/>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32369395cfd7c02229296103a36accede67334.png"/><Relationship Id="rId10" Type="http://schemas.openxmlformats.org/officeDocument/2006/relationships/image" Target="media/fd383465168e097612f3b3d346d4b2cb63c765de.png"/><Relationship Id="rId11" Type="http://schemas.openxmlformats.org/officeDocument/2006/relationships/image" Target="media/2bc2160d3876f81ebcd52749c042bca8984e2a5d.png"/><Relationship Id="rId12" Type="http://schemas.openxmlformats.org/officeDocument/2006/relationships/image" Target="media/138d4fe1f3afe66c098606b07fb5670ae0e4174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2026-07-29T03:24:46.142Z</dcterms:created>
  <dcterms:modified xsi:type="dcterms:W3CDTF">2026-07-29T03:24:46.142Z</dcterms:modified>
</cp:coreProperties>
</file>

<file path=docProps/custom.xml><?xml version="1.0" encoding="utf-8"?>
<Properties xmlns="http://schemas.openxmlformats.org/officeDocument/2006/custom-properties" xmlns:vt="http://schemas.openxmlformats.org/officeDocument/2006/docPropsVTypes"/>
</file>