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4"/>
          <w:szCs w:val="34"/>
        </w:rPr>
        <w:t xml:space="preserve">NIT3004 Final Report — AquaZeroFit</w:t>
      </w:r>
    </w:p>
    <w:p>
      <w:pPr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Table of Contents</w:t>
      </w:r>
    </w:p>
    <w:p>
      <w:pPr>
        <w:spacing w:after="140" w:line="290"/>
      </w:pPr>
      <w:r>
        <w:rPr>
          <w:rFonts w:ascii="Times New Roman" w:cs="Times New Roman" w:eastAsia="SimSun" w:hAnsi="Times New Roman"/>
          <w:i/>
          <w:iCs/>
          <w:color w:val="78909C"/>
          <w:sz w:val="19"/>
          <w:szCs w:val="19"/>
        </w:rPr>
        <w:t xml:space="preserve">Right-click the table of contents and choose “Update Field” to fill in page numbers.</w:t>
      </w:r>
    </w:p>
    <w:sdt xmlns:w="http://schemas.openxmlformats.org/wordprocessingml/2006/main">
      <w:sdtPr>
        <w:alias w:val="Table of Contents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 Introduction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 Requirements Outcome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 System Architecture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 Database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 AI Engineering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6. Challenges and Problems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7. What We Would Do Differently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8. Student Contributions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9. Verification Summary (as at 31 July 2026)</w:t>
          </w:r>
        </w:p>
        <w:p>
          <w:r>
            <w:fldChar w:fldCharType="end"/>
          </w:r>
        </w:p>
      </w:sdtContent>
    </w:sdt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AQF-19 Final Report (draft — final submission due 17 August 2026)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Unit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NIT3004 IT Capstone Project 2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Babatundji Williams-Fulwood (s8138393), Eric La, Victor Hong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Supervisor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[Supervisor name]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Project window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27 July – 17 August 2026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Draft v3.0 — architecture corrected to the delivered system; to be finalised after deployment stage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1. Introduction</w:t>
      </w:r>
    </w:p>
    <w:p>
      <w:pPr>
        <w:pStyle w:val="Heading3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3"/>
          <w:szCs w:val="23"/>
        </w:rPr>
        <w:t xml:space="preserve">1.1 Project summary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AquaZeroFit is an AI-powered wellness platform built for the NIT3004 capstone. Users create a wellness profile, log meals manually, by barcode or by photograph, and receive calorie targets, meal suggestions and home training plans that adapt to measured progress. A conversational assistant provides guidance within enforced safety boundaries.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The distinguishing decisions of this project were: delivering one codebase to both a web application and a Telegram Mini App; treating the AI layer as engineered infrastructure — one gateway, versioned prompts, evaluation gates — rather than prompt calls scattered through feature code; and treating safety as a coded control rather than a disclaimer.</w:t>
      </w:r>
    </w:p>
    <w:p>
      <w:pPr>
        <w:pStyle w:val="Heading3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3"/>
          <w:szCs w:val="23"/>
        </w:rPr>
        <w:t xml:space="preserve">1.2 Scope review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The delivered scope matches the charter. All functional requirement areas from the brief were implemented; the prompt bank, LLMOps, workflow, UML and design requirement is evidenced across the AQF document set. Deliberately excluded and documented as future work: wearable synchronisation, native mobile applications, live payments and multi-language support — a scope decision made at kickoff rather than a failure discovered late.</w:t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2. Requirements Outcome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Brief requirement</w:t>
            </w:r>
          </w:p>
        </w:tc>
        <w:tc>
          <w:tcPr>
            <w:tcW w:type="dxa" w:w="31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Outcome</w:t>
            </w:r>
          </w:p>
        </w:tc>
        <w:tc>
          <w:tcPr>
            <w:tcW w:type="dxa" w:w="31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1. Secure registration, authentication, profile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Email + Telegram paths; rotating single-use refresh tokens with family revocation; auth integration suite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2. Wellness profile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Safe-range validation from shared schemas; server-side target derivation with safety clamp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3. Food logging with image recognition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Manual, barcode and photo paths; mandatory confirmation before any photo log commits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4. Nutrition monitoring dashboard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Calories, macros, water, weight — reconciled to source logs by integration tests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5. Meal and recipe recommendation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Structured generation with deterministic allergen exclusion (zero-tolerance filter in code)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6. Home training and weight-loss planning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Plan generation with iteration-indexed progression and safety bounds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7. Daily workout module with media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Guided sessions; 828-exercise library with per-record licence attribution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8. Progress tracking dashboard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Weight and calorie trends, training history, achievements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9. Conversational assistant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Streaming coach with guardrail chain and crisis signposting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10. Safety, privacy and ethical design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Calorie clamp; consent-gated AI memory; export and deletion; EXIF stripping on photos; safety eval gate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11. Prompt bank, LLMOps, workflow, UML, design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Delivered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P-01…P-11 versioned prompts; eval suites as a merge gate; AQF-05/08/10/12; AquaZero design system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3. System Architecture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The delivered system is a TypeScript monorepo: </w:t>
      </w:r>
      <w:r>
        <w:rPr>
          <w:rFonts w:ascii="Consolas" w:cs="Consolas" w:eastAsia="SimSun" w:hAnsi="Consolas"/>
          <w:sz w:val="20"/>
          <w:szCs w:val="20"/>
        </w:rPr>
        <w:t xml:space="preserve">apps/api</w:t>
      </w:r>
      <w:r>
        <w:rPr>
          <w:rFonts w:ascii="Times New Roman" w:cs="Times New Roman" w:eastAsia="SimSun" w:hAnsi="Times New Roman"/>
          <w:sz w:val="22"/>
          <w:szCs w:val="22"/>
        </w:rPr>
        <w:t xml:space="preserve"> (Node 20 + Express, ESM), </w:t>
      </w:r>
      <w:r>
        <w:rPr>
          <w:rFonts w:ascii="Consolas" w:cs="Consolas" w:eastAsia="SimSun" w:hAnsi="Consolas"/>
          <w:sz w:val="20"/>
          <w:szCs w:val="20"/>
        </w:rPr>
        <w:t xml:space="preserve">apps/web</w:t>
      </w:r>
      <w:r>
        <w:rPr>
          <w:rFonts w:ascii="Times New Roman" w:cs="Times New Roman" w:eastAsia="SimSun" w:hAnsi="Times New Roman"/>
          <w:sz w:val="22"/>
          <w:szCs w:val="22"/>
        </w:rPr>
        <w:t xml:space="preserve"> (React 18 + Vite + Tailwind), </w:t>
      </w:r>
      <w:r>
        <w:rPr>
          <w:rFonts w:ascii="Consolas" w:cs="Consolas" w:eastAsia="SimSun" w:hAnsi="Consolas"/>
          <w:sz w:val="20"/>
          <w:szCs w:val="20"/>
        </w:rPr>
        <w:t xml:space="preserve">packages/shared</w:t>
      </w:r>
      <w:r>
        <w:rPr>
          <w:rFonts w:ascii="Times New Roman" w:cs="Times New Roman" w:eastAsia="SimSun" w:hAnsi="Times New Roman"/>
          <w:sz w:val="22"/>
          <w:szCs w:val="22"/>
        </w:rPr>
        <w:t xml:space="preserve"> (types and zod schemas shared by both).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          ┌──────────────────────────────────────────────────┐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          │           Managed host (Replit Reserved VM)      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Browser ──────▶│  Express API — single origin, one external port  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          │   ├─ serves the built SPA (immutable asset cache)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Telegram ─────▶│   ├─ /api/v1: auth, me, logs, foods, plans,      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Mini App       │   │   workouts, progress, chat, memory, vision   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          │   ├─ AI gateway ─▶ providers ─▶ offline mock     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          │   └─ document store ──▶ PostgreSQL (managed)      │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          └──────────────────────────────────────────────────┘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Domain: registered at Hostinger, DNS-pointed to the host</w:t>
      </w:r>
    </w:p>
    <w:p>
      <w:pPr>
        <w:spacing w:after="0" w:line="230"/>
      </w:pPr>
      <w:r>
        <w:rPr>
          <w:rFonts w:ascii="Consolas" w:cs="Consolas" w:eastAsia="SimSun" w:hAnsi="Consolas"/>
          <w:sz w:val="17"/>
          <w:szCs w:val="17"/>
        </w:rPr>
        <w:t xml:space="preserve">       (A record + permanent TXT verification, automatic HTTPS)</w:t>
      </w:r>
    </w:p>
    <w:p>
      <w:pPr>
        <w:spacing w:after="120"/>
      </w:pPr>
      <w:r>
        <w:rPr>
          <w:rFonts w:ascii="Times New Roman" w:cs="Times New Roman" w:eastAsia="SimSun" w:hAnsi="Times New Roman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One React codebase produces both delivery targets, branching at bootstrap on Telegram launch data.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The API serves the built SPA from the same origin: one port, one certificate, no CORS. The routing fallback is regression-tested so it can never shadow an API route.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Operational data is document-shaped in named containers (users, profiles, logs, plans, content, foodsOff, foodsFdc, ai, ledger, audit) behind a storage abstraction: a JSON store for local development and tests, and a Postgres write-through store (single JSONB </w:t>
      </w:r>
      <w:r>
        <w:rPr>
          <w:rFonts w:ascii="Consolas" w:cs="Consolas" w:eastAsia="SimSun" w:hAnsi="Consolas"/>
          <w:sz w:val="20"/>
          <w:szCs w:val="20"/>
        </w:rPr>
        <w:t xml:space="preserve">documents</w:t>
      </w:r>
      <w:r>
        <w:rPr>
          <w:rFonts w:ascii="Times New Roman" w:cs="Times New Roman" w:eastAsia="SimSun" w:hAnsi="Times New Roman"/>
          <w:sz w:val="22"/>
          <w:szCs w:val="22"/>
        </w:rPr>
        <w:t xml:space="preserve"> table, per-document dirty tracking, batched flush) selected automatically when </w:t>
      </w:r>
      <w:r>
        <w:rPr>
          <w:rFonts w:ascii="Consolas" w:cs="Consolas" w:eastAsia="SimSun" w:hAnsi="Consolas"/>
          <w:sz w:val="20"/>
          <w:szCs w:val="20"/>
        </w:rPr>
        <w:t xml:space="preserve">DATABASE_URL</w:t>
      </w:r>
      <w:r>
        <w:rPr>
          <w:rFonts w:ascii="Times New Roman" w:cs="Times New Roman" w:eastAsia="SimSun" w:hAnsi="Times New Roman"/>
          <w:sz w:val="22"/>
          <w:szCs w:val="22"/>
        </w:rPr>
        <w:t xml:space="preserve"> is present.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All model access goes through one AI gateway with logical task lanes (visionPrimary, chatFast, planStructured, safetyCheap, insightBatch). With no provider keys configured, a deterministic offline engine serves every lane, which keeps development free and evaluation reproducible.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Every model-calling endpoint enforces the admission sequence: authenticate → rate limit → tier/credit check → input guardrail → gateway → output guardrail and numeric rules → respond + telemetry.</w:t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4. Database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The team chose a document model because the operational data is naturally document-shaped, and backed it with PostgreSQL for durability on managed hosting whose filesystem resets on every publish. The write-through design keeps reads in memory (single-instance semantics, which is why the host runs a Reserved VM rather than autoscale — recorded as an explicit decision with its trade-off) while every write persists in batched, idempotent upserts.</w:t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5. AI Engineering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The most consequential engineering decision was to remove arithmetic from the model. The vision model identifies candidate foods; calories and macros are a deterministic per-100 g lookup multiplied in code. Results are reproducible for identical inputs, cheap, and independently evaluable per pipeline step.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Eleven versioned prompts (P-01…P-11), each with a defined output schema and known failure modes.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Three safety evaluation suites (assistant 43 cases, allergen 12, plan 15) run by </w:t>
      </w:r>
      <w:r>
        <w:rPr>
          <w:rFonts w:ascii="Consolas" w:cs="Consolas" w:eastAsia="SimSun" w:hAnsi="Consolas"/>
          <w:sz w:val="20"/>
          <w:szCs w:val="20"/>
        </w:rPr>
        <w:t xml:space="preserve">npm run eval</w:t>
      </w:r>
      <w:r>
        <w:rPr>
          <w:rFonts w:ascii="Times New Roman" w:cs="Times New Roman" w:eastAsia="SimSun" w:hAnsi="Times New Roman"/>
          <w:sz w:val="22"/>
          <w:szCs w:val="22"/>
        </w:rPr>
        <w:t xml:space="preserve">, which exits non-zero on any critical miss — a gate, not a report.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Provider routing by task with production resilience: retryable-error classification, jittered exponential backoff honouring Retry-After, a per-provider circuit breaker, and an overall 12-second deadline across the chain; a </w:t>
      </w:r>
      <w:r>
        <w:rPr>
          <w:rFonts w:ascii="Consolas" w:cs="Consolas" w:eastAsia="SimSun" w:hAnsi="Consolas"/>
          <w:sz w:val="20"/>
          <w:szCs w:val="20"/>
        </w:rPr>
        <w:t xml:space="preserve">degraded</w:t>
      </w:r>
      <w:r>
        <w:rPr>
          <w:rFonts w:ascii="Times New Roman" w:cs="Times New Roman" w:eastAsia="SimSun" w:hAnsi="Times New Roman"/>
          <w:sz w:val="22"/>
          <w:szCs w:val="22"/>
        </w:rPr>
        <w:t xml:space="preserve"> flag marks any response that fell back after real-provider failure.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An append-only credit ledger bounds spend per user; balances are derived by folding transactions.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Per-user memory uses a staged suggested/confirmed/rejected fact lifecycle — the AI never confirms a fact about the user; the user does — and every memory surface is gated on explicit consent.</w:t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6. Challenges and 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Challenge</w:t>
            </w:r>
          </w:p>
        </w:tc>
        <w:tc>
          <w:tcPr>
            <w:tcW w:type="dxa" w:w="31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Response</w:t>
            </w:r>
          </w:p>
        </w:tc>
        <w:tc>
          <w:tcPr>
            <w:tcW w:type="dxa" w:w="312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Host filesystem resets on publish — file persistence would destroy all user data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Split the store into a shared in-memory base with JSON and Postgres backings; hydrate before accepting traffic; verified restart survival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Durable persistence without converting 77 call sites to async mid-project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Uploaded meal photos carry GPS EXIF at home-address precision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Re-encode every upload from decoded pixels, discarding all metadata; tests assert absence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 data never persists alongside health records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Telegram Mini Apps render inside an iframe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Framing policy uses CSP </w:t>
            </w: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frame-ancestors</w:t>
            </w: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 allowing telegram.org; </w:t>
            </w: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X-Frame-Options</w:t>
            </w: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 deliberately not sent (it cannot express a multi-origin allowlist)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Mini App works; clickjacking protection retained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AI providers fail, rate-limit or hang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Retry/backoff/circuit breaker with an overall deadline; deterministic fallback; </w:t>
            </w:r>
            <w:r>
              <w:rPr>
                <w:rFonts w:ascii="Consolas" w:cs="Consolas" w:eastAsia="SimSun" w:hAnsi="Consolas"/>
                <w:sz w:val="20"/>
                <w:szCs w:val="20"/>
              </w:rPr>
              <w:t xml:space="preserve">degraded</w:t>
            </w: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 metadata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Worst-case latency cut from ~100 s to 12 s; failures visible instead of silent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Licence obligations on imported content (CC-BY-SA, ODbL)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Attribution retained per record; OFF data segregated in its own container; in-app credit lines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Compliance posture documented; attribution page scheduled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Three-person team formed five days before this report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Bounded, independently demonstrable ownership per member; daily minuted meetings; same-day diary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Each member can demonstrate and explain their own work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7. What We Would Do Differently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Wire the transactional email provider in week one — password reset without delivery is a launch blocker discovered by review rather than by plan.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Stand up CI on day one so the eval gate runs on every push rather than on demand.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Verify HEIC uploads on a physical iPhone earlier: format support depends on the codecs compiled into the deployed image library, not on the file being valid.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Draft the privacy policy alongside the consent model instead of after it; the engineering was ready before the legal surface.</w:t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8. Student Contributions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Member</w:t>
            </w:r>
          </w:p>
        </w:tc>
        <w:tc>
          <w:tcPr>
            <w:tcW w:type="dxa" w:w="468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Contribution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Babatundji Williams-Fulwood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Technical lead and architect. System architecture and module boundaries; authentication service and token model; Telegram launch-data validation; target calculator with safety clamp; nutrition, logging and analytics services; meal-photo pipeline and its privacy hardening; the AI gateway with routing, resilience and budgets; guardrails and credit ledger; per-user memory and consent enforcement; Postgres persistence store; production hardening and graceful shutdown; deployment configuration and the hosting/domain guide; sprint facilitation and the integrated demonstration.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Eric La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Frontend developer. Implemented the AquaZero design system from the Figma reference set; authentication and onboarding screens; nutrition, capture and analysis screens; workout library and guided session detail; progress, coach and settings/memory screens; loading, empty and error states throughout; Telegram theme binding and auto-login surface.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Victor Hong</w:t>
            </w:r>
          </w:p>
        </w:tc>
        <w:tc>
          <w:tcPr>
            <w:tcW w:type="dxa" w:w="468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 w:line="27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Data and quality engineer. wger exercise-corpus import with per-record attribution; Open Food Facts ingestion with ODbL segregation and energy cross-checks; integration suites including the 24-test cross-user isolation suite; safety evaluation fixtures and runner wiring; verification evidence for Assessment 1; media curation.</w:t>
            </w:r>
          </w:p>
        </w:tc>
      </w:tr>
    </w:tbl>
    <w:p>
      <w:pPr>
        <w:spacing w:after="120"/>
      </w:pPr>
      <w:r>
        <w:rPr>
          <w:rFonts w:ascii="Times New Roman" w:cs="Times New Roman" w:eastAsia="SimSun" w:hAnsi="Times New Roman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Times New Roman" w:cs="Times New Roman" w:eastAsia="SimSun" w:hAnsi="Times New Roman"/>
          <w:b/>
          <w:bCs/>
          <w:color w:val="263238"/>
          <w:sz w:val="25"/>
          <w:szCs w:val="25"/>
        </w:rPr>
        <w:t xml:space="preserve">9. Verification Summary (as at 31 July 2026)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412 automated tests across 31 files — all passing.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Typecheck clean across all three workspaces.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Safety evaluation gate passed: zero critical misses, zero allergen violations, zero plan-safety failures.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Live smoke test verified: health/ready probes, SPA serving and deep links, JSON error envelope on unknown API routes, immutable asset caching, Telegram-compatible CSP.</w:t>
      </w:r>
    </w:p>
    <w:p>
      <w:pPr>
        <w:spacing w:after="140" w:line="290"/>
      </w:pPr>
      <w:r>
        <w:rPr>
          <w:rFonts w:ascii="Times New Roman" w:cs="Times New Roman" w:eastAsia="SimSun" w:hAnsi="Times New Roman"/>
          <w:sz w:val="22"/>
          <w:szCs w:val="22"/>
        </w:rPr>
        <w:t xml:space="preserve">Remaining to 17 August: object storage for uploads, first production publish and domain link, transactional email, privacy policy and attribution pages, accessibility and Telegram polish, final evidence pack.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29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290"/>
      <w:jc w:val="center"/>
    </w:pPr>
    <w:r>
      <w:rPr>
        <w:rFonts w:ascii="Times New Roman" w:cs="Times New Roman" w:eastAsia="SimSun" w:hAnsi="Times New Roman"/>
        <w:b/>
        <w:bCs/>
        <w:color w:val="37474F"/>
        <w:sz w:val="19"/>
        <w:szCs w:val="19"/>
      </w:rPr>
      <w:t xml:space="preserve">NIT3004 Final Report — AquaZeroFit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2026-07-31T07:27:22.794Z</dcterms:created>
  <dcterms:modified xsi:type="dcterms:W3CDTF">2026-07-31T07:27:22.795Z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