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Build Plan v5.4 → code: change record &amp; suggested edits</w:t>
      </w:r>
    </w:p>
    <w:p>
      <w:r>
        <w:rPr>
          <w:i/>
          <w:color w:val="6A6A64"/>
        </w:rPr>
        <w:t>What the implementation now does that diverges from Artifact Build Plan v5.4,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Build Plan v5.4 still describes the single CIP-Short Lack-of-Readiness subscale (5 items, reverse-scored) and marks the CIP subscale “pending supervisor confirmation.” The supervisor's confirmed scale note resolves that pending item with a DIFFERENT instrument: two 3-item forward-scored outcomes. The code implements the confirmed version everywhere the old cip_lr lived.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 / §10.1i–j (distal outcome)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CIP-Short LR subscale, reverse-scored; H4/H5 merged.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outcomes: cip_ca (anxiety) + cip_cf (confidence).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Describe the two indices; drop the merge note; align H-numbering with the Brief.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§10.1 Pre-survey block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CIP-LR block (5 items).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CIP block of 6 items (mixed order), 6-point, forward.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block contents with the 6 items; keep the single paged block.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§10.2 Post-survey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post-CIP-LR (5).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post-CIP (6) with _post ids.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with the 6 post items.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§14b / analysis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One reverse-scored distal mean; one alpha.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forward means (cip_anxiety, cip_confidence); two alphas; admin CSV + live descriptives split.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Update the analysis description to two outcomes; note forward scoring and two reliabilities.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Instrument appendix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(Xu &amp; Tracey, 2017b); item 5 verbatim, 1–4 reconstructed.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6 items from CC + LR blocks; loadings Xu (2020); Hacker et al. (2013) wording.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Swap the appendix entry; keep ‘confirm against CIP-65 before fielding.’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§5 Architecture (‘no-build React’)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React/Babel from CDN; .jsx transpiled in-browser at load.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Precompiled build/*.js + vendored React; no runtime Babel/CDN; npm run build; build_sync_test in CI.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Change ‘no-build’ to ‘precompiled (no bundler)’; note the build step + CI guard.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§16 Comfort defaults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A+++ / Roomy / Wide (text size MAX).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Default A+ / Cozy / Normal (neutral premium); all larger options still in the panel; key v4.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neutral default; the maxima remain one tap away.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§7 Screen flow (Phase-B / pauses)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Lock-in revealed when directions appear; pauses are forward-only.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Cards stay visible (lock opens on tap); pauses now have a guarded Back; post-survey still no Back into role-play.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card-first behaviour + per-phase Back (with the §7 no-return-after-post rule kept).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future horizon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from profile + O*NET (present-day); Stage-C has a brief future-time note.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Stage-B recs explicitly chosen/framed for the 10-yr horizon (AI/automation; durable skills); Stage-C portrays the chosen career as it is ~10 yrs on and gives future-grounded skill/entry advice.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Add a ‘ten-year horizon’ paragraph to §8.1/§8.5 (rec prompts) and strengthen the §8.2/§8.3 time-anchor so advice reflects the future labour market, not today's.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§8 Prompts — reply length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Role-play replies tend to a uniform medium paragraph.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Length discipline: most replies short (1–3 sentences), deliberate mix; only big questions earn 2–3 short paragraphs.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Note the strengthened length rule in §8.2/§8.3 (validated by role-play tests).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 / §10 (distal outcome):</w:t>
      </w:r>
    </w:p>
    <w:p>
      <w:r>
        <w:rPr>
          <w:b w:val="0"/>
          <w:i w:val="0"/>
          <w:sz w:val="21"/>
        </w:rPr>
        <w:t>“The career-level distal outcomes are two short CIP-Short indices measured pre + post in both conditions and never fed to the model: commitment anxiety (cip_ca_1..3; higher = more career indecision) and career decision self-efficacy / confidence (cip_cf_1..3; higher = more confident). Both on the original 6-point agreement scale, shown mixed, scored forward (raw means).”</w:t>
      </w:r>
    </w:p>
    <w:p>
      <w:r>
        <w:rPr>
          <w:b/>
          <w:i w:val="0"/>
          <w:sz w:val="21"/>
        </w:rPr>
        <w:t>§5 (architecture):</w:t>
      </w:r>
    </w:p>
    <w:p>
      <w:r>
        <w:rPr>
          <w:b w:val="0"/>
          <w:i w:val="0"/>
          <w:sz w:val="21"/>
        </w:rPr>
        <w:t>“Participant browser (precompiled React: build/*.js, vendored React) — source is plain .jsx, compiled by `npm run build`; no runtime Babel and no CDN dependency. CI runs npm test (incl. a build-sync guard) and the build.”</w:t>
      </w:r>
    </w:p>
    <w:p>
      <w:pPr>
        <w:pStyle w:val="Heading1"/>
      </w:pPr>
      <w:r>
        <w:rPr>
          <w:color w:val="202020"/>
        </w:rPr>
        <w:t>4. [TO-IMPLEMENT] items to mark IMPLEMENTED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ListBullet"/>
      </w:pPr>
      <w:r>
        <w:t>(n) post-survey interview model: implemented in survey.jsx (Yes/No interview flag, team email shown, no contact collected); responses stored in the postSurvey JSONB — no schema column needed. The thesis §4.2 storage description should still be updated to match.</w:t>
      </w:r>
    </w:p>
    <w:p>
      <w:pPr>
        <w:pStyle w:val="Heading1"/>
      </w:pPr>
      <w:r>
        <w:rPr>
          <w:color w:val="202020"/>
        </w:rPr>
        <w:t>5. Other implementation notes (UX / repo)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A guard makes this apply to EVERY field (clinical, hands-on, caring, creative, trades — not only desk work). Reply-length discipline strengthened so MOST replies are short (1–3 sentences) with a deliberate mix, instead of a uniform medium paragraph every turn.</w:t>
      </w:r>
    </w:p>
    <w:p>
      <w:pPr>
        <w:pStyle w:val="ListBullet"/>
      </w:pPr>
      <w:r>
        <w:t>Prompt-behaviour QA: test/prompt_behavior_check.mjs runs the real Stage-C prompt through a scripted conversation and OBJECTIVELY measures length-variation + future-grounding across career types (analytical/clinical/caring); both PASS (see docs/prompt_behavior_evidence.md). Re-run with the study's gpt-5.1 (LLM_BASE_URL+UVA_API_TOKEN) before fielding; it exits non-zero on regression.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