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C337" w14:textId="1F36A6B8" w:rsidR="00F12B69" w:rsidRPr="00263DE8" w:rsidRDefault="000D48D2">
      <w:pPr>
        <w:rPr>
          <w:rFonts w:ascii="Times New Roman" w:hAnsi="Times New Roman" w:cs="Times New Roman"/>
          <w:sz w:val="28"/>
          <w:szCs w:val="28"/>
        </w:rPr>
      </w:pPr>
      <w:r w:rsidRPr="00263DE8">
        <w:rPr>
          <w:rFonts w:ascii="Times New Roman" w:hAnsi="Times New Roman" w:cs="Times New Roman"/>
          <w:sz w:val="28"/>
          <w:szCs w:val="28"/>
        </w:rPr>
        <w:t xml:space="preserve">Выбор типа БД и определение </w:t>
      </w:r>
      <w:r w:rsidRPr="00263DE8">
        <w:rPr>
          <w:rFonts w:ascii="Times New Roman" w:hAnsi="Times New Roman" w:cs="Times New Roman"/>
          <w:sz w:val="28"/>
          <w:szCs w:val="28"/>
        </w:rPr>
        <w:t>основных сущностей.</w:t>
      </w:r>
    </w:p>
    <w:p w14:paraId="48BC25DD" w14:textId="31B2C16E" w:rsidR="000D48D2" w:rsidRPr="00263DE8" w:rsidRDefault="000D48D2">
      <w:pPr>
        <w:rPr>
          <w:rFonts w:ascii="Times New Roman" w:hAnsi="Times New Roman" w:cs="Times New Roman"/>
          <w:sz w:val="24"/>
          <w:szCs w:val="24"/>
        </w:rPr>
      </w:pPr>
      <w:r w:rsidRPr="00263DE8">
        <w:rPr>
          <w:rFonts w:ascii="Times New Roman" w:hAnsi="Times New Roman" w:cs="Times New Roman"/>
          <w:sz w:val="24"/>
          <w:szCs w:val="24"/>
        </w:rPr>
        <w:t xml:space="preserve">Выбор в сторону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63DE8">
        <w:rPr>
          <w:rFonts w:ascii="Times New Roman" w:hAnsi="Times New Roman" w:cs="Times New Roman"/>
          <w:sz w:val="24"/>
          <w:szCs w:val="24"/>
        </w:rPr>
        <w:t xml:space="preserve"> очевиден и не будет дополнительно поясняться.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Конкретная модификация – </w:t>
      </w:r>
      <w:proofErr w:type="spellStart"/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в связи с поддержкой массивов, в отличие от </w:t>
      </w:r>
      <w:proofErr w:type="spellStart"/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SqlServer</w:t>
      </w:r>
      <w:proofErr w:type="spellEnd"/>
      <w:r w:rsidR="00263DE8" w:rsidRPr="00263DE8">
        <w:rPr>
          <w:rFonts w:ascii="Times New Roman" w:hAnsi="Times New Roman" w:cs="Times New Roman"/>
          <w:sz w:val="24"/>
          <w:szCs w:val="24"/>
        </w:rPr>
        <w:t>.</w:t>
      </w:r>
    </w:p>
    <w:p w14:paraId="4831A19D" w14:textId="31B37845" w:rsidR="00263DE8" w:rsidRDefault="00263DE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3DE8">
        <w:rPr>
          <w:rFonts w:ascii="Times New Roman" w:hAnsi="Times New Roman" w:cs="Times New Roman"/>
          <w:sz w:val="24"/>
          <w:szCs w:val="24"/>
        </w:rPr>
        <w:t xml:space="preserve">При работе с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263DE8">
        <w:rPr>
          <w:rFonts w:ascii="Times New Roman" w:hAnsi="Times New Roman" w:cs="Times New Roman"/>
          <w:sz w:val="24"/>
          <w:szCs w:val="24"/>
        </w:rPr>
        <w:t xml:space="preserve"> практически обязательным является использование </w:t>
      </w:r>
      <w:proofErr w:type="spellStart"/>
      <w:r w:rsidRPr="00263DE8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  <w:r w:rsidRPr="00263DE8">
        <w:rPr>
          <w:rFonts w:ascii="Times New Roman" w:hAnsi="Times New Roman" w:cs="Times New Roman"/>
          <w:sz w:val="24"/>
          <w:szCs w:val="24"/>
        </w:rPr>
        <w:t xml:space="preserve">, обеспечивающего взаимодействие с БД. Для этого необходимо установить </w:t>
      </w:r>
      <w:proofErr w:type="spellStart"/>
      <w:r w:rsidRPr="00263DE8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263DE8">
        <w:rPr>
          <w:rFonts w:ascii="Times New Roman" w:hAnsi="Times New Roman" w:cs="Times New Roman"/>
          <w:sz w:val="24"/>
          <w:szCs w:val="24"/>
        </w:rPr>
        <w:t xml:space="preserve">-пакет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Npg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Sql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который является пользовательской разработкой, в отличии от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EntityFramework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SqlServer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который является разработкой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Microsoft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Данный пакет позволяет установить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взаимодейтсвие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EntityFramework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локальной БД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PostgreSql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D19CAB4" w14:textId="12E510D6" w:rsidR="00263DE8" w:rsidRDefault="00263DE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Уже сейчас, на этапе высокоуровневого проектирования можно выделить следующие сущности:</w:t>
      </w:r>
    </w:p>
    <w:p w14:paraId="78C38FAC" w14:textId="1F7C271D" w:rsidR="00263DE8" w:rsidRPr="00263DE8" w:rsidRDefault="00263DE8" w:rsidP="00263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(User)</w:t>
      </w:r>
    </w:p>
    <w:p w14:paraId="78F558BA" w14:textId="24EF06F3" w:rsidR="00263DE8" w:rsidRPr="00263DE8" w:rsidRDefault="00263DE8" w:rsidP="00263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(Project)</w:t>
      </w:r>
    </w:p>
    <w:p w14:paraId="00EA5D37" w14:textId="7BA878FB" w:rsidR="00263DE8" w:rsidRPr="00761ED2" w:rsidRDefault="00761ED2" w:rsidP="00263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(</w:t>
      </w:r>
      <w:r>
        <w:rPr>
          <w:rFonts w:ascii="Times New Roman" w:hAnsi="Times New Roman" w:cs="Times New Roman"/>
          <w:sz w:val="24"/>
          <w:szCs w:val="24"/>
          <w:lang w:val="en-US"/>
        </w:rPr>
        <w:t>Document)</w:t>
      </w:r>
    </w:p>
    <w:p w14:paraId="3B05F76C" w14:textId="77777777" w:rsidR="00A84881" w:rsidRDefault="00761ED2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моим представлениям, из любой системы следует исключать взаимную зависимость.</w:t>
      </w:r>
      <w:r w:rsidRPr="00761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Исходя из этого спроектируем модель для каждой из сущностей.</w:t>
      </w:r>
      <w:r w:rsidR="00A84881" w:rsidRPr="00A848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25DA0" w14:textId="76AA9E6D" w:rsidR="002C2D54" w:rsidRDefault="00A84881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появится условность, в виде существенного упрощения БД, ведь я не буду делить документацию по проекту на главы и разделы, вместо этого я </w:t>
      </w:r>
      <w:r w:rsidR="00BB2FA4">
        <w:rPr>
          <w:rFonts w:ascii="Times New Roman" w:hAnsi="Times New Roman" w:cs="Times New Roman"/>
          <w:sz w:val="24"/>
          <w:szCs w:val="24"/>
        </w:rPr>
        <w:t>добавлю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ProjectsGroup</w:t>
      </w:r>
      <w:proofErr w:type="spellEnd"/>
      <w:r w:rsidRPr="00A848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Это, опять же, проще, чем создавать разделы и главы документации в одном проекте</w:t>
      </w:r>
      <w:r w:rsidR="00BB2FA4">
        <w:rPr>
          <w:rFonts w:ascii="Times New Roman" w:hAnsi="Times New Roman" w:cs="Times New Roman"/>
          <w:sz w:val="24"/>
          <w:szCs w:val="24"/>
        </w:rPr>
        <w:t>, но в целом выполнит ту же самую функцию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FA0366" w14:textId="29CE9EB0" w:rsidR="00761ED2" w:rsidRPr="00BB2FA4" w:rsidRDefault="002C2D54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B2FA4">
        <w:rPr>
          <w:noProof/>
        </w:rPr>
        <w:object w:dxaOrig="225" w:dyaOrig="225" w14:anchorId="3BA44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25pt;height:352.5pt;z-index:251659264;mso-position-horizontal:center;mso-position-horizontal-relative:margin;mso-position-vertical:inside;mso-position-vertical-relative:text;mso-width-relative:page;mso-height-relative:page">
            <v:imagedata r:id="rId6" o:title=""/>
            <w10:wrap type="topAndBottom" anchorx="margin"/>
          </v:shape>
          <o:OLEObject Type="Embed" ProgID="Visio.Drawing.15" ShapeID="_x0000_s1026" DrawAspect="Content" ObjectID="_1698154367" r:id="rId7"/>
        </w:object>
      </w:r>
      <w:r w:rsidR="00BB2FA4">
        <w:rPr>
          <w:rFonts w:ascii="Times New Roman" w:hAnsi="Times New Roman" w:cs="Times New Roman"/>
          <w:sz w:val="24"/>
          <w:szCs w:val="24"/>
        </w:rPr>
        <w:t xml:space="preserve">Как можно заметить из схемы, циклической зависимости в структуре не предвидится. </w:t>
      </w:r>
    </w:p>
    <w:sectPr w:rsidR="00761ED2" w:rsidRPr="00BB2FA4" w:rsidSect="000D48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17A"/>
    <w:multiLevelType w:val="hybridMultilevel"/>
    <w:tmpl w:val="9DF09494"/>
    <w:lvl w:ilvl="0" w:tplc="6B76FB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9B"/>
    <w:rsid w:val="000D48D2"/>
    <w:rsid w:val="00263DE8"/>
    <w:rsid w:val="002C2D54"/>
    <w:rsid w:val="0047199B"/>
    <w:rsid w:val="00761ED2"/>
    <w:rsid w:val="00A84881"/>
    <w:rsid w:val="00BB2FA4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79637BB"/>
  <w15:chartTrackingRefBased/>
  <w15:docId w15:val="{222E38BC-0C96-4969-AF36-7068654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B757-CEA5-4C5D-9A03-684D708B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3</cp:revision>
  <dcterms:created xsi:type="dcterms:W3CDTF">2021-11-11T12:34:00Z</dcterms:created>
  <dcterms:modified xsi:type="dcterms:W3CDTF">2021-11-11T13:46:00Z</dcterms:modified>
</cp:coreProperties>
</file>