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 w:after="440"/>
        <w:jc w:val="center"/>
      </w:pPr>
      <w:r>
        <w:rPr>
          <w:rFonts w:ascii="宋体" w:hAnsi="宋体" w:eastAsia="宋体" w:cs="宋体"/>
          <w:b/>
          <w:color w:val="000000"/>
          <w:sz w:val="44"/>
        </w:rPr>
        <w:t>金融投研智能体运行说明</w:t>
      </w:r>
    </w:p>
    <w:p>
      <w:pPr>
        <w:pStyle w:val="Subtitle"/>
        <w:spacing w:after="20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上市公司财报分析赛道</w:t>
      </w:r>
    </w:p>
    <w:p>
      <w:pPr>
        <w:spacing w:before="640"/>
        <w:jc w:val="center"/>
      </w:pPr>
      <w:r>
        <w:rPr>
          <w:rFonts w:ascii="宋体" w:hAnsi="宋体" w:eastAsia="宋体" w:cs="宋体"/>
          <w:b w:val="0"/>
          <w:color w:val="000000"/>
          <w:sz w:val="22"/>
        </w:rPr>
        <w:t>软件版本 0.4.0</w:t>
      </w:r>
    </w:p>
    <w:p>
      <w:pPr>
        <w:jc w:val="center"/>
      </w:pPr>
      <w:r>
        <w:rPr>
          <w:rFonts w:ascii="宋体" w:hAnsi="宋体" w:eastAsia="宋体" w:cs="宋体"/>
          <w:b w:val="0"/>
          <w:color w:val="000000"/>
          <w:sz w:val="22"/>
        </w:rPr>
        <w:t>编制日期 2026年9月29日</w:t>
      </w:r>
    </w:p>
    <w:p>
      <w:pPr>
        <w:spacing w:before="1600"/>
        <w:jc w:val="center"/>
      </w:pPr>
      <w:r>
        <w:rPr>
          <w:rFonts w:ascii="宋体" w:hAnsi="宋体" w:eastAsia="宋体" w:cs="宋体"/>
          <w:b w:val="0"/>
          <w:color w:val="000000"/>
          <w:sz w:val="22"/>
        </w:rPr>
        <w:t>适用于评审复现 现场运行和开发维护</w:t>
      </w:r>
    </w:p>
    <w:p>
      <w:r>
        <w:rPr>
          <w:rFonts w:ascii="宋体" w:hAnsi="宋体" w:eastAsia="宋体" w:cs="宋体"/>
          <w:color w:val="000000"/>
        </w:rPr>
        <w:br w:type="page"/>
      </w: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一 文档用途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本说明用于在指定评审环境中安装和运行金融投研智能体。系统读取受控目录内的上市公司财报，完成文档解析、必要页面OCR、财务事实提取、程序化计算、逻辑核验、异常识别、模型分析和HTML及JSON报告生成。运行过程同步保存文件哈希、页码来源、工具调用和事件日志。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系统的数值提取、财务计算和规则校验由确定性程序执行。DeepSeek仅分析已经提供的事实、计算结果和文字证据。AI Studio OCR仅处理强制指定页面或原生文本质量不足的页面。未配置外部服务时，系统仍可运行离线确定性流程，但不调用DeepSeek API将无法生成包含模型研判与扩展解释的详细报告。</w:t>
      </w: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二 交付目录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32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目录或文件</w:t>
            </w:r>
          </w:p>
        </w:tc>
        <w:tc>
          <w:tcPr>
            <w:tcW w:type="dxa" w:w="4824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592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评审用途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src/fin_agent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智能体编排、OCR、模型适配、数据处理、校验、报告和日志代码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核心源代码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agent_assets/prompts</w:t>
            </w:r>
          </w:p>
        </w:tc>
        <w:tc>
          <w:tcPr>
            <w:tcW w:type="dxa" w:w="4824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DeepSeek系统Prompt和用户Prompt</w:t>
            </w:r>
          </w:p>
        </w:tc>
        <w:tc>
          <w:tcPr>
            <w:tcW w:type="dxa" w:w="259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模型约束与版本复现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agent_assets/skills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财报分析Skill说明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任务边界与执行规范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config</w:t>
            </w:r>
          </w:p>
        </w:tc>
        <w:tc>
          <w:tcPr>
            <w:tcW w:type="dxa" w:w="4824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指标字典、异常规则和MCP示例配置</w:t>
            </w:r>
          </w:p>
        </w:tc>
        <w:tc>
          <w:tcPr>
            <w:tcW w:type="dxa" w:w="259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口径和工具配置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tests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单元测试与边界测试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工程验证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benchmark/gold</w:t>
            </w:r>
          </w:p>
        </w:tc>
        <w:tc>
          <w:tcPr>
            <w:tcW w:type="dxa" w:w="4824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三类财报人工金标准</w:t>
            </w:r>
          </w:p>
        </w:tc>
        <w:tc>
          <w:tcPr>
            <w:tcW w:type="dxa" w:w="259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准确性评测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财报数据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受控财报目录、命名规则和三份PDF示例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材料导入与现场演示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scripts</w:t>
            </w:r>
          </w:p>
        </w:tc>
        <w:tc>
          <w:tcPr>
            <w:tcW w:type="dxa" w:w="4824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联调、回归、打包和提交包安全检查脚本</w:t>
            </w:r>
          </w:p>
        </w:tc>
        <w:tc>
          <w:tcPr>
            <w:tcW w:type="dxa" w:w="259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一键验收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启动本地分析台.cmd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Windows本地启动脚本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快速启动与错误留屏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docs</w:t>
            </w:r>
          </w:p>
        </w:tc>
        <w:tc>
          <w:tcPr>
            <w:tcW w:type="dxa" w:w="4824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架构、数据结构、评测、OCR、MCP及本运行说明</w:t>
            </w:r>
          </w:p>
        </w:tc>
        <w:tc>
          <w:tcPr>
            <w:tcW w:type="dxa" w:w="259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复现文档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requirements-lock.txt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完全锁定的Python依赖版本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环境复现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THIRD_PARTY.md</w:t>
            </w:r>
          </w:p>
        </w:tc>
        <w:tc>
          <w:tcPr>
            <w:tcW w:type="dxa" w:w="4824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第三方组件、服务、版本和许可证</w:t>
            </w:r>
          </w:p>
        </w:tc>
        <w:tc>
          <w:tcPr>
            <w:tcW w:type="dxa" w:w="259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合规披露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三 运行环境</w:t>
      </w:r>
    </w:p>
    <w:p>
      <w:pPr>
        <w:pStyle w:val="ListBullet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操作系统：Windows 10或Windows 11，使用根目录CMD脚本启动。</w:t>
      </w:r>
    </w:p>
    <w:p>
      <w:pPr>
        <w:pStyle w:val="ListBullet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Python：已验证版本为3.12.14，建议使用64位Python 3.12。</w:t>
      </w:r>
    </w:p>
    <w:p>
      <w:pPr>
        <w:pStyle w:val="ListBullet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PDF渲染：需要Poppler提供的pdftoppm命令，只有OCR页面渲染依赖该命令。</w:t>
      </w:r>
    </w:p>
    <w:p>
      <w:pPr>
        <w:pStyle w:val="ListBullet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网络：真实OCR和DeepSeek分析需要访问对应HTTPS接口，离线模式不需要外网。</w:t>
      </w:r>
    </w:p>
    <w:p>
      <w:pPr>
        <w:pStyle w:val="ListBullet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数据：项目内财报数据目录始终纳入受控范围，提交包附带三份规范命名的PDF示例；也可通过FIN_AGENT_DATA_ROOTS扩展其他只读目录。</w:t>
      </w: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四 安装与启动</w:t>
      </w:r>
    </w:p>
    <w:p>
      <w:pPr>
        <w:pStyle w:val="ListNumber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将完整项目解压到本地目录，路径可以包含中文，但应避免放入需要管理员权限的目录。</w:t>
      </w:r>
    </w:p>
    <w:p>
      <w:pPr>
        <w:pStyle w:val="ListNumber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双击根目录的启动本地分析台.cmd。首次运行会自动寻找Python、创建.venv并安装锁定依赖，完成后自动打开浏览器。</w:t>
      </w:r>
    </w:p>
    <w:p>
      <w:pPr>
        <w:pStyle w:val="ListNumber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使用期间保持CMD窗口开启；若启动失败，窗口会保留错误信息并等待按键退出。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开发或自动化复现可直接使用Python命令。以下命令不属于评审启动的必需步骤：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python -m venv .venv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.venv\Scripts\python.exe -m pip install -r requirements-lock.txt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set PYTHONPATH=%CD%\src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.venv\Scripts\python.exe -m fin_agent.cli doctor</w:t>
      </w:r>
    </w:p>
    <w:p>
      <w:pPr>
        <w:spacing w:after="40"/>
      </w:pP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五 依赖版本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32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1800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锁定版本</w:t>
            </w:r>
          </w:p>
        </w:tc>
        <w:tc>
          <w:tcPr>
            <w:tcW w:type="dxa" w:w="5616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主要用途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pydantic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2.13.5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结构化数据模型和字段校验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pypdf</w:t>
            </w:r>
          </w:p>
        </w:tc>
        <w:tc>
          <w:tcPr>
            <w:tcW w:type="dxa" w:w="180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6.10.0</w:t>
            </w:r>
          </w:p>
        </w:tc>
        <w:tc>
          <w:tcPr>
            <w:tcW w:type="dxa" w:w="5616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PDF文本和元数据读取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pdfplumber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0.11.9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PDF表格与页面几何解析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Pillow</w:t>
            </w:r>
          </w:p>
        </w:tc>
        <w:tc>
          <w:tcPr>
            <w:tcW w:type="dxa" w:w="180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12.3.0</w:t>
            </w:r>
          </w:p>
        </w:tc>
        <w:tc>
          <w:tcPr>
            <w:tcW w:type="dxa" w:w="5616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OCR页面图像处理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mcp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2.2.0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本地stdio MCP服务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requests</w:t>
            </w:r>
          </w:p>
        </w:tc>
        <w:tc>
          <w:tcPr>
            <w:tcW w:type="dxa" w:w="180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2.32.5</w:t>
            </w:r>
          </w:p>
        </w:tc>
        <w:tc>
          <w:tcPr>
            <w:tcW w:type="dxa" w:w="5616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AI Studio任务提交 轮询和结果下载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六 密钥和环境变量配置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在项目根目录复制.env.example并重命名为.env。该文件必须是UTF-8纯文本，文件名就是.env，不要命名为.env.txt或apikey.txt。真实.env已被.gitignore排除，禁止加入提交压缩包。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Copy-Item .env.example .env</w:t>
      </w:r>
    </w:p>
    <w:p>
      <w:pPr>
        <w:spacing w:after="40"/>
      </w:pP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六一 DeepSeek配置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DEEPSEEK_API_KEY=填写实际密钥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DEEPSEEK_BASE_URL=https://api.deepseek.com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DEEPSEEK_MODEL=deepseek-flash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DEEPSEEK_TEMPERATURE=0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DEEPSEEK_TIMEOUT_SECONDS=180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DEEPSEEK_MAX_TOKENS=5000</w:t>
      </w:r>
    </w:p>
    <w:p>
      <w:pPr>
        <w:spacing w:after="40"/>
      </w:pP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六二 AI Studio OCR配置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OCR_PROVIDER=aistudio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OCR_MODE=auto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OCR_DPI=220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OCR_MAX_PAGES_PER_DOCUMENT=30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AISTUDIO_API_URL=https://paddleocr.aistudio-app.com/api/v2/ocr/jobs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AISTUDIO_ACCESS_TOKEN=填写实际访问令牌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AISTUDIO_AUTH_SCHEME=bearer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AISTUDIO_REQUEST_STYLE=paddleocr_job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AISTUDIO_MODEL=PaddleOCR-VL-1.6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AISTUDIO_POLL_INTERVAL_SECONDS=5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AISTUDIO_POLL_TIMEOUT_SECONDS=1800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AISTUDIO_TIMEOUT_SECONDS=180</w:t>
      </w:r>
    </w:p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AISTUDIO_ACCESS_TOKEN对应AI Studio页面生成的访问令牌。适配器使用Authorization请求头、multipart文件上传和异步任务轮询。日志只记录configured或missing、任务ID、请求响应哈希和耗时，不记录令牌或带签名结果URL。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六三 受控路径配置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FIN_AGENT_DATA_ROOTS=财报数据;../财报分析;../年报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FIN_AGENT_OUTPUT_DIR=outputs</w:t>
      </w:r>
    </w:p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FIN_AGENT_DATA_ROOTS使用分号分隔多个允许读取的目录。CLI、当前Web入口和MCP工具均执行路径边界检查，不允许读取目录之外的文件。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六四 财报文件放入环境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推荐命名格式为股票代码_公司简称_报告期_报告类型.pdf。报告期统一使用YYYYFY、YYYYH1、YYYYQ1或YYYYQ3，例如600519_贵州茅台_2025FY_年度报告.pdf。仅接收PDF，单份文件不超过80 MB。</w:t>
      </w:r>
    </w:p>
    <w:p>
      <w:pPr>
        <w:pStyle w:val="ListNumber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网页导入：启动分析台后，先在“示例研报”和“本地研报”之间选择。两种来源不会同时展开；示例研报只列出财报数据/示例目录中的三份内置PDF，本地研报则允许上传PDF。系统会在内存中读取前8页，自动识别股票代码、公司简称、报告期和报告类型，并显示置信度与来源页码；用户核验或修改后，再单击确认并使用。</w:t>
      </w:r>
    </w:p>
    <w:p>
      <w:pPr>
        <w:pStyle w:val="ListNumber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手工放置：将已经规范命名的PDF复制到财报数据目录或其子目录。重新打开页面后，文件会出现在选择财报下拉框中。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提交包内的财报数据/示例目录提供格力电器、伊利股份和赛力斯三份示例；完整规则见财报数据/README.md。</w:t>
      </w: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七 启动前检查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$env:PYTHONPATH = "$PWD\src"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python -m fin_agent.cli doctor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python -m fin_agent.cli list</w:t>
      </w:r>
    </w:p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doctor应显示pydantic、pypdf、pdfplumber、PIL、mcp和requests均为true。使用真实.env时，deepseek_ready和ocr_ready应为true。仅使用提交包时，pdf_count至少应为3。</w:t>
      </w: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八 常用运行方式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八一 离线确定性分析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python -m fin_agent.cli analyze `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--input "..\年报\贵州茅台年报\第三季度报告.pdf" `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--ocr never --llm never</w:t>
      </w:r>
    </w:p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该模式不调用任何外部API，适合评审复现、网络异常兜底和规则回归。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八二 自动OCR和模型分析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python -m fin_agent.cli analyze `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--input "..\财报分析\赛力斯：2026年半年度报告.pdf" `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--ocr auto --llm auto</w:t>
      </w:r>
    </w:p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auto模式只在原生文本质量不足时调用OCR，DeepSeek仅在密钥已配置时启用。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八三 强制OCR验证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python -m fin_agent.cli analyze `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--input "..\年报\泡泡玛特年报\第一季度报告.pdf" `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--ocr force --llm always</w:t>
      </w:r>
    </w:p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force会对允许页数内的页面调用OCR，可能产生服务费用。正式分析优先使用auto。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八四 批量分析和时间轴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python -m fin_agent.cli batch `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--input-dir "..\财报分析" --ocr never --llm never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python -m fin_agent.cli timeline `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--input-dir "..\年报\贵州茅台年报" --ocr never</w:t>
      </w:r>
    </w:p>
    <w:p>
      <w:pPr>
        <w:spacing w:after="40"/>
      </w:pP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八五 当前本地Web入口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启动本地分析台.cmd</w:t>
      </w:r>
    </w:p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CMD脚本在服务就绪后打开http://127.0.0.1:8000。页面先要求选择示例研报或本地研报，再显示对应控件。本地选中文件后，系统读取前8页并自动回填股票代码、公司简称、报告期和报告类型；所有识别结果均可人工修改。确认后，文件会复制到财报数据/本地导入并立即选中。未配置或不调用DeepSeek API时无法生成详细分析报告。开发人员仍可运行python -m fin_agent.cli serve --host 127.0.0.1 --port 8000。</w:t>
      </w: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九 核心模块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56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3240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实现位置</w:t>
            </w:r>
          </w:p>
        </w:tc>
        <w:tc>
          <w:tcPr>
            <w:tcW w:type="dxa" w:w="4752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智能体编排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src/fin_agent/pipeline.py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组织解析、证据、计算、校验、模型与报告步骤，并处理失败收尾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工具层</w:t>
            </w:r>
          </w:p>
        </w:tc>
        <w:tc>
          <w:tcPr>
            <w:tcW w:type="dxa" w:w="324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ocr.py deepseek.py pdf_parser.py</w:t>
            </w:r>
          </w:p>
        </w:tc>
        <w:tc>
          <w:tcPr>
            <w:tcW w:type="dxa" w:w="475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封装外部服务和受控文件工具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Prompt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agent_assets/prompts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约束DeepSeek输入、输出JSON结构和证据边界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Skill</w:t>
            </w:r>
          </w:p>
        </w:tc>
        <w:tc>
          <w:tcPr>
            <w:tcW w:type="dxa" w:w="324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agent_assets/skills/financial_report_analysis</w:t>
            </w:r>
          </w:p>
        </w:tc>
        <w:tc>
          <w:tcPr>
            <w:tcW w:type="dxa" w:w="475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定义财报分析任务流程和禁止行为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MCP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src/fin_agent/mcp_server.py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暴露财报列表、分析、状态和白名单产物读取四个stdio工具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数据处理</w:t>
            </w:r>
          </w:p>
        </w:tc>
        <w:tc>
          <w:tcPr>
            <w:tcW w:type="dxa" w:w="324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extractor.py models.py document.py</w:t>
            </w:r>
          </w:p>
        </w:tc>
        <w:tc>
          <w:tcPr>
            <w:tcW w:type="dxa" w:w="475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分类财报、提取指标、标准化期间单位并保存来源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计算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calculations.py timeline.py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计算同比、环比、现金含量、跨期单季度和其他财务指标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校验</w:t>
            </w:r>
          </w:p>
        </w:tc>
        <w:tc>
          <w:tcPr>
            <w:tcW w:type="dxa" w:w="324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validation.py anomaly.py health.py</w:t>
            </w:r>
          </w:p>
        </w:tc>
        <w:tc>
          <w:tcPr>
            <w:tcW w:type="dxa" w:w="475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执行勾稽、冲突、同比复算、异常规则和透明评级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检索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retrieval.py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按主题召回含页码的原文证据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报告</w:t>
            </w:r>
          </w:p>
        </w:tc>
        <w:tc>
          <w:tcPr>
            <w:tcW w:type="dxa" w:w="324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report.py</w:t>
            </w:r>
          </w:p>
        </w:tc>
        <w:tc>
          <w:tcPr>
            <w:tcW w:type="dxa" w:w="475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生成HTML报告和结构化分析包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日志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audit.py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写入manifest、步骤状态、JSONL事件、耗时和失败信息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Windows启动</w:t>
            </w:r>
          </w:p>
        </w:tc>
        <w:tc>
          <w:tcPr>
            <w:tcW w:type="dxa" w:w="324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启动本地分析台.cmd</w:t>
            </w:r>
          </w:p>
        </w:tc>
        <w:tc>
          <w:tcPr>
            <w:tcW w:type="dxa" w:w="4752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准备隔离环境、启动服务并在窗口保留错误信息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命令入口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cli.py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提供doctor、list、analyze、batch、timeline、serve、benchmark和联调命令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十 MCP运行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MCP服务采用官方Python SDK和stdio传输。宿主只能调用受控财报目录和白名单输出文件。服务不会返回.env内容，也不会暴露任意文件读取能力。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python -m fin_agent.mcp_server</w:t>
      </w:r>
    </w:p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MCP宿主配置示例：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{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"mcpServers": {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  "financial-report-agent": {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    "command": "python",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    "args": ["-m", "fin_agent.mcp_server"],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    "cwd": "填写项目绝对路径",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    "env": {"PYTHONPATH": "填写项目绝对路径/src"}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  }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 xml:space="preserve">  }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}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528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MCP工具</w:t>
            </w:r>
          </w:p>
        </w:tc>
        <w:tc>
          <w:tcPr>
            <w:tcW w:type="dxa" w:w="6120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financial_agent_status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返回版本、财报数量、数据根目录和脱敏就绪状态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list_financial_reports</w:t>
            </w:r>
          </w:p>
        </w:tc>
        <w:tc>
          <w:tcPr>
            <w:tcW w:type="dxa" w:w="612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列出受控目录内财报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analyze_financial_report</w:t>
            </w:r>
          </w:p>
        </w:tc>
        <w:tc>
          <w:tcPr>
            <w:tcW w:type="dxa" w:w="61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按固定编排运行单份财报分析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read_analysis_artifact</w:t>
            </w:r>
          </w:p>
        </w:tc>
        <w:tc>
          <w:tcPr>
            <w:tcW w:type="dxa" w:w="612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读取运行目录中的白名单分析产物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十一 输出文件和日志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每次分析在outputs目录下创建独立运行目录。核心文件如下：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168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6480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manifest.json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运行ID、输入SHA256、配置脱敏值、步骤状态、输出清单和最终状态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events.jsonl</w:t>
            </w:r>
          </w:p>
        </w:tc>
        <w:tc>
          <w:tcPr>
            <w:tcW w:type="dxa" w:w="64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按时间顺序记录每个步骤、工具调用、耗时、结果和异常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document.json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文档元数据、页面文本、解析方式和表格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ocr_metadata.json</w:t>
            </w:r>
          </w:p>
        </w:tc>
        <w:tc>
          <w:tcPr>
            <w:tcW w:type="dxa" w:w="64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OCR供应商、页面、任务ID、模型、状态、哈希和耗时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financial_facts.json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财报直接披露的结构化事实及页码来源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calculated_metrics.json</w:t>
            </w:r>
          </w:p>
        </w:tc>
        <w:tc>
          <w:tcPr>
            <w:tcW w:type="dxa" w:w="64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程序计算结果、公式和输入事实ID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validation_issues.json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冲突、勾稽、同比复算和来源校验结果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findings.json</w:t>
            </w:r>
          </w:p>
        </w:tc>
        <w:tc>
          <w:tcPr>
            <w:tcW w:type="dxa" w:w="64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规则触发的异常信号、证据和反向核验条件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llm_metadata.json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模型、Prompt版本、请求响应哈希、Token、耗时和缓存状态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llm_analysis.json</w:t>
            </w:r>
          </w:p>
        </w:tc>
        <w:tc>
          <w:tcPr>
            <w:tcW w:type="dxa" w:w="64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DeepSeek结构化分析，未启用模型时可以不存在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analysis_bundle.json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汇总后的完整结构化分析结果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report.html</w:t>
            </w:r>
          </w:p>
        </w:tc>
        <w:tc>
          <w:tcPr>
            <w:tcW w:type="dxa" w:w="64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供人工查看的分析报告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事实、计算、规则推论和模型观点分开存储。报告中的重要结论应能反查到事实ID、计算公式、页码或原文。运行失败时，manifest仍会写入failed状态和失败步骤，临时文件会被清理。</w:t>
      </w: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十二 验证和回归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十二一 发布门禁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.\scripts\verify_release.ps1 -PythonExecutable ".\.venv\Scripts\python.exe"</w:t>
      </w:r>
    </w:p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该脚本依次执行环境检查、54项单元测试、官方MCP SDK协议验证和三份人工金标准回归。当前三份金标准的字段准确率、异常召回率和来源覆盖率均为100%。该指标只适用于当前标注范围。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十二二 真实API联调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.\scripts\verify_live_integrations.ps1 -PythonExecutable ".\.venv\Scripts\python.exe" -PdfPath "..\年报\泡泡玛特年报\第一季度报告.pdf" -Page 1</w:t>
      </w:r>
    </w:p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该脚本以最小调用量验证DeepSeek和AI Studio OCR，并保存响应ID、模型、Token用量、请求响应哈希、OCR字符数和源文件SHA256。检查结果不保存真实密钥。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十二三 全量案例回归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.\scripts\verify_full_corpus.ps1 -PythonExecutable ".\.venv\Scripts\python.exe"</w:t>
      </w:r>
    </w:p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当前案例库包含6家公司、21份PDF。最近一次全量回归完成21份，失败0，error级校验0，warning级校验0。两份仅披露经营数据的港股季度业务更新按适用边界输出0项财务事实，不补造完整财务报表。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十二四 生成提交包</w:t>
      </w:r>
    </w:p>
    <w:p>
      <w:pPr>
        <w:pStyle w:val="NoSpacing"/>
        <w:keepLines/>
        <w:spacing w:after="30"/>
        <w:ind w:left="504" w:right="216"/>
      </w:pPr>
      <w:r>
        <w:rPr>
          <w:rFonts w:ascii="宋体" w:hAnsi="宋体" w:eastAsia="宋体" w:cs="宋体"/>
          <w:b w:val="0"/>
          <w:color w:val="000000"/>
          <w:sz w:val="19"/>
        </w:rPr>
        <w:t>.\scripts\package_submission.ps1</w:t>
      </w:r>
    </w:p>
    <w:p>
      <w:pPr>
        <w:spacing w:after="40"/>
      </w:pP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打包脚本自动复制源代码、Prompt、Skill、MCP、配置、测试、文档和脱敏样例，并调用verify_submission_package.ps1检查必需产物、.env、Python缓存和真实秘密值。只有安全检查通过才输出ZIP路径。</w:t>
      </w: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十三 常见问题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十三一 doctor显示requests为false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查看CMD窗口保留的错误信息。开发模式下可重新执行.venv\Scripts\python.exe -m pip install -r requirements-lock.txt。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十三二 找不到pdftoppm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安装Poppler并将其bin目录加入PATH，然后重新启动分析台。若只运行原生文本财报且ocr模式为never，该问题不会阻断确定性解析。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十三三 AI Studio返回401或403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检查AISTUDIO_ACCESS_TOKEN是否完整，AISTUDIO_AUTH_SCHEME是否为bearer，以及令牌是否具有当前服务权限。不要把Bearer前缀写入令牌值，程序会自动生成Authorization请求头。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十三四 OCR任务长时间pending或running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检查服务状态和网络。默认轮询间隔为5秒，总等待上限为1800秒。超过上限后运行会明确失败并记录任务状态，不会无限等待。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十三五 DeepSeek调用失败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检查DEEPSEEK_API_KEY、网络、账户额度和模型名称。使用--llm auto时，未配置密钥会跳过模型步骤；使用--llm always时，未配置或请求失败会使本次运行失败。</w:t>
      </w:r>
    </w:p>
    <w:p>
      <w:pPr>
        <w:pStyle w:val="Heading2"/>
        <w:keepNext/>
      </w:pPr>
      <w:r>
        <w:rPr>
          <w:rFonts w:ascii="宋体" w:hAnsi="宋体" w:eastAsia="宋体" w:cs="宋体"/>
          <w:color w:val="000000"/>
        </w:rPr>
        <w:t>十三六 Web端口已占用</w:t>
      </w:r>
    </w:p>
    <w:p>
      <w:pPr>
        <w:spacing w:line="360" w:lineRule="auto" w:after="120"/>
        <w:ind w:firstLine="440"/>
      </w:pPr>
      <w:r>
        <w:rPr>
          <w:rFonts w:ascii="宋体" w:hAnsi="宋体" w:eastAsia="宋体" w:cs="宋体"/>
          <w:b w:val="0"/>
          <w:color w:val="000000"/>
          <w:sz w:val="22"/>
        </w:rPr>
        <w:t>更换端口，例如python -m fin_agent.cli serve --port 8010。服务使用端口独占设置，检测到冲突时会立即失败，避免误连其他本地服务。</w:t>
      </w: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十四 安全与复现要求</w:t>
      </w:r>
    </w:p>
    <w:p>
      <w:pPr>
        <w:pStyle w:val="ListBullet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不要提交.env、访问令牌、API Key、Secret Key或带签名下载URL。</w:t>
      </w:r>
    </w:p>
    <w:p>
      <w:pPr>
        <w:pStyle w:val="ListBullet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只允许从FIN_AGENT_DATA_ROOTS读取财报；模型和工具不拥有任意文件访问权限。</w:t>
      </w:r>
    </w:p>
    <w:p>
      <w:pPr>
        <w:pStyle w:val="ListBullet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输入文件、OCR页面、Prompt请求和响应均登记SHA256或内容哈希。</w:t>
      </w:r>
    </w:p>
    <w:p>
      <w:pPr>
        <w:pStyle w:val="ListBullet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依赖复现优先使用requirements-lock.txt，商业服务说明见THIRD_PARTY.md。</w:t>
      </w:r>
    </w:p>
    <w:p>
      <w:pPr>
        <w:pStyle w:val="ListBullet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使用第三方行业材料前，应记录来源、发布日期、许可证或授权范围。</w:t>
      </w:r>
    </w:p>
    <w:p>
      <w:pPr>
        <w:pStyle w:val="ListBullet"/>
        <w:spacing w:line="324" w:lineRule="auto" w:after="60"/>
        <w:ind w:left="504" w:hanging="259"/>
      </w:pPr>
      <w:r>
        <w:rPr>
          <w:rFonts w:ascii="宋体" w:hAnsi="宋体" w:eastAsia="宋体" w:cs="宋体"/>
          <w:b w:val="0"/>
          <w:color w:val="000000"/>
          <w:sz w:val="22"/>
        </w:rPr>
        <w:t>系统输出用于研究辅助，关键数字和投资判断仍应由金融专业人员复核。</w:t>
      </w:r>
    </w:p>
    <w:p>
      <w:r>
        <w:rPr>
          <w:rFonts w:ascii="宋体" w:hAnsi="宋体" w:eastAsia="宋体" w:cs="宋体"/>
          <w:color w:val="000000"/>
        </w:rPr>
        <w:br w:type="page"/>
      </w:r>
    </w:p>
    <w:p>
      <w:pPr>
        <w:pStyle w:val="Heading1"/>
        <w:keepNext/>
      </w:pPr>
      <w:r>
        <w:rPr>
          <w:rFonts w:ascii="宋体" w:hAnsi="宋体" w:eastAsia="宋体" w:cs="宋体"/>
          <w:color w:val="000000"/>
        </w:rPr>
        <w:t>十五 最终验收清单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6768"/>
            <w:vAlign w:val="center"/>
            <w:shd w:fill="E7E7E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通过标准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依赖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doctor中六项Python依赖均为true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数据</w:t>
            </w:r>
          </w:p>
        </w:tc>
        <w:tc>
          <w:tcPr>
            <w:tcW w:type="dxa" w:w="67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pdf_count与提交案例数量一致，所有输入文件可计算SHA256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OCR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ocr_ready为true，真实联调状态为passed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大模型</w:t>
            </w:r>
          </w:p>
        </w:tc>
        <w:tc>
          <w:tcPr>
            <w:tcW w:type="dxa" w:w="67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deepseek_ready为true，返回合法JSON并记录脱敏元数据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本地启动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启动本地分析台.cmd可准备环境、启动服务并自动打开浏览器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单元测试</w:t>
            </w:r>
          </w:p>
        </w:tc>
        <w:tc>
          <w:tcPr>
            <w:tcW w:type="dxa" w:w="67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54项测试全部通过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金标准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三份基准报告全部通过当前标注项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全量回归</w:t>
            </w:r>
          </w:p>
        </w:tc>
        <w:tc>
          <w:tcPr>
            <w:tcW w:type="dxa" w:w="67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21份完成，失败0，结构化error 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MCP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官方SDK完成握手，枚举四个工具并调用状态工具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日志</w:t>
            </w:r>
          </w:p>
        </w:tc>
        <w:tc>
          <w:tcPr>
            <w:tcW w:type="dxa" w:w="6768"/>
            <w:vAlign w:val="center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每个运行目录包含manifest和events.jsonl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提交包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无.env、无缓存、无真实密钥，包含源代码和脱敏样例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000000"/>
        <w:sz w:val="18"/>
      </w:rPr>
      <w:t xml:space="preserve">金融投研智能体运行说明  第 </w:t>
    </w:r>
    <w:r>
      <w:rPr>
        <w:rFonts w:ascii="宋体" w:hAnsi="宋体" w:eastAsia="宋体" w:cs="宋体"/>
        <w:b w:val="0"/>
        <w:color w:val="000000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 w:cs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b w:val="0"/>
      <w:i w:val="0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b w:val="0"/>
      <w:i w:val="0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b w:val="0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金融投研智能体运行说明</dc:title>
  <dc:subject>安装 配置 运行 验证与故障处理</dc:subject>
  <dc:creator>参赛团队</dc:creator>
  <cp:keywords>财报分析 OCR DeepSeek MCP 可复现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