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5C14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重庆理工大学</w:t>
      </w:r>
      <w:r>
        <w:rPr>
          <w:rFonts w:hint="eastAsia"/>
          <w:b/>
          <w:sz w:val="32"/>
          <w:szCs w:val="32"/>
          <w:lang w:val="en-US" w:eastAsia="zh-CN"/>
        </w:rPr>
        <w:t>两江人工智能</w:t>
      </w:r>
      <w:r>
        <w:rPr>
          <w:b/>
          <w:sz w:val="32"/>
          <w:szCs w:val="32"/>
        </w:rPr>
        <w:t>学院</w:t>
      </w:r>
    </w:p>
    <w:p w14:paraId="10EFAAE7">
      <w:pPr>
        <w:spacing w:before="156" w:beforeLines="50"/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软件工程  </w:t>
      </w:r>
      <w:r>
        <w:rPr>
          <w:rFonts w:hint="eastAsia"/>
          <w:sz w:val="24"/>
          <w:szCs w:val="24"/>
          <w:u w:val="none"/>
          <w:lang w:val="en-US" w:eastAsia="zh-CN"/>
        </w:rPr>
        <w:t>专业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20</w:t>
      </w:r>
      <w:r>
        <w:rPr>
          <w:rFonts w:hint="eastAsia"/>
          <w:sz w:val="24"/>
          <w:szCs w:val="24"/>
          <w:u w:val="single"/>
          <w:lang w:val="en-US" w:eastAsia="zh-CN"/>
        </w:rPr>
        <w:t>25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届毕业设计</w:t>
      </w:r>
      <w:r>
        <w:rPr>
          <w:rFonts w:hint="eastAsia"/>
          <w:sz w:val="24"/>
          <w:szCs w:val="24"/>
          <w:lang w:val="en-US" w:eastAsia="zh-CN"/>
        </w:rPr>
        <w:t>评阅</w:t>
      </w:r>
      <w:r>
        <w:rPr>
          <w:rFonts w:hint="eastAsia"/>
          <w:sz w:val="24"/>
          <w:szCs w:val="24"/>
        </w:rPr>
        <w:t>检查评分表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评阅教师</w:t>
      </w:r>
      <w:r>
        <w:rPr>
          <w:rFonts w:hint="eastAsia"/>
          <w:sz w:val="24"/>
          <w:szCs w:val="24"/>
          <w:lang w:eastAsia="zh-CN"/>
        </w:rPr>
        <w:t>）</w:t>
      </w:r>
    </w:p>
    <w:p w14:paraId="55077C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left"/>
        <w:textAlignment w:val="auto"/>
        <w:rPr>
          <w:rFonts w:hint="default"/>
          <w:sz w:val="24"/>
          <w:szCs w:val="24"/>
          <w:u w:val="single"/>
          <w:lang w:val="en-US"/>
        </w:rPr>
      </w:pP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  <w:u w:val="none"/>
          <w:lang w:eastAsia="zh-CN"/>
        </w:rPr>
        <w:t>：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12123020433   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  <w:u w:val="none"/>
          <w:lang w:eastAsia="zh-CN"/>
        </w:rPr>
        <w:t>：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汤陈斌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  <w:lang w:eastAsia="zh-CN"/>
        </w:rPr>
        <w:t>：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医院就医陪诊系统的设计与实</w:t>
      </w:r>
      <w:bookmarkEnd w:id="0"/>
      <w:r>
        <w:rPr>
          <w:rFonts w:hint="eastAsia"/>
          <w:sz w:val="24"/>
          <w:szCs w:val="24"/>
          <w:lang w:val="en-US" w:eastAsia="zh-CN"/>
        </w:rPr>
        <w:t>现</w:t>
      </w:r>
    </w:p>
    <w:tbl>
      <w:tblPr>
        <w:tblStyle w:val="8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1561"/>
        <w:gridCol w:w="4488"/>
        <w:gridCol w:w="1330"/>
        <w:gridCol w:w="1176"/>
      </w:tblGrid>
      <w:tr w14:paraId="3ED6A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1" w:type="dxa"/>
            <w:vAlign w:val="center"/>
          </w:tcPr>
          <w:p w14:paraId="530062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序号</w:t>
            </w:r>
          </w:p>
        </w:tc>
        <w:tc>
          <w:tcPr>
            <w:tcW w:w="1561" w:type="dxa"/>
            <w:vAlign w:val="center"/>
          </w:tcPr>
          <w:p w14:paraId="615CBC1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评价内容</w:t>
            </w:r>
          </w:p>
        </w:tc>
        <w:tc>
          <w:tcPr>
            <w:tcW w:w="4488" w:type="dxa"/>
            <w:vAlign w:val="center"/>
          </w:tcPr>
          <w:p w14:paraId="7495754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评分标准</w:t>
            </w:r>
          </w:p>
        </w:tc>
        <w:tc>
          <w:tcPr>
            <w:tcW w:w="1330" w:type="dxa"/>
            <w:vAlign w:val="center"/>
          </w:tcPr>
          <w:p w14:paraId="3F66CD6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line="360" w:lineRule="auto"/>
              <w:jc w:val="center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eastAsia"/>
                <w:b/>
                <w:sz w:val="22"/>
                <w:szCs w:val="22"/>
                <w:lang w:val="en-US" w:eastAsia="zh-CN"/>
              </w:rPr>
              <w:t>对应等级</w:t>
            </w:r>
          </w:p>
        </w:tc>
        <w:tc>
          <w:tcPr>
            <w:tcW w:w="1176" w:type="dxa"/>
            <w:vAlign w:val="center"/>
          </w:tcPr>
          <w:p w14:paraId="33FF86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line="360" w:lineRule="auto"/>
              <w:jc w:val="center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eastAsia"/>
                <w:b/>
                <w:sz w:val="22"/>
                <w:szCs w:val="22"/>
                <w:lang w:val="en-US" w:eastAsia="zh-CN"/>
              </w:rPr>
              <w:t>实际评价</w:t>
            </w:r>
          </w:p>
        </w:tc>
      </w:tr>
      <w:tr w14:paraId="02DCA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31" w:type="dxa"/>
            <w:vMerge w:val="restart"/>
            <w:vAlign w:val="center"/>
          </w:tcPr>
          <w:p w14:paraId="298C14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line="36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61" w:type="dxa"/>
            <w:vMerge w:val="restart"/>
            <w:vAlign w:val="center"/>
          </w:tcPr>
          <w:p w14:paraId="13EF03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能够在跨文化背景下进行沟通和交流，具备一定国际视野，且译文翻译准确，内容贴近课题，字数达</w:t>
            </w:r>
            <w:r>
              <w:rPr>
                <w:rStyle w:val="16"/>
                <w:rFonts w:eastAsia="宋体"/>
                <w:sz w:val="22"/>
                <w:szCs w:val="22"/>
                <w:lang w:val="en-US" w:eastAsia="zh-CN" w:bidi="ar"/>
              </w:rPr>
              <w:t>2000</w:t>
            </w:r>
            <w:r>
              <w:rPr>
                <w:rStyle w:val="17"/>
                <w:sz w:val="22"/>
                <w:szCs w:val="22"/>
                <w:lang w:val="en-US" w:eastAsia="zh-CN" w:bidi="ar"/>
              </w:rPr>
              <w:t>字以上</w:t>
            </w:r>
          </w:p>
        </w:tc>
        <w:tc>
          <w:tcPr>
            <w:tcW w:w="4488" w:type="dxa"/>
            <w:vAlign w:val="center"/>
          </w:tcPr>
          <w:p w14:paraId="3EB3E2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译文与课题紧密相关，译文数量饱满，语句译文准确，文字流畅，格式规范。</w:t>
            </w:r>
          </w:p>
        </w:tc>
        <w:tc>
          <w:tcPr>
            <w:tcW w:w="1330" w:type="dxa"/>
            <w:vAlign w:val="center"/>
          </w:tcPr>
          <w:p w14:paraId="7CB0B1E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1176" w:type="dxa"/>
            <w:vMerge w:val="restart"/>
            <w:vAlign w:val="center"/>
          </w:tcPr>
          <w:p w14:paraId="1FCE458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line="360" w:lineRule="auto"/>
              <w:jc w:val="center"/>
              <w:rPr>
                <w:rFonts w:hint="default"/>
                <w:color w:val="FF0000"/>
                <w:sz w:val="22"/>
                <w:szCs w:val="22"/>
                <w:lang w:val="en-US"/>
              </w:rPr>
            </w:pPr>
          </w:p>
        </w:tc>
      </w:tr>
      <w:tr w14:paraId="020BD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31" w:type="dxa"/>
            <w:vMerge w:val="continue"/>
            <w:vAlign w:val="center"/>
          </w:tcPr>
          <w:p w14:paraId="27E80D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1561" w:type="dxa"/>
            <w:vMerge w:val="continue"/>
            <w:vAlign w:val="center"/>
          </w:tcPr>
          <w:p w14:paraId="59828A8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4488" w:type="dxa"/>
            <w:vAlign w:val="center"/>
          </w:tcPr>
          <w:p w14:paraId="03D46B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译文与课题紧密相关，译文数量饱满，译文准确，文字通顺，格式规范。</w:t>
            </w:r>
          </w:p>
        </w:tc>
        <w:tc>
          <w:tcPr>
            <w:tcW w:w="1330" w:type="dxa"/>
            <w:vAlign w:val="center"/>
          </w:tcPr>
          <w:p w14:paraId="1114514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1176" w:type="dxa"/>
            <w:vMerge w:val="continue"/>
            <w:vAlign w:val="center"/>
          </w:tcPr>
          <w:p w14:paraId="3E727D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 w14:paraId="5A3F9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31" w:type="dxa"/>
            <w:vMerge w:val="continue"/>
            <w:vAlign w:val="center"/>
          </w:tcPr>
          <w:p w14:paraId="6C4BAB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61" w:type="dxa"/>
            <w:vMerge w:val="continue"/>
            <w:vAlign w:val="center"/>
          </w:tcPr>
          <w:p w14:paraId="400835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4488" w:type="dxa"/>
            <w:vAlign w:val="center"/>
          </w:tcPr>
          <w:p w14:paraId="7F1846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译文与课题相关，译文数量达到要求，译文表述准确，格式规范。</w:t>
            </w:r>
          </w:p>
        </w:tc>
        <w:tc>
          <w:tcPr>
            <w:tcW w:w="1330" w:type="dxa"/>
            <w:vAlign w:val="center"/>
          </w:tcPr>
          <w:p w14:paraId="32E9957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1176" w:type="dxa"/>
            <w:vMerge w:val="continue"/>
            <w:vAlign w:val="center"/>
          </w:tcPr>
          <w:p w14:paraId="166681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 w14:paraId="295E8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31" w:type="dxa"/>
            <w:vMerge w:val="continue"/>
            <w:vAlign w:val="center"/>
          </w:tcPr>
          <w:p w14:paraId="54E9F2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61" w:type="dxa"/>
            <w:vMerge w:val="continue"/>
            <w:vAlign w:val="center"/>
          </w:tcPr>
          <w:p w14:paraId="3A2FBD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4488" w:type="dxa"/>
            <w:vAlign w:val="center"/>
          </w:tcPr>
          <w:p w14:paraId="0F90E4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译文基本与课题相关，译文数量达到要求，译文表述基本准确，格式规范。</w:t>
            </w:r>
          </w:p>
        </w:tc>
        <w:tc>
          <w:tcPr>
            <w:tcW w:w="1330" w:type="dxa"/>
            <w:vAlign w:val="center"/>
          </w:tcPr>
          <w:p w14:paraId="09E3467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1176" w:type="dxa"/>
            <w:vMerge w:val="continue"/>
            <w:vAlign w:val="center"/>
          </w:tcPr>
          <w:p w14:paraId="53C6E7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 w14:paraId="0F8F1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31" w:type="dxa"/>
            <w:vMerge w:val="continue"/>
            <w:vAlign w:val="center"/>
          </w:tcPr>
          <w:p w14:paraId="50CA0D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61" w:type="dxa"/>
            <w:vMerge w:val="continue"/>
            <w:vAlign w:val="center"/>
          </w:tcPr>
          <w:p w14:paraId="3096A7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4488" w:type="dxa"/>
            <w:vAlign w:val="center"/>
          </w:tcPr>
          <w:p w14:paraId="76145E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译文与课题不相关，译文数量达到要求，译文表述不准确，格式不规范,</w:t>
            </w:r>
          </w:p>
        </w:tc>
        <w:tc>
          <w:tcPr>
            <w:tcW w:w="1330" w:type="dxa"/>
            <w:vAlign w:val="center"/>
          </w:tcPr>
          <w:p w14:paraId="077B4B2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1176" w:type="dxa"/>
            <w:vMerge w:val="continue"/>
            <w:vAlign w:val="center"/>
          </w:tcPr>
          <w:p w14:paraId="464E88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 w14:paraId="2C97E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31" w:type="dxa"/>
            <w:vMerge w:val="restart"/>
            <w:vAlign w:val="center"/>
          </w:tcPr>
          <w:p w14:paraId="2F2CB11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line="36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561" w:type="dxa"/>
            <w:vMerge w:val="restart"/>
            <w:vAlign w:val="center"/>
          </w:tcPr>
          <w:p w14:paraId="3ED32C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针对复杂工程问题，能够检索文献资料，并分析其所需的相关软件工程技术、资源和工具，且文献检索数量达到</w:t>
            </w:r>
            <w:r>
              <w:rPr>
                <w:rStyle w:val="16"/>
                <w:rFonts w:eastAsia="宋体"/>
                <w:sz w:val="22"/>
                <w:szCs w:val="22"/>
                <w:lang w:val="en-US" w:eastAsia="zh-CN" w:bidi="ar"/>
              </w:rPr>
              <w:t>10</w:t>
            </w:r>
            <w:r>
              <w:rPr>
                <w:rStyle w:val="17"/>
                <w:sz w:val="22"/>
                <w:szCs w:val="22"/>
                <w:lang w:val="en-US" w:eastAsia="zh-CN" w:bidi="ar"/>
              </w:rPr>
              <w:t>篇。</w:t>
            </w:r>
          </w:p>
        </w:tc>
        <w:tc>
          <w:tcPr>
            <w:tcW w:w="4488" w:type="dxa"/>
            <w:vAlign w:val="center"/>
          </w:tcPr>
          <w:p w14:paraId="56988C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全面收集相关的文献，并对文献进行有效的分析归纳，观点明确并体现创新意识，格式规范。</w:t>
            </w:r>
          </w:p>
        </w:tc>
        <w:tc>
          <w:tcPr>
            <w:tcW w:w="1330" w:type="dxa"/>
            <w:vAlign w:val="center"/>
          </w:tcPr>
          <w:p w14:paraId="46DB01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1176" w:type="dxa"/>
            <w:vMerge w:val="restart"/>
            <w:vAlign w:val="center"/>
          </w:tcPr>
          <w:p w14:paraId="622D7CE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beforeLines="50" w:line="360" w:lineRule="auto"/>
              <w:jc w:val="center"/>
              <w:rPr>
                <w:sz w:val="22"/>
                <w:szCs w:val="22"/>
              </w:rPr>
            </w:pPr>
          </w:p>
        </w:tc>
      </w:tr>
      <w:tr w14:paraId="5A1F0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31" w:type="dxa"/>
            <w:vMerge w:val="continue"/>
            <w:vAlign w:val="center"/>
          </w:tcPr>
          <w:p w14:paraId="37F90C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561" w:type="dxa"/>
            <w:vMerge w:val="continue"/>
            <w:vAlign w:val="center"/>
          </w:tcPr>
          <w:p w14:paraId="4A6E25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488" w:type="dxa"/>
            <w:vAlign w:val="center"/>
          </w:tcPr>
          <w:p w14:paraId="05A1BC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较全面收集相关的文献，并对文献进行有效的分析归纳，观点明确，格式规范。</w:t>
            </w:r>
          </w:p>
        </w:tc>
        <w:tc>
          <w:tcPr>
            <w:tcW w:w="1330" w:type="dxa"/>
            <w:vAlign w:val="center"/>
          </w:tcPr>
          <w:p w14:paraId="1A4A1E9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1176" w:type="dxa"/>
            <w:vMerge w:val="continue"/>
            <w:vAlign w:val="center"/>
          </w:tcPr>
          <w:p w14:paraId="4DE5A8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14:paraId="2B3EF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31" w:type="dxa"/>
            <w:vMerge w:val="continue"/>
            <w:vAlign w:val="center"/>
          </w:tcPr>
          <w:p w14:paraId="25A95DE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1" w:type="dxa"/>
            <w:vMerge w:val="continue"/>
            <w:vAlign w:val="center"/>
          </w:tcPr>
          <w:p w14:paraId="65F4E4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88" w:type="dxa"/>
            <w:vAlign w:val="center"/>
          </w:tcPr>
          <w:p w14:paraId="1A99F2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较全面搜集相关的文献资料，较系统分析归纳文献资料，观点较明确，格式规范,</w:t>
            </w:r>
          </w:p>
        </w:tc>
        <w:tc>
          <w:tcPr>
            <w:tcW w:w="1330" w:type="dxa"/>
            <w:vAlign w:val="center"/>
          </w:tcPr>
          <w:p w14:paraId="784295B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1176" w:type="dxa"/>
            <w:vMerge w:val="continue"/>
            <w:vAlign w:val="center"/>
          </w:tcPr>
          <w:p w14:paraId="142E5ED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14:paraId="3CD89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31" w:type="dxa"/>
            <w:vMerge w:val="continue"/>
            <w:vAlign w:val="center"/>
          </w:tcPr>
          <w:p w14:paraId="229A86E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1" w:type="dxa"/>
            <w:vMerge w:val="continue"/>
            <w:vAlign w:val="center"/>
          </w:tcPr>
          <w:p w14:paraId="22E6758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88" w:type="dxa"/>
            <w:vAlign w:val="center"/>
          </w:tcPr>
          <w:p w14:paraId="15C4CA7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搜集相关的文献资料基本达到要求，分析归纳文献资料不全面，观点基本明确，格式规范,</w:t>
            </w:r>
          </w:p>
        </w:tc>
        <w:tc>
          <w:tcPr>
            <w:tcW w:w="1330" w:type="dxa"/>
            <w:vAlign w:val="center"/>
          </w:tcPr>
          <w:p w14:paraId="29AFE97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1176" w:type="dxa"/>
            <w:vMerge w:val="continue"/>
            <w:vAlign w:val="center"/>
          </w:tcPr>
          <w:p w14:paraId="43EBCB1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14:paraId="4813A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31" w:type="dxa"/>
            <w:vMerge w:val="continue"/>
            <w:vAlign w:val="center"/>
          </w:tcPr>
          <w:p w14:paraId="4190ADC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61" w:type="dxa"/>
            <w:vMerge w:val="continue"/>
            <w:vAlign w:val="center"/>
          </w:tcPr>
          <w:p w14:paraId="284479A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88" w:type="dxa"/>
            <w:vAlign w:val="center"/>
          </w:tcPr>
          <w:p w14:paraId="289AFC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搜集相关的文献资料较少，分析归纳文献资料不全面，观点不明确，格式不规范,</w:t>
            </w:r>
          </w:p>
        </w:tc>
        <w:tc>
          <w:tcPr>
            <w:tcW w:w="1330" w:type="dxa"/>
            <w:vAlign w:val="center"/>
          </w:tcPr>
          <w:p w14:paraId="5D6ACBA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1176" w:type="dxa"/>
            <w:vMerge w:val="continue"/>
            <w:vAlign w:val="center"/>
          </w:tcPr>
          <w:p w14:paraId="7C3FFD2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0CF72E12">
      <w:r>
        <w:br w:type="page"/>
      </w:r>
    </w:p>
    <w:tbl>
      <w:tblPr>
        <w:tblStyle w:val="8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1363"/>
        <w:gridCol w:w="5373"/>
        <w:gridCol w:w="1236"/>
        <w:gridCol w:w="857"/>
      </w:tblGrid>
      <w:tr w14:paraId="74D7B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57" w:type="dxa"/>
            <w:vAlign w:val="center"/>
          </w:tcPr>
          <w:p w14:paraId="253AF3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序号</w:t>
            </w:r>
          </w:p>
        </w:tc>
        <w:tc>
          <w:tcPr>
            <w:tcW w:w="1363" w:type="dxa"/>
            <w:vAlign w:val="center"/>
          </w:tcPr>
          <w:p w14:paraId="51EE68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b/>
                <w:sz w:val="22"/>
                <w:szCs w:val="22"/>
              </w:rPr>
              <w:t>评价内容</w:t>
            </w:r>
          </w:p>
        </w:tc>
        <w:tc>
          <w:tcPr>
            <w:tcW w:w="5373" w:type="dxa"/>
            <w:vAlign w:val="center"/>
          </w:tcPr>
          <w:p w14:paraId="532C59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b/>
                <w:sz w:val="22"/>
                <w:szCs w:val="22"/>
              </w:rPr>
              <w:t>评分标准</w:t>
            </w:r>
          </w:p>
        </w:tc>
        <w:tc>
          <w:tcPr>
            <w:tcW w:w="1236" w:type="dxa"/>
            <w:vAlign w:val="center"/>
          </w:tcPr>
          <w:p w14:paraId="062E5FB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szCs w:val="22"/>
                <w:lang w:val="en-US" w:eastAsia="zh-CN"/>
              </w:rPr>
              <w:t>对应分数</w:t>
            </w:r>
          </w:p>
        </w:tc>
        <w:tc>
          <w:tcPr>
            <w:tcW w:w="857" w:type="dxa"/>
            <w:vAlign w:val="center"/>
          </w:tcPr>
          <w:p w14:paraId="09B23CA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val="en-US" w:eastAsia="zh-CN"/>
              </w:rPr>
              <w:t>实际</w:t>
            </w:r>
            <w:r>
              <w:rPr>
                <w:b/>
                <w:sz w:val="22"/>
                <w:szCs w:val="22"/>
              </w:rPr>
              <w:t>得分</w:t>
            </w:r>
          </w:p>
        </w:tc>
      </w:tr>
      <w:tr w14:paraId="07BEE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57" w:type="dxa"/>
            <w:vMerge w:val="restart"/>
            <w:vAlign w:val="center"/>
          </w:tcPr>
          <w:p w14:paraId="3F47EE5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63" w:type="dxa"/>
            <w:vMerge w:val="restart"/>
            <w:vAlign w:val="center"/>
          </w:tcPr>
          <w:p w14:paraId="4BFD8DD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掌握软件工程开发周期及流程和相关开发技术。应用软件工程工具解决软件系统分析、设计中的问题，形成分析和设计报告，并在其中体现创新意识。</w:t>
            </w:r>
          </w:p>
        </w:tc>
        <w:tc>
          <w:tcPr>
            <w:tcW w:w="5373" w:type="dxa"/>
            <w:vAlign w:val="center"/>
          </w:tcPr>
          <w:p w14:paraId="3FD0703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熟练掌握软件工程开发周期及流程和相关开发技术。熟练应用软件工程工具解决软件系统分析、设计中的问题，形成分析和设计方案合理，并有一定创新。</w:t>
            </w:r>
          </w:p>
        </w:tc>
        <w:tc>
          <w:tcPr>
            <w:tcW w:w="1236" w:type="dxa"/>
            <w:vAlign w:val="center"/>
          </w:tcPr>
          <w:p w14:paraId="46CFDB7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857" w:type="dxa"/>
            <w:vMerge w:val="restart"/>
            <w:vAlign w:val="center"/>
          </w:tcPr>
          <w:p w14:paraId="64CC7C3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</w:tr>
      <w:tr w14:paraId="7FBF9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57" w:type="dxa"/>
            <w:vMerge w:val="continue"/>
            <w:vAlign w:val="center"/>
          </w:tcPr>
          <w:p w14:paraId="107E0D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3" w:type="dxa"/>
            <w:vMerge w:val="continue"/>
            <w:vAlign w:val="center"/>
          </w:tcPr>
          <w:p w14:paraId="531751D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73" w:type="dxa"/>
            <w:vAlign w:val="center"/>
          </w:tcPr>
          <w:p w14:paraId="4C27344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熟练掌握软件工程开发周期及流程和相关开发技术。较好应用软件工程工具解决软件系统分析、设计中的问题，形成分析和设计方案合理，并有一定创新意识。</w:t>
            </w:r>
          </w:p>
        </w:tc>
        <w:tc>
          <w:tcPr>
            <w:tcW w:w="1236" w:type="dxa"/>
            <w:vAlign w:val="center"/>
          </w:tcPr>
          <w:p w14:paraId="72363BA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857" w:type="dxa"/>
            <w:vMerge w:val="continue"/>
            <w:vAlign w:val="center"/>
          </w:tcPr>
          <w:p w14:paraId="6A145B3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14:paraId="186A3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57" w:type="dxa"/>
            <w:vMerge w:val="continue"/>
            <w:vAlign w:val="center"/>
          </w:tcPr>
          <w:p w14:paraId="502BEEC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3" w:type="dxa"/>
            <w:vMerge w:val="continue"/>
            <w:vAlign w:val="center"/>
          </w:tcPr>
          <w:p w14:paraId="58B25F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73" w:type="dxa"/>
            <w:vAlign w:val="center"/>
          </w:tcPr>
          <w:p w14:paraId="704D95B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熟练掌握软件工程开发周期及流程和相关开发技术。能够应用软件工程工具解决软件系统分析、设计中的问题，形成分析和设计方案合理。</w:t>
            </w:r>
          </w:p>
        </w:tc>
        <w:tc>
          <w:tcPr>
            <w:tcW w:w="1236" w:type="dxa"/>
            <w:vAlign w:val="center"/>
          </w:tcPr>
          <w:p w14:paraId="791E9E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857" w:type="dxa"/>
            <w:vMerge w:val="continue"/>
            <w:vAlign w:val="center"/>
          </w:tcPr>
          <w:p w14:paraId="4FD4AEC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14:paraId="677CF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57" w:type="dxa"/>
            <w:vMerge w:val="continue"/>
            <w:vAlign w:val="center"/>
          </w:tcPr>
          <w:p w14:paraId="7D763E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3" w:type="dxa"/>
            <w:vMerge w:val="continue"/>
            <w:vAlign w:val="center"/>
          </w:tcPr>
          <w:p w14:paraId="0C2571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73" w:type="dxa"/>
            <w:vAlign w:val="center"/>
          </w:tcPr>
          <w:p w14:paraId="63A7005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掌握软件工程开发周期及流程和相关开发技术。基本能应用软件工程工具解决软件系统分析、设计中的问题，形成分析和设计方案基本合理。</w:t>
            </w:r>
          </w:p>
        </w:tc>
        <w:tc>
          <w:tcPr>
            <w:tcW w:w="1236" w:type="dxa"/>
            <w:vAlign w:val="center"/>
          </w:tcPr>
          <w:p w14:paraId="0DAD143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857" w:type="dxa"/>
            <w:vMerge w:val="continue"/>
            <w:vAlign w:val="center"/>
          </w:tcPr>
          <w:p w14:paraId="7C9B774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14:paraId="0F614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57" w:type="dxa"/>
            <w:vMerge w:val="continue"/>
            <w:vAlign w:val="center"/>
          </w:tcPr>
          <w:p w14:paraId="1E1E39F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3" w:type="dxa"/>
            <w:vMerge w:val="continue"/>
            <w:vAlign w:val="center"/>
          </w:tcPr>
          <w:p w14:paraId="1CD3FA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73" w:type="dxa"/>
            <w:vAlign w:val="center"/>
          </w:tcPr>
          <w:p w14:paraId="4D1DA6C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未掌握软件工程开发周期及流程和相关开发技术。不能应用软件工程工具解决软件系统分析、设计中的问题，形成分析和设计方案不合理。</w:t>
            </w:r>
          </w:p>
        </w:tc>
        <w:tc>
          <w:tcPr>
            <w:tcW w:w="1236" w:type="dxa"/>
            <w:vAlign w:val="center"/>
          </w:tcPr>
          <w:p w14:paraId="276319B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857" w:type="dxa"/>
            <w:vMerge w:val="continue"/>
            <w:vAlign w:val="center"/>
          </w:tcPr>
          <w:p w14:paraId="106B519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14:paraId="3810C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457" w:type="dxa"/>
            <w:vMerge w:val="restart"/>
            <w:vAlign w:val="center"/>
          </w:tcPr>
          <w:p w14:paraId="411214D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363" w:type="dxa"/>
            <w:vMerge w:val="restart"/>
            <w:vAlign w:val="center"/>
          </w:tcPr>
          <w:p w14:paraId="0BAB20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能够将软件工程专业知识应用到论文撰写中，能够使用图表等多种方式展现自己的毕业设计。</w:t>
            </w:r>
          </w:p>
        </w:tc>
        <w:tc>
          <w:tcPr>
            <w:tcW w:w="5373" w:type="dxa"/>
            <w:vAlign w:val="center"/>
          </w:tcPr>
          <w:p w14:paraId="03780E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论文结构严谨，逻辑性强，论述层次清晰，语言准确，文字流畅，完全符合规范化要求，能很好地表达设计意图。文中图表清晰，符合软件工程行业规范。</w:t>
            </w:r>
          </w:p>
        </w:tc>
        <w:tc>
          <w:tcPr>
            <w:tcW w:w="1236" w:type="dxa"/>
            <w:vAlign w:val="center"/>
          </w:tcPr>
          <w:p w14:paraId="0AB2254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857" w:type="dxa"/>
            <w:vMerge w:val="restart"/>
            <w:vAlign w:val="center"/>
          </w:tcPr>
          <w:p w14:paraId="264D0A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</w:tr>
      <w:tr w14:paraId="1C755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457" w:type="dxa"/>
            <w:vMerge w:val="continue"/>
            <w:vAlign w:val="center"/>
          </w:tcPr>
          <w:p w14:paraId="057F1F3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3" w:type="dxa"/>
            <w:vMerge w:val="continue"/>
            <w:vAlign w:val="center"/>
          </w:tcPr>
          <w:p w14:paraId="5893A70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73" w:type="dxa"/>
            <w:vAlign w:val="center"/>
          </w:tcPr>
          <w:p w14:paraId="42A801F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论文结构严谨，逻辑性较强，论述层次清晰，语言较准确，文字较流畅，符合规范化要求，能准确地表达设计意图。文中图表清晰，符合软件工程行业规范。</w:t>
            </w:r>
          </w:p>
        </w:tc>
        <w:tc>
          <w:tcPr>
            <w:tcW w:w="1236" w:type="dxa"/>
            <w:vAlign w:val="center"/>
          </w:tcPr>
          <w:p w14:paraId="28C6F28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857" w:type="dxa"/>
            <w:vMerge w:val="continue"/>
            <w:vAlign w:val="center"/>
          </w:tcPr>
          <w:p w14:paraId="221914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sz w:val="22"/>
                <w:szCs w:val="22"/>
              </w:rPr>
            </w:pPr>
          </w:p>
        </w:tc>
      </w:tr>
      <w:tr w14:paraId="17ABE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457" w:type="dxa"/>
            <w:vMerge w:val="continue"/>
            <w:vAlign w:val="center"/>
          </w:tcPr>
          <w:p w14:paraId="5DFECA3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3" w:type="dxa"/>
            <w:vMerge w:val="continue"/>
            <w:vAlign w:val="center"/>
          </w:tcPr>
          <w:p w14:paraId="6BD73D4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73" w:type="dxa"/>
            <w:vAlign w:val="center"/>
          </w:tcPr>
          <w:p w14:paraId="4175B2E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论文结构合理，逻辑性一般，论述层次清晰，语言较准确，文字表达准确，符合规范化要求，能较准确地表达设计意图。文中图表较清晰，符合软件工程行业规范。</w:t>
            </w:r>
          </w:p>
        </w:tc>
        <w:tc>
          <w:tcPr>
            <w:tcW w:w="1236" w:type="dxa"/>
            <w:vAlign w:val="center"/>
          </w:tcPr>
          <w:p w14:paraId="70BD8E3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857" w:type="dxa"/>
            <w:vMerge w:val="continue"/>
            <w:vAlign w:val="center"/>
          </w:tcPr>
          <w:p w14:paraId="050402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sz w:val="22"/>
                <w:szCs w:val="22"/>
              </w:rPr>
            </w:pPr>
          </w:p>
        </w:tc>
      </w:tr>
      <w:tr w14:paraId="32272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457" w:type="dxa"/>
            <w:vMerge w:val="continue"/>
            <w:vAlign w:val="center"/>
          </w:tcPr>
          <w:p w14:paraId="07F0FC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3" w:type="dxa"/>
            <w:vMerge w:val="continue"/>
            <w:vAlign w:val="center"/>
          </w:tcPr>
          <w:p w14:paraId="31507ED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73" w:type="dxa"/>
            <w:vAlign w:val="center"/>
          </w:tcPr>
          <w:p w14:paraId="01214AF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论文结构基本合理，逻辑性尚可，论述层次基本清晰，语言无明显错误，基本符合规范化要求，基本能表达设计意图。文中图表一般，基本符合软件工程行业规范。</w:t>
            </w:r>
          </w:p>
        </w:tc>
        <w:tc>
          <w:tcPr>
            <w:tcW w:w="1236" w:type="dxa"/>
            <w:vAlign w:val="center"/>
          </w:tcPr>
          <w:p w14:paraId="0B45E3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857" w:type="dxa"/>
            <w:vMerge w:val="continue"/>
            <w:vAlign w:val="center"/>
          </w:tcPr>
          <w:p w14:paraId="4AEFCA9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sz w:val="22"/>
                <w:szCs w:val="22"/>
              </w:rPr>
            </w:pPr>
          </w:p>
        </w:tc>
      </w:tr>
      <w:tr w14:paraId="5920E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457" w:type="dxa"/>
            <w:vMerge w:val="continue"/>
            <w:vAlign w:val="center"/>
          </w:tcPr>
          <w:p w14:paraId="6A06F60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3" w:type="dxa"/>
            <w:vMerge w:val="continue"/>
            <w:vAlign w:val="center"/>
          </w:tcPr>
          <w:p w14:paraId="42A0888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73" w:type="dxa"/>
            <w:vAlign w:val="center"/>
          </w:tcPr>
          <w:p w14:paraId="7E5287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  <w:lang w:val="en-US" w:eastAsia="zh-CN"/>
              </w:rPr>
              <w:t>论文结构不合理，逻辑性差，论述层次混乱，语言表达有明显问题，不符合规范化要求，不能表达设计意图。文中图表不清晰，不符合软件工程行业规范。</w:t>
            </w:r>
          </w:p>
        </w:tc>
        <w:tc>
          <w:tcPr>
            <w:tcW w:w="1236" w:type="dxa"/>
            <w:vAlign w:val="center"/>
          </w:tcPr>
          <w:p w14:paraId="6BE2046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857" w:type="dxa"/>
            <w:vMerge w:val="continue"/>
            <w:vAlign w:val="center"/>
          </w:tcPr>
          <w:p w14:paraId="100A61A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2" w:lineRule="auto"/>
              <w:rPr>
                <w:rFonts w:hint="eastAsia" w:ascii="Times New Roman" w:hAnsi="Times New Roman" w:cs="Times New Roman"/>
                <w:sz w:val="22"/>
                <w:szCs w:val="22"/>
              </w:rPr>
            </w:pPr>
          </w:p>
        </w:tc>
      </w:tr>
    </w:tbl>
    <w:p w14:paraId="0DBCD09F">
      <w:pPr>
        <w:spacing w:before="156" w:beforeLines="50"/>
        <w:ind w:firstLine="6000" w:firstLineChars="250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评阅</w:t>
      </w:r>
      <w:r>
        <w:rPr>
          <w:rFonts w:hint="eastAsia"/>
          <w:sz w:val="24"/>
          <w:szCs w:val="24"/>
        </w:rPr>
        <w:t>教师签字：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14:paraId="54F92094">
      <w:pPr>
        <w:spacing w:before="156" w:beforeLines="50"/>
        <w:jc w:val="righ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2024</w:t>
      </w:r>
      <w:r>
        <w:rPr>
          <w:rFonts w:hint="eastAsia"/>
          <w:sz w:val="24"/>
          <w:szCs w:val="24"/>
          <w:u w:val="single"/>
        </w:rPr>
        <w:t xml:space="preserve"> 年   月   日</w:t>
      </w:r>
    </w:p>
    <w:sectPr>
      <w:headerReference r:id="rId3" w:type="default"/>
      <w:footerReference r:id="rId4" w:type="default"/>
      <w:pgSz w:w="11906" w:h="16838"/>
      <w:pgMar w:top="1417" w:right="1417" w:bottom="1417" w:left="158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A52E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DBF0B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1Y2VlOTRkZGQ3ZDEwZjcwODljNWNiNGJjMDNiZDcifQ=="/>
  </w:docVars>
  <w:rsids>
    <w:rsidRoot w:val="006F4C09"/>
    <w:rsid w:val="00014A04"/>
    <w:rsid w:val="000C2385"/>
    <w:rsid w:val="000C64C3"/>
    <w:rsid w:val="000E70F0"/>
    <w:rsid w:val="000F49E7"/>
    <w:rsid w:val="001224BB"/>
    <w:rsid w:val="00126524"/>
    <w:rsid w:val="00144123"/>
    <w:rsid w:val="00164CDC"/>
    <w:rsid w:val="0019003E"/>
    <w:rsid w:val="001A26E2"/>
    <w:rsid w:val="001B5759"/>
    <w:rsid w:val="001E7212"/>
    <w:rsid w:val="00257D8C"/>
    <w:rsid w:val="00263504"/>
    <w:rsid w:val="0029584E"/>
    <w:rsid w:val="002D7E34"/>
    <w:rsid w:val="003346D1"/>
    <w:rsid w:val="003654F7"/>
    <w:rsid w:val="003660A6"/>
    <w:rsid w:val="003C1860"/>
    <w:rsid w:val="004C0234"/>
    <w:rsid w:val="004C5D0C"/>
    <w:rsid w:val="00504197"/>
    <w:rsid w:val="0050629D"/>
    <w:rsid w:val="00557D56"/>
    <w:rsid w:val="00570F5E"/>
    <w:rsid w:val="005C6761"/>
    <w:rsid w:val="005D3FC5"/>
    <w:rsid w:val="005D5645"/>
    <w:rsid w:val="00600381"/>
    <w:rsid w:val="006216AE"/>
    <w:rsid w:val="006602CA"/>
    <w:rsid w:val="00661AC3"/>
    <w:rsid w:val="00687C36"/>
    <w:rsid w:val="006935E3"/>
    <w:rsid w:val="006A1685"/>
    <w:rsid w:val="006D554A"/>
    <w:rsid w:val="006D5C2E"/>
    <w:rsid w:val="006E4686"/>
    <w:rsid w:val="006F4C09"/>
    <w:rsid w:val="00723526"/>
    <w:rsid w:val="0074268F"/>
    <w:rsid w:val="007778E8"/>
    <w:rsid w:val="007C7B46"/>
    <w:rsid w:val="007F66BF"/>
    <w:rsid w:val="007F78A2"/>
    <w:rsid w:val="00807CD9"/>
    <w:rsid w:val="008E36E0"/>
    <w:rsid w:val="008E5A92"/>
    <w:rsid w:val="008E6EE7"/>
    <w:rsid w:val="00946D5D"/>
    <w:rsid w:val="00954D4D"/>
    <w:rsid w:val="00960CAB"/>
    <w:rsid w:val="009B5E88"/>
    <w:rsid w:val="009C3B04"/>
    <w:rsid w:val="00A66998"/>
    <w:rsid w:val="00A7709C"/>
    <w:rsid w:val="00AC0B1D"/>
    <w:rsid w:val="00AD0C3A"/>
    <w:rsid w:val="00AD66D4"/>
    <w:rsid w:val="00AF6BE0"/>
    <w:rsid w:val="00B76F98"/>
    <w:rsid w:val="00B849CA"/>
    <w:rsid w:val="00B872C0"/>
    <w:rsid w:val="00BC25A0"/>
    <w:rsid w:val="00BD0140"/>
    <w:rsid w:val="00BE5D25"/>
    <w:rsid w:val="00CA4C8A"/>
    <w:rsid w:val="00CD281A"/>
    <w:rsid w:val="00CF13E1"/>
    <w:rsid w:val="00D46F9E"/>
    <w:rsid w:val="00D931E5"/>
    <w:rsid w:val="00DD4FBE"/>
    <w:rsid w:val="00DE15E2"/>
    <w:rsid w:val="00E728C6"/>
    <w:rsid w:val="00ED4EB1"/>
    <w:rsid w:val="00ED6DE7"/>
    <w:rsid w:val="00EE5CF4"/>
    <w:rsid w:val="00EF0382"/>
    <w:rsid w:val="00F00334"/>
    <w:rsid w:val="00F36793"/>
    <w:rsid w:val="00F4308C"/>
    <w:rsid w:val="00F730E4"/>
    <w:rsid w:val="00FB0D49"/>
    <w:rsid w:val="05044B21"/>
    <w:rsid w:val="091063A3"/>
    <w:rsid w:val="0B5207A2"/>
    <w:rsid w:val="0D3F25F5"/>
    <w:rsid w:val="1279736B"/>
    <w:rsid w:val="20CB483E"/>
    <w:rsid w:val="232B37BB"/>
    <w:rsid w:val="23EB0129"/>
    <w:rsid w:val="2FC510D8"/>
    <w:rsid w:val="32DB550F"/>
    <w:rsid w:val="34D66156"/>
    <w:rsid w:val="41735459"/>
    <w:rsid w:val="44115CBC"/>
    <w:rsid w:val="47BF1A89"/>
    <w:rsid w:val="4C9A738F"/>
    <w:rsid w:val="50670FCE"/>
    <w:rsid w:val="55CE1327"/>
    <w:rsid w:val="574A1950"/>
    <w:rsid w:val="5DDA176B"/>
    <w:rsid w:val="643105AA"/>
    <w:rsid w:val="70EB0DEC"/>
    <w:rsid w:val="70EB5A09"/>
    <w:rsid w:val="7AF3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autoRedefine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autoRedefine/>
    <w:semiHidden/>
    <w:unhideWhenUsed/>
    <w:qFormat/>
    <w:uiPriority w:val="99"/>
    <w:rPr>
      <w:b/>
      <w:bCs/>
    </w:rPr>
  </w:style>
  <w:style w:type="table" w:styleId="8">
    <w:name w:val="Table Grid"/>
    <w:basedOn w:val="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autoRedefine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3"/>
    <w:autoRedefine/>
    <w:semiHidden/>
    <w:qFormat/>
    <w:uiPriority w:val="99"/>
    <w:rPr>
      <w:sz w:val="18"/>
      <w:szCs w:val="18"/>
    </w:rPr>
  </w:style>
  <w:style w:type="character" w:customStyle="1" w:styleId="14">
    <w:name w:val="批注文字 Char"/>
    <w:basedOn w:val="9"/>
    <w:link w:val="2"/>
    <w:autoRedefine/>
    <w:semiHidden/>
    <w:qFormat/>
    <w:uiPriority w:val="99"/>
  </w:style>
  <w:style w:type="character" w:customStyle="1" w:styleId="15">
    <w:name w:val="批注主题 Char"/>
    <w:basedOn w:val="14"/>
    <w:link w:val="6"/>
    <w:autoRedefine/>
    <w:semiHidden/>
    <w:qFormat/>
    <w:uiPriority w:val="99"/>
    <w:rPr>
      <w:b/>
      <w:bCs/>
    </w:rPr>
  </w:style>
  <w:style w:type="character" w:customStyle="1" w:styleId="16">
    <w:name w:val="font21"/>
    <w:basedOn w:val="9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7">
    <w:name w:val="font11"/>
    <w:basedOn w:val="9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4CA29-3E6D-48A4-B52C-3035668CE8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1381</Words>
  <Characters>1391</Characters>
  <Lines>4</Lines>
  <Paragraphs>1</Paragraphs>
  <TotalTime>44</TotalTime>
  <ScaleCrop>false</ScaleCrop>
  <LinksUpToDate>false</LinksUpToDate>
  <CharactersWithSpaces>1432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2018-11-11T05:09:00Z</dcterms:created>
  <dc:creator>Windows 用户</dc:creator>
  <cp:lastModifiedBy>微信用户</cp:lastModifiedBy>
  <dcterms:modified xsi:type="dcterms:W3CDTF">2025-05-22T06:38:27Z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74115F73A69C451B81A1B5D6177B7974_13</vt:lpwstr>
  </property>
  <property fmtid="{D5CDD505-2E9C-101B-9397-08002B2CF9AE}" pid="4" name="KSOTemplateDocerSaveRecord">
    <vt:lpwstr>eyJoZGlkIjoiNDM3MGVlMjMyMGYxODcwNjRmY2YwNjE3ZTA5MmFmNTAiLCJ1c2VySWQiOiIxMjU4NTk4NjU4In0=</vt:lpwstr>
  </property>
</Properties>
</file>