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2835"/>
        <w:gridCol w:w="1984"/>
        <w:gridCol w:w="3119"/>
      </w:tblGrid>
      <w:tr w:rsidR="00787BA8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F293A05" w14:textId="485EEE1D" w:rsidR="00787BA8" w:rsidRPr="00706B3A" w:rsidRDefault="004F5C8B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4F5C8B"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Sterile Nitrile Gloves</w:t>
            </w:r>
          </w:p>
          <w:p w14:paraId="06EDB94B" w14:textId="77777777" w:rsidR="00787BA8" w:rsidRPr="00706B3A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87BA8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1A3FB67E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This initiative targets the foundational and high-volume need for personal protective equipment (PPE) within the $15.6 billion U.S. compounding pharmacy market and is essential for executing our strategy as a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comprehensive, compliance-focused distributor</w:t>
            </w:r>
            <w:r w:rsidRPr="009B7954">
              <w:rPr>
                <w:rFonts w:asciiTheme="majorHAnsi" w:hAnsiTheme="majorHAnsi" w:cstheme="majorHAnsi"/>
              </w:rPr>
              <w:t>.</w:t>
            </w:r>
          </w:p>
          <w:p w14:paraId="1948B02E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br/>
            </w:r>
          </w:p>
          <w:p w14:paraId="149B953A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1. Project Background</w:t>
            </w:r>
          </w:p>
          <w:p w14:paraId="2FB8949C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Sterile compounding is governed by stringent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USP &lt;797&gt;</w:t>
            </w:r>
            <w:r w:rsidRPr="009B7954">
              <w:rPr>
                <w:rFonts w:asciiTheme="majorHAnsi" w:hAnsiTheme="majorHAnsi" w:cstheme="majorHAnsi"/>
              </w:rPr>
              <w:t> standards, which mandate the use of specific PPE to ensure product sterility and operator safety.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Sterile Nitrile Gloves</w:t>
            </w:r>
            <w:r w:rsidRPr="009B7954">
              <w:rPr>
                <w:rFonts w:asciiTheme="majorHAnsi" w:hAnsiTheme="majorHAnsi" w:cstheme="majorHAnsi"/>
              </w:rPr>
              <w:t> are a non-negotiable, consumable cornerstone of these protocols,</w:t>
            </w:r>
          </w:p>
          <w:p w14:paraId="5729E389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As highlighted in our channel plan, the market for compounding consumables is substantial (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$2.34 - $3.12 billion</w:t>
            </w:r>
            <w:r w:rsidRPr="009B7954">
              <w:rPr>
                <w:rFonts w:asciiTheme="majorHAnsi" w:hAnsiTheme="majorHAnsi" w:cstheme="majorHAnsi"/>
              </w:rPr>
              <w:t>), with glove consumption being continuous and high. However, the regulatory and validation burden of introducing a new glove brand, especially from a new manufacturing source, is significant. Therefore, the most effective and low-risk strategy is to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distribute an established, trusted U.S. brand</w:t>
            </w:r>
            <w:r w:rsidRPr="009B7954">
              <w:rPr>
                <w:rFonts w:asciiTheme="majorHAnsi" w:hAnsiTheme="majorHAnsi" w:cstheme="majorHAnsi"/>
              </w:rPr>
              <w:t> that is already recognized and accepted by pharmacy procurement and quality assurance teams. This approach:</w:t>
            </w:r>
          </w:p>
          <w:p w14:paraId="7D0AE7D1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Provides immediate access</w:t>
            </w:r>
            <w:r w:rsidRPr="009B7954">
              <w:rPr>
                <w:rFonts w:asciiTheme="majorHAnsi" w:hAnsiTheme="majorHAnsi" w:cstheme="majorHAnsi"/>
              </w:rPr>
              <w:t> to a high-turnover, recurring revenue stream with a product that has pre-existing market validation.</w:t>
            </w:r>
          </w:p>
          <w:p w14:paraId="266C3018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Eliminates complex regulatory hurdles</w:t>
            </w:r>
            <w:r w:rsidRPr="009B7954">
              <w:rPr>
                <w:rFonts w:asciiTheme="majorHAnsi" w:hAnsiTheme="majorHAnsi" w:cstheme="majorHAnsi"/>
              </w:rPr>
              <w:t> associated with new product introductions in this highly sensitive category.</w:t>
            </w:r>
          </w:p>
          <w:p w14:paraId="1F7DC33D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Solidifies our “one-stop-shop” value proposition</w:t>
            </w:r>
            <w:r w:rsidRPr="009B7954">
              <w:rPr>
                <w:rFonts w:asciiTheme="majorHAnsi" w:hAnsiTheme="majorHAnsi" w:cstheme="majorHAnsi"/>
              </w:rPr>
              <w:t> by adding a critical, workflow-mandated item to our growing portfolio of compliance consumables.</w:t>
            </w:r>
          </w:p>
          <w:p w14:paraId="0614D780" w14:textId="3F0EAAD4" w:rsidR="00CB1E53" w:rsidRDefault="009B7954" w:rsidP="00EF04C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789996B1" wp14:editId="1A58C63D">
                  <wp:extent cx="2548393" cy="1255558"/>
                  <wp:effectExtent l="0" t="0" r="4445" b="1905"/>
                  <wp:docPr id="21428304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487" cy="1261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23ABB289" w:rsidR="00FD3639" w:rsidRPr="00CB1E53" w:rsidRDefault="00FD3639" w:rsidP="00EF04C6">
            <w:pPr>
              <w:rPr>
                <w:rFonts w:asciiTheme="majorHAnsi" w:hAnsiTheme="majorHAnsi" w:cstheme="majorHAnsi"/>
              </w:rPr>
            </w:pPr>
          </w:p>
        </w:tc>
      </w:tr>
      <w:tr w:rsidR="00DD3DE0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5C3BAD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7B521C0B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6D88FEFF" w:rsidRPr="6D88FEFF">
              <w:rPr>
                <w:rFonts w:asciiTheme="majorHAnsi" w:hAnsiTheme="majorHAnsi" w:cs="Arial"/>
              </w:rPr>
              <w:t>_________</w:t>
            </w:r>
            <w:r w:rsidR="6D88FEFF" w:rsidRPr="6D88FEFF">
              <w:rPr>
                <w:rFonts w:asciiTheme="majorHAnsi" w:hAnsiTheme="majorHAnsi"/>
              </w:rPr>
              <w:t xml:space="preserve"> (Mandatory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F62925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DD3DE0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5EC39E57" w14:textId="77777777" w:rsidR="00DD3DE0" w:rsidRDefault="00DD3DE0" w:rsidP="00DD3DE0">
            <w:pPr>
              <w:rPr>
                <w:rFonts w:asciiTheme="majorHAnsi" w:hAnsiTheme="majorHAnsi"/>
              </w:rPr>
            </w:pPr>
          </w:p>
          <w:p w14:paraId="003DCE8C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79F1C6F9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6AE29B7D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6358B620" w14:textId="61A039E0" w:rsidR="00FD3639" w:rsidRDefault="00FD3639" w:rsidP="00DD3DE0">
            <w:pPr>
              <w:rPr>
                <w:rFonts w:asciiTheme="majorHAnsi" w:hAnsiTheme="majorHAnsi"/>
              </w:rPr>
            </w:pPr>
          </w:p>
          <w:p w14:paraId="43C8BEA9" w14:textId="10F35D8D" w:rsidR="00FD3639" w:rsidRPr="00706B3A" w:rsidRDefault="00FD3639" w:rsidP="00DD3DE0">
            <w:pPr>
              <w:rPr>
                <w:rFonts w:asciiTheme="majorHAnsi" w:hAnsiTheme="majorHAnsi"/>
              </w:rPr>
            </w:pPr>
          </w:p>
        </w:tc>
      </w:tr>
      <w:tr w:rsidR="004575E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CC6C2E7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76A57A1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4575E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52BE591B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4575E2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7BCC5DE3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65C924D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174A09C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4575E2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B02E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lastRenderedPageBreak/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4575E2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38F8075F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5C3BAD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3398E204" w:rsidR="000E7495" w:rsidRPr="00706B3A" w:rsidRDefault="000E7495" w:rsidP="000E7495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13615E75" w14:textId="77777777" w:rsidR="00AF6F0C" w:rsidRPr="00816DB3" w:rsidRDefault="00AF6F0C">
      <w:pPr>
        <w:rPr>
          <w:rFonts w:eastAsia="宋体"/>
          <w:lang w:eastAsia="zh-CN"/>
        </w:rPr>
      </w:pPr>
    </w:p>
    <w:sectPr w:rsidR="00AF6F0C" w:rsidRPr="00816DB3" w:rsidSect="00706B3A">
      <w:headerReference w:type="default" r:id="rId12"/>
      <w:footerReference w:type="default" r:id="rId13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8BED" w14:textId="77777777" w:rsidR="004B5E6B" w:rsidRDefault="004B5E6B" w:rsidP="00301389">
      <w:r>
        <w:separator/>
      </w:r>
    </w:p>
  </w:endnote>
  <w:endnote w:type="continuationSeparator" w:id="0">
    <w:p w14:paraId="3BCF94C9" w14:textId="77777777" w:rsidR="004B5E6B" w:rsidRDefault="004B5E6B" w:rsidP="00301389">
      <w:r>
        <w:continuationSeparator/>
      </w:r>
    </w:p>
  </w:endnote>
  <w:endnote w:type="continuationNotice" w:id="1">
    <w:p w14:paraId="7ED8BE92" w14:textId="77777777" w:rsidR="004B5E6B" w:rsidRDefault="004B5E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9CD0" w14:textId="77777777" w:rsidR="004B5E6B" w:rsidRDefault="004B5E6B" w:rsidP="00301389">
      <w:r>
        <w:separator/>
      </w:r>
    </w:p>
  </w:footnote>
  <w:footnote w:type="continuationSeparator" w:id="0">
    <w:p w14:paraId="4FC4647B" w14:textId="77777777" w:rsidR="004B5E6B" w:rsidRDefault="004B5E6B" w:rsidP="00301389">
      <w:r>
        <w:continuationSeparator/>
      </w:r>
    </w:p>
  </w:footnote>
  <w:footnote w:type="continuationNotice" w:id="1">
    <w:p w14:paraId="55781F59" w14:textId="77777777" w:rsidR="004B5E6B" w:rsidRDefault="004B5E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2F324F"/>
    <w:multiLevelType w:val="multilevel"/>
    <w:tmpl w:val="785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1501">
    <w:abstractNumId w:val="3"/>
  </w:num>
  <w:num w:numId="2" w16cid:durableId="45302778">
    <w:abstractNumId w:val="1"/>
  </w:num>
  <w:num w:numId="3" w16cid:durableId="410853051">
    <w:abstractNumId w:val="4"/>
  </w:num>
  <w:num w:numId="4" w16cid:durableId="686450311">
    <w:abstractNumId w:val="0"/>
  </w:num>
  <w:num w:numId="5" w16cid:durableId="19749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76B40"/>
    <w:rsid w:val="00082873"/>
    <w:rsid w:val="00085C1D"/>
    <w:rsid w:val="000B077F"/>
    <w:rsid w:val="000B7597"/>
    <w:rsid w:val="000E7495"/>
    <w:rsid w:val="000F4704"/>
    <w:rsid w:val="00100972"/>
    <w:rsid w:val="001033F5"/>
    <w:rsid w:val="0011399A"/>
    <w:rsid w:val="00126599"/>
    <w:rsid w:val="001305E8"/>
    <w:rsid w:val="00130BAA"/>
    <w:rsid w:val="00142CCC"/>
    <w:rsid w:val="0015051D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25693"/>
    <w:rsid w:val="0033747C"/>
    <w:rsid w:val="0034378F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D1B15"/>
    <w:rsid w:val="003E7E45"/>
    <w:rsid w:val="003F4E3F"/>
    <w:rsid w:val="003F75F2"/>
    <w:rsid w:val="00403953"/>
    <w:rsid w:val="004168D8"/>
    <w:rsid w:val="0043584F"/>
    <w:rsid w:val="00437BD0"/>
    <w:rsid w:val="004575E2"/>
    <w:rsid w:val="00460BD9"/>
    <w:rsid w:val="0046438C"/>
    <w:rsid w:val="004A05C6"/>
    <w:rsid w:val="004A2755"/>
    <w:rsid w:val="004A3559"/>
    <w:rsid w:val="004A6B02"/>
    <w:rsid w:val="004B5E6B"/>
    <w:rsid w:val="004B72DD"/>
    <w:rsid w:val="004D2440"/>
    <w:rsid w:val="004D2D3C"/>
    <w:rsid w:val="004D35BB"/>
    <w:rsid w:val="004D5D1B"/>
    <w:rsid w:val="004F5C8B"/>
    <w:rsid w:val="0050112E"/>
    <w:rsid w:val="00502B1C"/>
    <w:rsid w:val="00512FC2"/>
    <w:rsid w:val="00514E85"/>
    <w:rsid w:val="00516C65"/>
    <w:rsid w:val="005642AC"/>
    <w:rsid w:val="00571D97"/>
    <w:rsid w:val="0058703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607D31"/>
    <w:rsid w:val="00612F72"/>
    <w:rsid w:val="00622729"/>
    <w:rsid w:val="006317A0"/>
    <w:rsid w:val="00632534"/>
    <w:rsid w:val="00640937"/>
    <w:rsid w:val="00653910"/>
    <w:rsid w:val="00655CCA"/>
    <w:rsid w:val="00660591"/>
    <w:rsid w:val="00676690"/>
    <w:rsid w:val="0068031C"/>
    <w:rsid w:val="00694795"/>
    <w:rsid w:val="006C173C"/>
    <w:rsid w:val="006C428D"/>
    <w:rsid w:val="006C5649"/>
    <w:rsid w:val="006C75FF"/>
    <w:rsid w:val="006E11BD"/>
    <w:rsid w:val="006F237D"/>
    <w:rsid w:val="006F3C7E"/>
    <w:rsid w:val="006F3F89"/>
    <w:rsid w:val="006F578D"/>
    <w:rsid w:val="00706B3A"/>
    <w:rsid w:val="00716B04"/>
    <w:rsid w:val="0071744F"/>
    <w:rsid w:val="0072549E"/>
    <w:rsid w:val="00736E59"/>
    <w:rsid w:val="00741155"/>
    <w:rsid w:val="00741950"/>
    <w:rsid w:val="00745EDA"/>
    <w:rsid w:val="00753FD0"/>
    <w:rsid w:val="007551CA"/>
    <w:rsid w:val="007556D6"/>
    <w:rsid w:val="00787BA8"/>
    <w:rsid w:val="007A1773"/>
    <w:rsid w:val="007A21EA"/>
    <w:rsid w:val="007B73B3"/>
    <w:rsid w:val="007D5C66"/>
    <w:rsid w:val="007E098B"/>
    <w:rsid w:val="00816DB3"/>
    <w:rsid w:val="00824B35"/>
    <w:rsid w:val="00852512"/>
    <w:rsid w:val="00857764"/>
    <w:rsid w:val="00884BDF"/>
    <w:rsid w:val="0088535B"/>
    <w:rsid w:val="008B0F61"/>
    <w:rsid w:val="008C0EC0"/>
    <w:rsid w:val="008C1008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B7954"/>
    <w:rsid w:val="009E2A05"/>
    <w:rsid w:val="00A04533"/>
    <w:rsid w:val="00A06EF7"/>
    <w:rsid w:val="00A12BAE"/>
    <w:rsid w:val="00A55329"/>
    <w:rsid w:val="00A57E38"/>
    <w:rsid w:val="00A83812"/>
    <w:rsid w:val="00A9485D"/>
    <w:rsid w:val="00AA2768"/>
    <w:rsid w:val="00AA4B87"/>
    <w:rsid w:val="00AB02E2"/>
    <w:rsid w:val="00AB2B0D"/>
    <w:rsid w:val="00AB5706"/>
    <w:rsid w:val="00AC21B1"/>
    <w:rsid w:val="00AD2764"/>
    <w:rsid w:val="00AD4ADC"/>
    <w:rsid w:val="00AD73D5"/>
    <w:rsid w:val="00AF0464"/>
    <w:rsid w:val="00AF6F0C"/>
    <w:rsid w:val="00B1390D"/>
    <w:rsid w:val="00B17F7B"/>
    <w:rsid w:val="00B2644D"/>
    <w:rsid w:val="00B51D70"/>
    <w:rsid w:val="00B554D0"/>
    <w:rsid w:val="00B557E3"/>
    <w:rsid w:val="00B901F8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76D41"/>
    <w:rsid w:val="00C87762"/>
    <w:rsid w:val="00C95BE7"/>
    <w:rsid w:val="00C9625A"/>
    <w:rsid w:val="00CA3AEA"/>
    <w:rsid w:val="00CA46E5"/>
    <w:rsid w:val="00CB1E53"/>
    <w:rsid w:val="00CD3D65"/>
    <w:rsid w:val="00CD3D7D"/>
    <w:rsid w:val="00CF0BB9"/>
    <w:rsid w:val="00CF0E27"/>
    <w:rsid w:val="00CF31D0"/>
    <w:rsid w:val="00D03A8D"/>
    <w:rsid w:val="00D159AF"/>
    <w:rsid w:val="00D26CA4"/>
    <w:rsid w:val="00D344A5"/>
    <w:rsid w:val="00D37E2C"/>
    <w:rsid w:val="00D51002"/>
    <w:rsid w:val="00D53FC7"/>
    <w:rsid w:val="00D62214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D494B"/>
    <w:rsid w:val="00DE4ECF"/>
    <w:rsid w:val="00E05B1E"/>
    <w:rsid w:val="00E06333"/>
    <w:rsid w:val="00E348B7"/>
    <w:rsid w:val="00E435C8"/>
    <w:rsid w:val="00E52A2B"/>
    <w:rsid w:val="00E67536"/>
    <w:rsid w:val="00EA2A4F"/>
    <w:rsid w:val="00EA37D3"/>
    <w:rsid w:val="00EF04C6"/>
    <w:rsid w:val="00F02FFF"/>
    <w:rsid w:val="00F1106F"/>
    <w:rsid w:val="00F269AA"/>
    <w:rsid w:val="00F34435"/>
    <w:rsid w:val="00F443D0"/>
    <w:rsid w:val="00F62925"/>
    <w:rsid w:val="00F66A06"/>
    <w:rsid w:val="00F95A91"/>
    <w:rsid w:val="00FA6AEE"/>
    <w:rsid w:val="00FB224E"/>
    <w:rsid w:val="00FD3639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656</Words>
  <Characters>3931</Characters>
  <Application>Microsoft Office Word</Application>
  <DocSecurity>0</DocSecurity>
  <Lines>138</Lines>
  <Paragraphs>85</Paragraphs>
  <ScaleCrop>false</ScaleCrop>
  <Company>Visea Consultancy Ltd</Company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26</cp:revision>
  <cp:lastPrinted>2017-09-10T23:17:00Z</cp:lastPrinted>
  <dcterms:created xsi:type="dcterms:W3CDTF">2023-08-29T14:21:00Z</dcterms:created>
  <dcterms:modified xsi:type="dcterms:W3CDTF">2026-02-09T09:42:00Z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