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Specification &amp; UI/UX Audit: GigGuard Mobile</w:t>
      </w:r>
    </w:p>
    <w:p>
      <w:r>
        <w:t>This document provides a comprehensive breakdown of the GigGuard mobile application’s design system, architectural patterns, and user experience implementation.</w:t>
      </w:r>
    </w:p>
    <w:p>
      <w:pPr>
        <w:pStyle w:val="Heading1"/>
      </w:pPr>
      <w:r>
        <w:t>1. Visual Identity &amp; Design System</w:t>
      </w:r>
    </w:p>
    <w:p>
      <w:r>
        <w:t>The application utilizes a Premium Dark Theme architecture. This aesthetic is specifically chosen to convey security, precision, and high-tech reliability.</w:t>
      </w:r>
    </w:p>
    <w:p>
      <w:pPr>
        <w:pStyle w:val="Heading2"/>
      </w:pPr>
      <w:r>
        <w:t>Color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Element</w:t>
            </w:r>
          </w:p>
        </w:tc>
        <w:tc>
          <w:tcPr>
            <w:tcW w:type="dxa" w:w="2160"/>
          </w:tcPr>
          <w:p>
            <w:r>
              <w:t>Hex Code</w:t>
            </w:r>
          </w:p>
        </w:tc>
        <w:tc>
          <w:tcPr>
            <w:tcW w:type="dxa" w:w="2160"/>
          </w:tcPr>
          <w:p>
            <w:r>
              <w:t>Visual Intent</w:t>
            </w:r>
          </w:p>
        </w:tc>
      </w:tr>
      <w:tr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App Background</w:t>
            </w:r>
          </w:p>
        </w:tc>
        <w:tc>
          <w:tcPr>
            <w:tcW w:type="dxa" w:w="2160"/>
          </w:tcPr>
          <w:p>
            <w:r>
              <w:t>#131323</w:t>
            </w:r>
          </w:p>
        </w:tc>
        <w:tc>
          <w:tcPr>
            <w:tcW w:type="dxa" w:w="2160"/>
          </w:tcPr>
          <w:p>
            <w:r>
              <w:t>Deep space navy; reduces eye strain.</w:t>
            </w:r>
          </w:p>
        </w:tc>
      </w:tr>
      <w:tr>
        <w:tc>
          <w:tcPr>
            <w:tcW w:type="dxa" w:w="2160"/>
          </w:tcPr>
          <w:p>
            <w:r>
              <w:t>Elevation</w:t>
            </w:r>
          </w:p>
        </w:tc>
        <w:tc>
          <w:tcPr>
            <w:tcW w:type="dxa" w:w="2160"/>
          </w:tcPr>
          <w:p>
            <w:r>
              <w:t>Card/Surface</w:t>
            </w:r>
          </w:p>
        </w:tc>
        <w:tc>
          <w:tcPr>
            <w:tcW w:type="dxa" w:w="2160"/>
          </w:tcPr>
          <w:p>
            <w:r>
              <w:t>#1A1A2E</w:t>
            </w:r>
          </w:p>
        </w:tc>
        <w:tc>
          <w:tcPr>
            <w:tcW w:type="dxa" w:w="2160"/>
          </w:tcPr>
          <w:p>
            <w:r>
              <w:t>Subtle contrast for layered UI.</w:t>
            </w:r>
          </w:p>
        </w:tc>
      </w:tr>
      <w:tr>
        <w:tc>
          <w:tcPr>
            <w:tcW w:type="dxa" w:w="2160"/>
          </w:tcPr>
          <w:p>
            <w:r>
              <w:t>Accent 1</w:t>
            </w:r>
          </w:p>
        </w:tc>
        <w:tc>
          <w:tcPr>
            <w:tcW w:type="dxa" w:w="2160"/>
          </w:tcPr>
          <w:p>
            <w:r>
              <w:t>Basic (Aqua)</w:t>
            </w:r>
          </w:p>
        </w:tc>
        <w:tc>
          <w:tcPr>
            <w:tcW w:type="dxa" w:w="2160"/>
          </w:tcPr>
          <w:p>
            <w:r>
              <w:t>#00E5FF</w:t>
            </w:r>
          </w:p>
        </w:tc>
        <w:tc>
          <w:tcPr>
            <w:tcW w:type="dxa" w:w="2160"/>
          </w:tcPr>
          <w:p>
            <w:r>
              <w:t>Tech-forward security.</w:t>
            </w:r>
          </w:p>
        </w:tc>
      </w:tr>
      <w:tr>
        <w:tc>
          <w:tcPr>
            <w:tcW w:type="dxa" w:w="2160"/>
          </w:tcPr>
          <w:p>
            <w:r>
              <w:t>Accent 2</w:t>
            </w:r>
          </w:p>
        </w:tc>
        <w:tc>
          <w:tcPr>
            <w:tcW w:type="dxa" w:w="2160"/>
          </w:tcPr>
          <w:p>
            <w:r>
              <w:t>Standard (Orange)</w:t>
            </w:r>
          </w:p>
        </w:tc>
        <w:tc>
          <w:tcPr>
            <w:tcW w:type="dxa" w:w="2160"/>
          </w:tcPr>
          <w:p>
            <w:r>
              <w:t>#FF6B35</w:t>
            </w:r>
          </w:p>
        </w:tc>
        <w:tc>
          <w:tcPr>
            <w:tcW w:type="dxa" w:w="2160"/>
          </w:tcPr>
          <w:p>
            <w:r>
              <w:t>High visibility, energy.</w:t>
            </w:r>
          </w:p>
        </w:tc>
      </w:tr>
      <w:tr>
        <w:tc>
          <w:tcPr>
            <w:tcW w:type="dxa" w:w="2160"/>
          </w:tcPr>
          <w:p>
            <w:r>
              <w:t>Accent 3</w:t>
            </w:r>
          </w:p>
        </w:tc>
        <w:tc>
          <w:tcPr>
            <w:tcW w:type="dxa" w:w="2160"/>
          </w:tcPr>
          <w:p>
            <w:r>
              <w:t>Premium (Gold)</w:t>
            </w:r>
          </w:p>
        </w:tc>
        <w:tc>
          <w:tcPr>
            <w:tcW w:type="dxa" w:w="2160"/>
          </w:tcPr>
          <w:p>
            <w:r>
              <w:t>#FFD700</w:t>
            </w:r>
          </w:p>
        </w:tc>
        <w:tc>
          <w:tcPr>
            <w:tcW w:type="dxa" w:w="2160"/>
          </w:tcPr>
          <w:p>
            <w:r>
              <w:t>Exclusivity.</w:t>
            </w:r>
          </w:p>
        </w:tc>
      </w:tr>
      <w:tr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High readability.</w:t>
            </w:r>
          </w:p>
        </w:tc>
      </w:tr>
    </w:tbl>
    <w:p>
      <w:pPr>
        <w:pStyle w:val="Heading1"/>
      </w:pPr>
      <w:r>
        <w:t>2. Core UI Component Analysis</w:t>
      </w:r>
    </w:p>
    <w:p>
      <w:pPr>
        <w:pStyle w:val="Heading2"/>
      </w:pPr>
      <w:r>
        <w:t>A. PlanCard.tsx (Selection Engine)</w:t>
      </w:r>
    </w:p>
    <w:p>
      <w:r>
        <w:t>• Spring Dynamics: Uses Animated.spring (scaling to 1.015) for tactile feedback.</w:t>
        <w:br/>
        <w:t>• Interpolated Glows: Animated.timing transitions border colors based on tier.</w:t>
        <w:br/>
        <w:t>• Pricing Transparency: Includes Loyalty Reward chips (e.g., ↓ ₹50) for reinforcement.</w:t>
      </w:r>
    </w:p>
    <w:p>
      <w:pPr>
        <w:pStyle w:val="Heading2"/>
      </w:pPr>
      <w:r>
        <w:t>B. DashboardScreen.tsx (The Command Center)</w:t>
      </w:r>
    </w:p>
    <w:p>
      <w:r>
        <w:t>• Risk Gauge: Central visualization of 7-day predicted disruption loss ratio.</w:t>
        <w:br/>
        <w:t>• Automated Trigger Array: Progress bars for Rain/Heat using Safe -&gt; Warning -&gt; Danger gradients.</w:t>
        <w:br/>
        <w:t>• Zone Profile Grid: Real-time GPS-based data (Elevation, Coast Proximity, Flood Risk).</w:t>
      </w:r>
    </w:p>
    <w:p>
      <w:pPr>
        <w:pStyle w:val="Heading1"/>
      </w:pPr>
      <w:r>
        <w:t>3. UX Patterns &amp; Innovation</w:t>
      </w:r>
    </w:p>
    <w:p>
      <w:pPr>
        <w:pStyle w:val="Heading2"/>
      </w:pPr>
      <w:r>
        <w:t>The Claim Simulator</w:t>
      </w:r>
    </w:p>
    <w:p>
      <w:r>
        <w:t>Conditional UI: If lossRatio &gt; 0.15, the UI surfaces a red 'Simulate Auto-Claim' button. This removes user anxiety by demonstrating the automated payout trigger before an event occurs.</w:t>
      </w:r>
    </w:p>
    <w:p>
      <w:pPr>
        <w:pStyle w:val="Heading1"/>
      </w:pPr>
      <w:r>
        <w:t>4. Overall Assessment</w:t>
      </w:r>
    </w:p>
    <w:p>
      <w:r>
        <w:rPr>
          <w:i/>
        </w:rPr>
        <w:t>Premium Feel: The UI successfully achieves a 'WOW' factor. The combination of #131323 backgrounds and neon accents aligns with top-tier fintech standards.</w:t>
      </w:r>
    </w:p>
    <w:p>
      <w:pPr>
        <w:pStyle w:val="Heading2"/>
      </w:pPr>
      <w:r>
        <w:t>Strategic Recommendation</w:t>
      </w:r>
    </w:p>
    <w:p>
      <w:r>
        <w:t>Shift from emojis to high-quality SVG vector icons (e.g., Lucide-React) for the production deployment to ensure pixel-perfect scaling and professional cohesion.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