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论文分享版 V3｜逐页大纲</w:t>
      </w:r>
    </w:p>
    <w:p>
      <w:r>
        <w:t>29页主讲＋4页附录；约30分钟。第17–20页强化六原型视觉呈现。</w:t>
      </w:r>
    </w:p>
    <w:p>
      <w:pPr>
        <w:pStyle w:val="Heading1"/>
      </w:pPr>
      <w:r>
        <w:t>01｜文献分享</w:t>
      </w:r>
    </w:p>
    <w:p>
      <w:r>
        <w:t>From Social Categorization to Implicit Citizenship Theories</w:t>
      </w:r>
    </w:p>
    <w:p>
      <w:r>
        <w:t>公务人员如何「看见」公民？</w:t>
      </w:r>
    </w:p>
    <w:p>
      <w:r>
        <w:t>来源：Vogel et al., 2025 · Public Administration Review, 85(2), 402–418；建议时段：00:00–00:30。</w:t>
      </w:r>
    </w:p>
    <w:p>
      <w:pPr>
        <w:pStyle w:val="Heading1"/>
      </w:pPr>
      <w:r>
        <w:t>02｜文章结构 · 阅读地图</w:t>
      </w:r>
    </w:p>
    <w:p>
      <w:r>
        <w:t>Introduction / Theory / Data, methods, and results / Discussion</w:t>
      </w:r>
    </w:p>
    <w:p>
      <w:r>
        <w:t>先理解问题，再跟随作者找到答案</w:t>
      </w:r>
    </w:p>
    <w:p>
      <w:r>
        <w:t>- 引言｜为何研究公民形象：公共服务中的判断，可能受到工作人员对服务对象的预先理解影响。作者从已有社会分类研究出发，寻找尚未被系统描绘的认知结构。</w:t>
      </w:r>
    </w:p>
    <w:p>
      <w:r>
        <w:t>- 理论｜用什么概念解释：社会分类说明人怎样处理信息；内隐理论说明既有经验如何形成日常解释框架；ICTs将这一思路用于工作人员眼中的公民。</w:t>
      </w:r>
    </w:p>
    <w:p>
      <w:r>
        <w:t>- 研究与讨论｜发现了什么：四项研究依次生成属性、识别原型、验证结构；讨论再解释六原型的含义，以及个人干预与公共服务环境的作用。</w:t>
      </w:r>
    </w:p>
    <w:p>
      <w:r>
        <w:t>来源：依据原文四个主体部分整理；页402–414；建议时段：00:30–01:10。</w:t>
      </w:r>
    </w:p>
    <w:p>
      <w:pPr>
        <w:pStyle w:val="Heading1"/>
      </w:pPr>
      <w:r>
        <w:t>03｜引言 · 研究背景</w:t>
      </w:r>
    </w:p>
    <w:p>
      <w:r>
        <w:t>Introduction · State–citizen interactions</w:t>
      </w:r>
    </w:p>
    <w:p>
      <w:r>
        <w:t>理解公共服务，也要理解工作人员眼中的服务对象</w:t>
      </w:r>
    </w:p>
    <w:p>
      <w:r>
        <w:t>- 互动中的认知：一线工作人员每天接触公民，会逐渐形成关于服务对象的看法。公民表现出的特征和行为，可能影响工作人员的态度、判断与决策。：论文引用Lipsky的观点：对工作的理解，也意味着对服务对象的理解。关于公民的预先假设会被带进具体工作。</w:t>
      </w:r>
    </w:p>
    <w:p>
      <w:r>
        <w:t>- 为什么值得关注：公共服务与双方的生活经历、期待和相互理解相联系。负面公民形象可能损害服务关系，使使用者退出共同生产，进一步影响公共价值。：因此，作者希望让日常工作中不易察觉的认知图式变得可研究，也为服务管理、沟通和培训提供依据。</w:t>
      </w:r>
    </w:p>
    <w:p>
      <w:r>
        <w:t>来源：引言，页402–403；建议时段：01:10–02:19。</w:t>
      </w:r>
    </w:p>
    <w:p>
      <w:pPr>
        <w:pStyle w:val="Heading1"/>
      </w:pPr>
      <w:r>
        <w:t>04｜引言／理论 · 已有研究的两条路线</w:t>
      </w:r>
    </w:p>
    <w:p>
      <w:r>
        <w:t>Social categorization · Signals and categories</w:t>
      </w:r>
    </w:p>
    <w:p>
      <w:r>
        <w:t>已有研究看到了差别回应，却未画出整体认知图景</w:t>
      </w:r>
    </w:p>
    <w:p>
      <w:r>
        <w:t>- 路线一｜从特定信号观察回应：研究改变或观察公民的性别、族群、社会阶层、能力、动机与行为，再看工作人员是否给出不同态度、服务或决定。：例如，工作人员如何回应族群线索、行政素养或勤奋表现？背后的社会类别通常由对这些信号的反应间接推断。</w:t>
      </w:r>
    </w:p>
    <w:p>
      <w:r>
        <w:t>- 路线二｜围绕预设类别研究判断：另一些研究直接聚焦理论或行政程序预先界定的类别，例如公民是否「值得帮助」（deservingness）。：两条路线都揭示了重要差异；但它们多聚焦某个特定类别，较少探索工作人员头脑中自由浮现的更广泛公民形象。</w:t>
      </w:r>
    </w:p>
    <w:p>
      <w:r>
        <w:t>来源：引言及社会分类小节，页402–404；两条路线为对原文论述的归纳；建议时段：02:19–03:43。</w:t>
      </w:r>
    </w:p>
    <w:p>
      <w:pPr>
        <w:pStyle w:val="Heading1"/>
      </w:pPr>
      <w:r>
        <w:t>05｜引言 · 研究问题与切入点</w:t>
      </w:r>
    </w:p>
    <w:p>
      <w:r>
        <w:t>Research focus · Content and structure</w:t>
      </w:r>
    </w:p>
    <w:p>
      <w:r>
        <w:t>本文追问：工作人员带入工作的公民形象是什么？</w:t>
      </w:r>
    </w:p>
    <w:p>
      <w:r>
        <w:t>- 内容｜会想到哪些特征：不先指定「值得帮助」或某个人口群体，而让工作人员结合日常岗位，报告想到公民时自然出现的属性联想。</w:t>
      </w:r>
    </w:p>
    <w:p>
      <w:r>
        <w:t>- 结构｜这些特征怎样联系：属性并非零散词语。作者进一步考察哪些特征反复聚集、形成怎样的公民原型，以及原型之间如何联系。</w:t>
      </w:r>
    </w:p>
    <w:p>
      <w:r>
        <w:t>- 切入点｜从具体刺激回到认知框架：同一公民信号会经过工作人员既有看法的过滤。识别这一总体框架，有助于理解工作人员如何解释具体接触。</w:t>
      </w:r>
    </w:p>
    <w:p>
      <w:r>
        <w:t>来源：引言，页403；理论，页403–405；建议时段：03:43–04:47。</w:t>
      </w:r>
    </w:p>
    <w:p>
      <w:pPr>
        <w:pStyle w:val="Heading1"/>
      </w:pPr>
      <w:r>
        <w:t>06｜理论 · 概念一：社会分类</w:t>
      </w:r>
    </w:p>
    <w:p>
      <w:r>
        <w:t>Social categorization</w:t>
      </w:r>
    </w:p>
    <w:p>
      <w:r>
        <w:t>社会分类帮助人处理复杂信息，也会简化对他人的理解</w:t>
      </w:r>
    </w:p>
    <w:p>
      <w:r>
        <w:t>- 基本含义：社会分类是人们将自己和他人归入不同社会群体的过程。面对大量社会信息，人会借助已有类别来迅速辨认对象、理解情境。：在行政接触中，工作人员会把目标人物的特征与更广泛的社会类别联系起来，从而形成对这位公民的初步理解。</w:t>
      </w:r>
    </w:p>
    <w:p>
      <w:r>
        <w:t>- 为何引出本文：分类具有普遍性，但具体结果受情境影响：工作负荷、接触环境，以及公民多种特征的组合，都可能改变工作人员的回应。：作者希望进一步打开分类过程：工作人员在遇到具体公民之前，已经拥有怎样的认知过滤器？</w:t>
      </w:r>
    </w:p>
    <w:p>
      <w:r>
        <w:t>来源：理论：Social categorization in state–citizen interactions，页403–404；建议时段：04:47–05:47。</w:t>
      </w:r>
    </w:p>
    <w:p>
      <w:pPr>
        <w:pStyle w:val="Heading1"/>
      </w:pPr>
      <w:r>
        <w:t>07｜理论 · 概念二：内隐理论</w:t>
      </w:r>
    </w:p>
    <w:p>
      <w:r>
        <w:t>Implicit theories</w:t>
      </w:r>
    </w:p>
    <w:p>
      <w:r>
        <w:t>内隐理论是普通人理解社会世界的日常解释框架</w:t>
      </w:r>
    </w:p>
    <w:p>
      <w:r>
        <w:t>- 是什么｜相互关联的先在类别：内隐理论由彼此重叠、相互关联的类别构成，涉及他人、情境、事件及其关系。它是非正式的日常理论，而非经过系统论证的学术理论。</w:t>
      </w:r>
    </w:p>
    <w:p>
      <w:r>
        <w:t>- 从哪里来｜经验与社会化：它可以形成于与某类人的直接交往，也可以通过社会化习得。长期积累的经验沉淀为心智地图，帮助人解释新的输入信息。</w:t>
      </w:r>
    </w:p>
    <w:p>
      <w:r>
        <w:t>- 为什么稳定｜反复使用与认知成本：这些看法储存在长期记忆中，经过反复使用而变得熟悉。摆脱旧框架、学习新框架也需要认知资源，因此即使遇到反证也不容易改变。</w:t>
      </w:r>
    </w:p>
    <w:p>
      <w:r>
        <w:t>来源：理论：Implicit theories，页404–405；建议时段：05:47–07:01。</w:t>
      </w:r>
    </w:p>
    <w:p>
      <w:pPr>
        <w:pStyle w:val="Heading1"/>
      </w:pPr>
      <w:r>
        <w:t>08｜理论 · 概念二的加工方式</w:t>
      </w:r>
    </w:p>
    <w:p>
      <w:r>
        <w:t>Implicit theories · Dual-process models</w:t>
      </w:r>
    </w:p>
    <w:p>
      <w:r>
        <w:t>「内隐」主要描述快速联想的使用方式</w:t>
      </w:r>
    </w:p>
    <w:p>
      <w:r>
        <w:t>- 快速、联想式加工：面对刺激，人往往迅速调用已有图式，作出近乎自动化的反应。这种方式节省精力，使人能在信息繁多时快速辨明方向。：代价是可能过度简化或错误分类：人容易沿用熟悉的解释，而忽略对象的特殊处境。</w:t>
      </w:r>
    </w:p>
    <w:p>
      <w:r>
        <w:t>- 缓慢、反思式加工：另一种方式是有意识、依循规则地思考。作者借助双加工模型，说明日常判断为何既有反思成分，也有前意识的联想成分。：「内隐」并不意味着完全无法察觉。人经过深入反思，可以部分认识自己的日常理论；但实际使用时仍常依赖快速加工。</w:t>
      </w:r>
    </w:p>
    <w:p>
      <w:r>
        <w:t>来源：理论：Implicit theories，页404–405；建议时段：07:01–07:56。</w:t>
      </w:r>
    </w:p>
    <w:p>
      <w:pPr>
        <w:pStyle w:val="Heading1"/>
      </w:pPr>
      <w:r>
        <w:t>09｜理论 · 核心概念：内隐公民理论</w:t>
      </w:r>
    </w:p>
    <w:p>
      <w:r>
        <w:t>Implicit citizenship theories · ICTs</w:t>
      </w:r>
    </w:p>
    <w:p>
      <w:r>
        <w:t>ICTs研究人们实际如何看待公民</w:t>
      </w:r>
    </w:p>
    <w:p>
      <w:r>
        <w:t>- 定义｜关于典型或理想公民的假设：ICTs是人们对公民典型或理想特征所持有的内隐假设。它们由日常经验与社会化形成，为认知分类提供一般化的解释框架。：典型（typical）指公民通常是什么样；理想（ideal）指人们期待公民最好是什么样。本文测量没有将两者完全拆开。</w:t>
      </w:r>
    </w:p>
    <w:p>
      <w:r>
        <w:t>- 研究对象｜日常角色理解：规范性公民身份理论讨论公民应具有哪些特征；本文则通过实证研究，观察工作人员头脑中实际上出现哪些公民形象。：这里的「公民」也是日常建构的类别。工作人员可能想到全部服务对象，包括游客或移民，而不限于具有本国法定国籍者。</w:t>
      </w:r>
    </w:p>
    <w:p>
      <w:r>
        <w:t>来源：理论：Implicit citizenship theories，页405–406；建议时段：07:56–09:10。</w:t>
      </w:r>
    </w:p>
    <w:p>
      <w:pPr>
        <w:pStyle w:val="Heading1"/>
      </w:pPr>
      <w:r>
        <w:t>10｜理论 · 核心概念的内部结构</w:t>
      </w:r>
    </w:p>
    <w:p>
      <w:r>
        <w:t>Attributes / Prototypes / ICTs</w:t>
      </w:r>
    </w:p>
    <w:p>
      <w:r>
        <w:t>ICTs把属性、原型与日常理论组织起来</w:t>
      </w:r>
    </w:p>
    <w:p>
      <w:r>
        <w:t>- 属性 Attributes：礼貌、焦虑、有动力等，是工作人员用来描述公民的具体特征。</w:t>
      </w:r>
    </w:p>
    <w:p>
      <w:r>
        <w:t>- 原型 Prototypes：语义相关的属性聚成某一侧面的认知形象。例如，「友好、有礼貌、和善」组成友善原型。</w:t>
      </w:r>
    </w:p>
    <w:p>
      <w:r>
        <w:t>- ICTs：多个原型彼此联系，组合成更大的日常理论系统，帮助工作人员解释遇到的公民。</w:t>
      </w:r>
    </w:p>
    <w:p>
      <w:r>
        <w:t>来源：理论，页404–406；例词见附录B，页418；建议时段：09:10–10:10。</w:t>
      </w:r>
    </w:p>
    <w:p>
      <w:pPr>
        <w:pStyle w:val="Heading1"/>
      </w:pPr>
      <w:r>
        <w:t>11｜理论 · 从认知框架到具体互动</w:t>
      </w:r>
    </w:p>
    <w:p>
      <w:r>
        <w:t>Prototype matching · Cognitive economy</w:t>
      </w:r>
    </w:p>
    <w:p>
      <w:r>
        <w:t>遇到公民时，工作人员会将观察与已有原型相比较</w:t>
      </w:r>
    </w:p>
    <w:p>
      <w:r>
        <w:t>- 先有框架：既往交往与社会化，使工作人员形成关于公民的假设和期待，并把它们带入工作。</w:t>
      </w:r>
    </w:p>
    <w:p>
      <w:r>
        <w:t>- 再作匹配：具体接触中的特征和行为，可能激活原型；工作人员比较观察到的对象与心中原型的吻合程度。</w:t>
      </w:r>
    </w:p>
    <w:p>
      <w:r>
        <w:t>- 形成理解与回应：吻合程度可能影响进一步的属性归因、态度和惯常反应；熟悉的框架降低了界定情境所需的认知努力。</w:t>
      </w:r>
    </w:p>
    <w:p>
      <w:r>
        <w:t>来源：理论推演，页405–406；本文实证重点为认知结构；建议时段：10:10–11:14。</w:t>
      </w:r>
    </w:p>
    <w:p>
      <w:pPr>
        <w:pStyle w:val="Heading1"/>
      </w:pPr>
      <w:r>
        <w:t>12｜实证研究 · 总体设计</w:t>
      </w:r>
    </w:p>
    <w:p>
      <w:r>
        <w:t>Data, methods, and results</w:t>
      </w:r>
    </w:p>
    <w:p>
      <w:r>
        <w:t>四项独立研究，把自由联想逐步变成可检验的结构</w:t>
      </w:r>
    </w:p>
    <w:p>
      <w:r>
        <w:t>- 生成｜研究1a＋1b：访谈28人、开放问卷204人，先收集工作人员想到公民时自然出现的属性。</w:t>
      </w:r>
    </w:p>
    <w:p>
      <w:r>
        <w:t>- 探索｜研究2：对611人进行快速反应测量，再用探索性因子分析识别属性之间的聚集模式。</w:t>
      </w:r>
    </w:p>
    <w:p>
      <w:r>
        <w:t>- 验证｜研究3：在独立的860人样本中验证结构，并询问属性的评价效价。四个样本均来自德国公共部门。</w:t>
      </w:r>
    </w:p>
    <w:p>
      <w:r>
        <w:t>来源：原文图1及研究设计，页406–407；建议时段：11:14–12:14。</w:t>
      </w:r>
    </w:p>
    <w:p>
      <w:pPr>
        <w:pStyle w:val="Heading1"/>
      </w:pPr>
      <w:r>
        <w:t>13｜实证研究 · 研究1a与1b：属性生成</w:t>
      </w:r>
    </w:p>
    <w:p>
      <w:r>
        <w:t>Studies 1a and 1b · Attribute generation</w:t>
      </w:r>
    </w:p>
    <w:p>
      <w:r>
        <w:t>先让工作人员自己说，再整理他们使用的属性词</w:t>
      </w:r>
    </w:p>
    <w:p>
      <w:r>
        <w:t>- 研究1a｜半结构式访谈 · n=28：借助关键事件技术，从常见工作情境谈到特别正面和负面的接触经历，询问受访者如何体验公民的态度与行为。：编码直接提及或叙事中显现的属性，共829次提及；合并「聪明／有智慧」等同义表达，得到389个不同属性。</w:t>
      </w:r>
    </w:p>
    <w:p>
      <w:r>
        <w:t>- 研究1b｜开放文本问卷 · n=204：请参与者结合目前工作，列出想到公民时立即浮现的至少五个属性，用较大样本的广度补充访谈深度。：共获得923次属性提及，编码为291个不同属性。两项研究共同提供后续量化测量的素材，而非先由研究者预设六原型。</w:t>
      </w:r>
    </w:p>
    <w:p>
      <w:r>
        <w:t>来源：研究1a与1b，页406–408；建议时段：12:14–13:18。</w:t>
      </w:r>
    </w:p>
    <w:p>
      <w:pPr>
        <w:pStyle w:val="Heading1"/>
      </w:pPr>
      <w:r>
        <w:t>14｜实证研究 · 研究1：从词库到测量条目</w:t>
      </w:r>
    </w:p>
    <w:p>
      <w:r>
        <w:t>Attribute generation · Core/periphery partition</w:t>
      </w:r>
    </w:p>
    <w:p>
      <w:r>
        <w:t>558个属性经过共现网络筛选，留下83个条目</w:t>
      </w:r>
    </w:p>
    <w:p>
      <w:r>
        <w:t>- 合并去重｜558个属性：合并两项研究的不同属性，观察哪些词会在同一人的回答中共同出现。</w:t>
      </w:r>
    </w:p>
    <w:p>
      <w:r>
        <w:t>- 网络筛选｜85个核心属性：建立联想网络，采用核心—边缘划分，去掉边缘属性，以缩小正式测量的条目规模。</w:t>
      </w:r>
    </w:p>
    <w:p>
      <w:r>
        <w:t>- 解释检查｜83个测量条目：再删除Annoying与Greedy两个难以明确解释的词。左侧原附录保留删除与练习标记，展示最初属性池的丰富性。</w:t>
      </w:r>
    </w:p>
    <w:p>
      <w:r>
        <w:t>来源：筛选过程，页407–408；原文附录A，页418；建议时段：13:18–14:18。</w:t>
      </w:r>
    </w:p>
    <w:p>
      <w:pPr>
        <w:pStyle w:val="Heading1"/>
      </w:pPr>
      <w:r>
        <w:t>15｜实证研究 · 研究2：快速反应测量</w:t>
      </w:r>
    </w:p>
    <w:p>
      <w:r>
        <w:t>Study 2 · Rapid response measure (RRM)</w:t>
      </w:r>
    </w:p>
    <w:p>
      <w:r>
        <w:t>用「匹配／不匹配」捕捉对公民的快速联想</w:t>
      </w:r>
    </w:p>
    <w:p>
      <w:r>
        <w:t>- 怎样作答：83个属性按随机顺序逐一与「公民」同屏呈现。参与者结合工作生活，自发判断属性是否与公民匹配。</w:t>
      </w:r>
    </w:p>
    <w:p>
      <w:r>
        <w:t>- 为什么限时：时间压力减少明确反思和受控制作答的机会，力求更接近直觉性、联想性的态度，也让较多条目能在合理时间内完成。</w:t>
      </w:r>
    </w:p>
    <w:p>
      <w:r>
        <w:t>- 得到什么数据：有效样本611人，50,713次回答；保留300–10,000毫秒内反应，并处理异常值。有效回答平均约1.38秒。</w:t>
      </w:r>
    </w:p>
    <w:p>
      <w:r>
        <w:t>来源：研究2方法，页408；建议时段：14:18–15:27。</w:t>
      </w:r>
    </w:p>
    <w:p>
      <w:pPr>
        <w:pStyle w:val="Heading1"/>
      </w:pPr>
      <w:r>
        <w:t>16｜实证研究 · 研究2：原型识别</w:t>
      </w:r>
    </w:p>
    <w:p>
      <w:r>
        <w:t>Study 2 · Prototype identification / EFA</w:t>
      </w:r>
    </w:p>
    <w:p>
      <w:r>
        <w:t>因子分析将经常共同出现的属性归为六个原型</w:t>
      </w:r>
    </w:p>
    <w:p>
      <w:r>
        <w:t>- 先探索｜哪些属性一起变化：「匹配／不匹配」形成属性数据。作者使用四分相关矩阵和探索性因子分析，允许不同因子彼此相关。</w:t>
      </w:r>
    </w:p>
    <w:p>
      <w:r>
        <w:t>- 形成长版｜六因子、34属性：逐轮删除低载荷条目；在五与六因子方案中选择六因子，其解释方差为54.4%，五因子为50.9%。</w:t>
      </w:r>
    </w:p>
    <w:p>
      <w:r>
        <w:t>- 形成短版｜六因子、17属性：为方便后续研究，每因子保留三个高载荷属性；Foreignness只有两个，均予保留。下一项研究检验这一结构。</w:t>
      </w:r>
    </w:p>
    <w:p>
      <w:r>
        <w:t>来源：研究2，页408；原文表2，页409；建议时段：15:27–16:41。</w:t>
      </w:r>
    </w:p>
    <w:p>
      <w:pPr>
        <w:pStyle w:val="Heading1"/>
      </w:pPr>
      <w:r>
        <w:t>17｜实证结果 · 六个公民原型总览</w:t>
      </w:r>
    </w:p>
    <w:p>
      <w:r>
        <w:t>Six citizen prototypes</w:t>
      </w:r>
    </w:p>
    <w:p>
      <w:r>
        <w:t>六种原型，六个观察公民的认知侧面</w:t>
      </w:r>
    </w:p>
    <w:p>
      <w:r>
        <w:t>- Engagement · 参与投入：有动力、认真尽责、目标导向</w:t>
      </w:r>
    </w:p>
    <w:p>
      <w:r>
        <w:t>- Kindness · 友善：友好、有礼貌、和善</w:t>
      </w:r>
    </w:p>
    <w:p>
      <w:r>
        <w:t>- Determination · 强势诉求：自我中心、要求很多、坚持己见</w:t>
      </w:r>
    </w:p>
    <w:p>
      <w:r>
        <w:t>- Reticence · 内敛：害羞、拘谨、内向</w:t>
      </w:r>
    </w:p>
    <w:p>
      <w:r>
        <w:t>- Neediness · 求助困境：绝望、焦虑、担忧</w:t>
      </w:r>
    </w:p>
    <w:p>
      <w:r>
        <w:t>- Foreignness · 外来性：非本国本土、使用外语</w:t>
      </w:r>
    </w:p>
    <w:p>
      <w:r>
        <w:t>来源：六原型内容，页409–412；最终指标见附录B，页418；建议时段：16:41–17:26。</w:t>
      </w:r>
    </w:p>
    <w:p>
      <w:pPr>
        <w:pStyle w:val="Heading1"/>
      </w:pPr>
      <w:r>
        <w:t>18｜实证结果／讨论 · 原型一与二</w:t>
      </w:r>
    </w:p>
    <w:p>
      <w:r>
        <w:t>Engagement / Kindness</w:t>
      </w:r>
    </w:p>
    <w:p>
      <w:r>
        <w:t>参与投入关注行动准备，友善关注互动方式</w:t>
      </w:r>
    </w:p>
    <w:p>
      <w:r>
        <w:t>- 参与投入｜Engagement：有动力 · 认真尽责 · 目标导向（motivated / conscientious / goal-driven）：共同体现主动投入行政接触的形象。作者将其与准备充分、激发工作人员额外努力的既有研究联系起来。：也呼应规范理论中的“有德性公民”；这里测量的是工作人员脑海中的联想。</w:t>
      </w:r>
    </w:p>
    <w:p>
      <w:r>
        <w:t>- 友善｜Kindness：友好 · 有礼貌 · 和善（friendly / polite / nice）：关注接触中的待人方式，是六个原型中评价最正面的一个。礼貌期待可能影响服务互动。：作者联系警察宽容与工作场所不文明行为研究；友善与行动投入是不同侧面。</w:t>
      </w:r>
    </w:p>
    <w:p>
      <w:r>
        <w:t>来源：讨论，页411–412；指标见附录B，页418；建议时段：17:26–18:45。</w:t>
      </w:r>
    </w:p>
    <w:p>
      <w:pPr>
        <w:pStyle w:val="Heading1"/>
      </w:pPr>
      <w:r>
        <w:t>19｜实证结果／讨论 · 原型三与四</w:t>
      </w:r>
    </w:p>
    <w:p>
      <w:r>
        <w:t>Determination / Reticence</w:t>
      </w:r>
    </w:p>
    <w:p>
      <w:r>
        <w:t>强势诉求受到负面评价，内敛并非投入的反面</w:t>
      </w:r>
    </w:p>
    <w:p>
      <w:r>
        <w:t>- 强势诉求｜Determination：自我中心 · 要求很多 · 坚持己见（egoistic / demanding / assertive）：在本文语境中，这些属性组成不受欢迎的形象，是唯一具有明确负面效价的原型。：作者称其为反原型（antiprototype），并联系对要求很多的服务对象缺乏耐心的研究。</w:t>
      </w:r>
    </w:p>
    <w:p>
      <w:r>
        <w:t>- 内敛｜Reticence：害羞 · 拘谨 · 内向（shy / reserved / introvert）：描述较少表达、较为退缩的公民形象。作者指出，以往相关研究较少关注这一原型。：本文未发现其具有特别负面的效价，也未发现它与参与投入因子相关。</w:t>
      </w:r>
    </w:p>
    <w:p>
      <w:r>
        <w:t>来源：讨论，页412；指标见附录B，页418；建议时段：18:45–20:04。</w:t>
      </w:r>
    </w:p>
    <w:p>
      <w:pPr>
        <w:pStyle w:val="Heading1"/>
      </w:pPr>
      <w:r>
        <w:t>20｜实证结果／讨论 · 原型五与六</w:t>
      </w:r>
    </w:p>
    <w:p>
      <w:r>
        <w:t>Neediness / Foreignness</w:t>
      </w:r>
    </w:p>
    <w:p>
      <w:r>
        <w:t>困境与外来性也进入公民形象，但含义各有侧重</w:t>
      </w:r>
    </w:p>
    <w:p>
      <w:r>
        <w:t>- 求助困境｜Neediness：绝望 · 焦虑 · 担忧（desperate / anxious / worried）：首先描述公民表现出的情绪与求助处境，与“值得帮助”（deservingness）研究相联系。：即使程序未要求判断谁值得帮助，工作人员也会自发从困境角度联想公民。</w:t>
      </w:r>
    </w:p>
    <w:p>
      <w:r>
        <w:t>- 外来性｜Foreignness：非本国本土 · 使用外语（non-native / foreign-language）：来源与语言差异也进入工作人员的公民表征，作者将其与族群刻板印象研究联系起来。：本文显性效价评分大致中性，但可能受社会赞许偏差影响，不能据此排除偏见。</w:t>
      </w:r>
    </w:p>
    <w:p>
      <w:r>
        <w:t>来源：讨论，页411–412；指标见附录B，页418；建议时段：20:04–21:23。</w:t>
      </w:r>
    </w:p>
    <w:p>
      <w:pPr>
        <w:pStyle w:val="Heading1"/>
      </w:pPr>
      <w:r>
        <w:t>21｜实证研究 · 研究3：原型验证</w:t>
      </w:r>
    </w:p>
    <w:p>
      <w:r>
        <w:t>Study 3 · Prototype validation / CFA</w:t>
      </w:r>
    </w:p>
    <w:p>
      <w:r>
        <w:t>换一批工作人员，检验六原型结构能否成立</w:t>
      </w:r>
    </w:p>
    <w:p>
      <w:r>
        <w:t>- 独立重复｜n=860：沿用快速反应程序，测量研究2保留的34个属性。研究3参与者未参加此前研究。</w:t>
      </w:r>
    </w:p>
    <w:p>
      <w:r>
        <w:t>- 比较模型｜34项与17项：验证性因子分析（CFA）检验预期结构。34项方案拟合不足；17项一阶六因子方案拟合明显改善。</w:t>
      </w:r>
    </w:p>
    <w:p>
      <w:r>
        <w:t>- 结果｜保留17项工具：CFI由.866提高到.960，RMSEA由.082降到.049；短版TLI=.948、SRMR=.067。多个指标共同支持该结构。</w:t>
      </w:r>
    </w:p>
    <w:p>
      <w:r>
        <w:t>来源：研究3，页408–410；原文图2，页410；建议时段：21:23–22:32。</w:t>
      </w:r>
    </w:p>
    <w:p>
      <w:pPr>
        <w:pStyle w:val="Heading1"/>
      </w:pPr>
      <w:r>
        <w:t>22｜实证结果 · 如何读原文图2</w:t>
      </w:r>
    </w:p>
    <w:p>
      <w:r>
        <w:t>CFA · Factor loadings and correlations</w:t>
      </w:r>
    </w:p>
    <w:p>
      <w:r>
        <w:t>从图上区分「原型—属性」与「原型之间」的关系</w:t>
      </w:r>
    </w:p>
    <w:p>
      <w:r>
        <w:t>- 椭圆与方框｜两个层次：椭圆是六个原型，方框是具体属性。原型不能直接观察，研究者用多个属性的回答来测量它。</w:t>
      </w:r>
    </w:p>
    <w:p>
      <w:r>
        <w:t>- 单向连线｜属性怎样反映原型：原型到属性的系数称为因子载荷，说明这个属性与相应认知维度的联系。精确系数见附录B。</w:t>
      </w:r>
    </w:p>
    <w:p>
      <w:r>
        <w:t>- 双向连线｜原型之间相关：不同原型之间可以相互联系。图2呈现认知测量结构，并没有把受访者或现实公民分成六群。</w:t>
      </w:r>
    </w:p>
    <w:p>
      <w:r>
        <w:t>来源：原文图2，页410；附录B，页418；读图解释依据模型结构；建议时段：22:32–23:27。</w:t>
      </w:r>
    </w:p>
    <w:p>
      <w:pPr>
        <w:pStyle w:val="Heading1"/>
      </w:pPr>
      <w:r>
        <w:t>23｜实证结果 · 原型的评价效价</w:t>
      </w:r>
    </w:p>
    <w:p>
      <w:r>
        <w:t>Valence · Positive, neutral, negative</w:t>
      </w:r>
    </w:p>
    <w:p>
      <w:r>
        <w:t>六个原型被如何评价？原文图3展示了总体差异</w:t>
      </w:r>
    </w:p>
    <w:p>
      <w:r>
        <w:t>- 正面：Kindness最正面；Engagement也明显正面。</w:t>
      </w:r>
    </w:p>
    <w:p>
      <w:r>
        <w:t>- 负面：Determination是唯一明确负面的原型。</w:t>
      </w:r>
    </w:p>
    <w:p>
      <w:r>
        <w:t>- 近中性：Neediness、Reticence与Foreignness大致位于中性附近。</w:t>
      </w:r>
    </w:p>
    <w:p>
      <w:r>
        <w:t>来源：原文图3，页411；效价问卷及讨论，页409–412；建议时段：23:27–24:41。</w:t>
      </w:r>
    </w:p>
    <w:p>
      <w:pPr>
        <w:pStyle w:val="Heading1"/>
      </w:pPr>
      <w:r>
        <w:t>24｜实证研究 · 事后分析</w:t>
      </w:r>
    </w:p>
    <w:p>
      <w:r>
        <w:t>Post hoc analyses · Invariance / Salience</w:t>
      </w:r>
    </w:p>
    <w:p>
      <w:r>
        <w:t>总体结构较稳定，具体联想与评价仍有个体差异</w:t>
      </w:r>
    </w:p>
    <w:p>
      <w:r>
        <w:t>- 跨工作情境｜测量结构：作者比较主要给予福利与主要施加义务的岗位，也比较公民接触程度不同的工作人员。两项分析未发现显著测量差异。：这提示六原型框架在所考察情境中较稳定。它说明测量结构可比，并不表示所有工作人员对公民的评价完全相同。</w:t>
      </w:r>
    </w:p>
    <w:p>
      <w:r>
        <w:t>- 跨工作人员｜显著性与效价：回归显示，与非女性工作人员相比，女性对外来性和友善的联想更强；薪酬组越高，参与投入和友善评价越正面、困境评价越负面。：显著性（salience）回答「这个联想多容易出现」；效价（valence）回答「这个特征被如何评价」。两者是不同问题。</w:t>
      </w:r>
    </w:p>
    <w:p>
      <w:r>
        <w:t>来源：事后分析，页410–411；回归为统计关联，补充材料H/I未随PDF提供；建议时段：24:41–25:41。</w:t>
      </w:r>
    </w:p>
    <w:p>
      <w:pPr>
        <w:pStyle w:val="Heading1"/>
      </w:pPr>
      <w:r>
        <w:t>25｜讨论 · 论文带来的理解</w:t>
      </w:r>
    </w:p>
    <w:p>
      <w:r>
        <w:t>Discussion · A broader cognitive framework</w:t>
      </w:r>
    </w:p>
    <w:p>
      <w:r>
        <w:t>公民形象具有重复模式，也包含以往较少关注的侧面</w:t>
      </w:r>
    </w:p>
    <w:p>
      <w:r>
        <w:t>- 从零散标签到整体结构：论文将相互联系的属性与原型组织为ICTs。研究显示，工作人员关于公民的联想并非随机共现，而是存在可识别、可验证的模式。</w:t>
      </w:r>
    </w:p>
    <w:p>
      <w:r>
        <w:t>- 把既有研究与新原型接起来：参与投入、求助困境和外来性可与动机、值得帮助和族群线索研究对话；友善、强势诉求及内敛补充了互动风格方面的理解。</w:t>
      </w:r>
    </w:p>
    <w:p>
      <w:r>
        <w:t>- 一个值得注意的总体图景：多数原型的效价中性或正面，强势诉求明显负面。作者认为，这提示工作人员并非普遍以负面形象看待公民。</w:t>
      </w:r>
    </w:p>
    <w:p>
      <w:r>
        <w:t>来源：讨论，页411–413；建议时段：25:41–26:36。</w:t>
      </w:r>
    </w:p>
    <w:p>
      <w:pPr>
        <w:pStyle w:val="Heading1"/>
      </w:pPr>
      <w:r>
        <w:t>26｜讨论 · 实践启示一：个人与工作安排</w:t>
      </w:r>
    </w:p>
    <w:p>
      <w:r>
        <w:t>Practical implications · Unfreezing prototypes</w:t>
      </w:r>
    </w:p>
    <w:p>
      <w:r>
        <w:t>当负面原型突出时，管理者可以尝试三类干预</w:t>
      </w:r>
    </w:p>
    <w:p>
      <w:r>
        <w:t>- 提供相反信息：通过正面的模范公民形象、内部沟通或换位思考，让工作人员接触与既有负面联想不一致的信息。</w:t>
      </w:r>
    </w:p>
    <w:p>
      <w:r>
        <w:t>- 减少认知负荷：资源耗竭容易促进刻板化思维。管理者可关注过高工作量、岗位空缺等问题，为工作人员保留理解具体对象的认知资源。</w:t>
      </w:r>
    </w:p>
    <w:p>
      <w:r>
        <w:t>- 设置回应目标：明确传达接近和对待公民的一般规范，提醒工作人员暂时搁置负面联想。作者建议在接触前及时实施，并通过重复强化。</w:t>
      </w:r>
    </w:p>
    <w:p>
      <w:r>
        <w:t>来源：Practical implications，页413；作者基于既有干预文献提出的建议；建议时段：26:36–27:40。</w:t>
      </w:r>
    </w:p>
    <w:p>
      <w:pPr>
        <w:pStyle w:val="Heading1"/>
      </w:pPr>
      <w:r>
        <w:t>27｜讨论 · 实践启示二：公共服务生态系统</w:t>
      </w:r>
    </w:p>
    <w:p>
      <w:r>
        <w:t>Public service ecosystems</w:t>
      </w:r>
    </w:p>
    <w:p>
      <w:r>
        <w:t>改变互动环境，让公民的整体处境进入服务理解</w:t>
      </w:r>
    </w:p>
    <w:p>
      <w:r>
        <w:t>- 为什么只改变个人还不够：作者援引心理学研究指出，内隐理论反复出现，可能与稳定的社会环境有关。情境线索决定某些原型在什么时候更容易被激活。：因此，管理者不仅要关注员工的个人看法，也要关注组织文化、工作安排以及员工与公民互动的环境。</w:t>
      </w:r>
    </w:p>
    <w:p>
      <w:r>
        <w:t>- 把公民视作公共价值共同创造者：公共服务生态系统视角把接触放回更广泛的生活经验、服务关系和价值创造过程，而不只看作孤立的一次交易。：例如，通过培训帮助员工理解公民在服务生态中的作用，形成更整体的服务文化，使更有利的公民原型容易被激活。</w:t>
      </w:r>
    </w:p>
    <w:p>
      <w:r>
        <w:t>来源：Practical implications，页413；建议时段：27:40–28:40。</w:t>
      </w:r>
    </w:p>
    <w:p>
      <w:pPr>
        <w:pStyle w:val="Heading1"/>
      </w:pPr>
      <w:r>
        <w:t>28｜讨论 · 局限与未来研究</w:t>
      </w:r>
    </w:p>
    <w:p>
      <w:r>
        <w:t>Limitations and future research</w:t>
      </w:r>
    </w:p>
    <w:p>
      <w:r>
        <w:t>作者把下一步留给不同情境、国家和测量方法</w:t>
      </w:r>
    </w:p>
    <w:p>
      <w:r>
        <w:t>- 情境与国家：研究覆盖多个德国公共服务领域，但尚不足以说明不同职业、领域和国家都具有相同结构。行政传统、国家—社会关系可能塑造公民形象。</w:t>
      </w:r>
    </w:p>
    <w:p>
      <w:r>
        <w:t>- 测量方式：RRM用二元限时选择贴近快速联想；未来可与传统区间量表及其他内隐方法比较，进一步判断不同方法捕捉了什么。</w:t>
      </w:r>
    </w:p>
    <w:p>
      <w:r>
        <w:t>- 更隐蔽的归因：想到「公民」时，人可能已同时想到性别等人口类别，再影响其他特质联想。作者鼓励考察这些更微妙、同时发生的归因过程。</w:t>
      </w:r>
    </w:p>
    <w:p>
      <w:r>
        <w:t>来源：Limitations and future research，页413–414；建议时段：28:40–29:30。</w:t>
      </w:r>
    </w:p>
    <w:p>
      <w:pPr>
        <w:pStyle w:val="Heading1"/>
      </w:pPr>
      <w:r>
        <w:t>29｜结语 · 回到文章的核心问题</w:t>
      </w:r>
    </w:p>
    <w:p>
      <w:r>
        <w:t>Conclusion · Seeing citizens through ICTs</w:t>
      </w:r>
    </w:p>
    <w:p>
      <w:r>
        <w:t>工作人员通过多重认知视角理解公民</w:t>
      </w:r>
    </w:p>
    <w:p>
      <w:r>
        <w:t>- 概念：ICTs是关于典型或理想公民的日常假设，连接属性、原型与更大的认知框架。</w:t>
      </w:r>
    </w:p>
    <w:p>
      <w:r>
        <w:t>- 发现：四项研究提炼出六个相互关联但不同的原型，形成17属性的测量工具。</w:t>
      </w:r>
    </w:p>
    <w:p>
      <w:r>
        <w:t>- 意义：理解这些认知，有助于研究国家—公民互动，也提醒管理者关注个人看法与公共服务情境。</w:t>
      </w:r>
    </w:p>
    <w:p>
      <w:r>
        <w:t>来源：原文结语，页414；建议时段：29:30–30:00。</w:t>
      </w:r>
    </w:p>
    <w:p>
      <w:pPr>
        <w:pStyle w:val="Heading1"/>
      </w:pPr>
      <w:r>
        <w:t>30｜附录 · 研究样本原表</w:t>
      </w:r>
    </w:p>
    <w:p>
      <w:r>
        <w:t>Table 1 · Descriptive statistics</w:t>
      </w:r>
    </w:p>
    <w:p>
      <w:r>
        <w:t>四项研究的样本分布</w:t>
      </w:r>
    </w:p>
    <w:p>
      <w:r>
        <w:t>- 独立样本：28、204、611、860名参与者分别进入四项研究；每人只参加一项。</w:t>
      </w:r>
    </w:p>
    <w:p>
      <w:r>
        <w:t>- 覆盖范围：包含多个公共部门领域，以及联邦、州、地方和社会保障行政机构。</w:t>
      </w:r>
    </w:p>
    <w:p>
      <w:r>
        <w:t>- 原表说明：研究1a性别人数与百分比不一致，按原表保留，不能据此使用错误百分比推论。</w:t>
      </w:r>
    </w:p>
    <w:p>
      <w:r>
        <w:t>来源：原文表1，页407；建议时段：附录，不计入主讲。</w:t>
      </w:r>
    </w:p>
    <w:p>
      <w:pPr>
        <w:pStyle w:val="Heading1"/>
      </w:pPr>
      <w:r>
        <w:t>31｜附录 · 原型识别原表</w:t>
      </w:r>
    </w:p>
    <w:p>
      <w:r>
        <w:t>Table 2 · Factor matrix</w:t>
      </w:r>
    </w:p>
    <w:p>
      <w:r>
        <w:t>34属性与六因子方案的原始矩阵</w:t>
      </w:r>
    </w:p>
    <w:p>
      <w:r>
        <w:t>- Factor loading｜载荷：属性与相应因子的联系；本文逐轮删除低于.40的属性。</w:t>
      </w:r>
    </w:p>
    <w:p>
      <w:r>
        <w:t>- Communality｜共同度：共同因子对该属性变异的解释程度。M和SD分别是条目均值与标准差。</w:t>
      </w:r>
    </w:p>
    <w:p>
      <w:r>
        <w:t>- 精简方式：原表斜体标出短版保留条目。六个因子中五个各保留三个属性，外来性保留两个。</w:t>
      </w:r>
    </w:p>
    <w:p>
      <w:r>
        <w:t>来源：原文表2，页409；建议时段：附录，不计入主讲。</w:t>
      </w:r>
    </w:p>
    <w:p>
      <w:pPr>
        <w:pStyle w:val="Heading1"/>
      </w:pPr>
      <w:r>
        <w:t>32｜附录 · 最终测量指标</w:t>
      </w:r>
    </w:p>
    <w:p>
      <w:r>
        <w:t>Appendix B · Model coefficients</w:t>
      </w:r>
    </w:p>
    <w:p>
      <w:r>
        <w:t>17个最终属性及验证性因子分析系数</w:t>
      </w:r>
    </w:p>
    <w:p>
      <w:r>
        <w:t>- 最终构成：Engagement、Kindness、Determination、Reticence、Neediness各3项；Foreignness共2项。</w:t>
      </w:r>
    </w:p>
    <w:p>
      <w:r>
        <w:t>- 怎样读表：β为标准化因子载荷，SE为标准误，z为检验统计量；表下注明所有载荷p&lt;.001。</w:t>
      </w:r>
    </w:p>
    <w:p>
      <w:r>
        <w:t>- 用途：供查看原型对应的英文词和精确系数；主讲时无需逐个朗读数字。</w:t>
      </w:r>
    </w:p>
    <w:p>
      <w:r>
        <w:t>来源：原文附录B，页418；建议时段：附录，不计入主讲。</w:t>
      </w:r>
    </w:p>
    <w:p>
      <w:pPr>
        <w:pStyle w:val="Heading1"/>
      </w:pPr>
      <w:r>
        <w:t>33｜附录 · 文献与资料</w:t>
      </w:r>
    </w:p>
    <w:p>
      <w:r>
        <w:t>References and source materials</w:t>
      </w:r>
    </w:p>
    <w:p>
      <w:r>
        <w:t>本文与相关理论的阅读入口</w:t>
      </w:r>
    </w:p>
    <w:p>
      <w:r>
        <w:t>- 主文献：Vogel, R., Vogel, D., Liegat, M. C., &amp; Hensel, D. (2025). From Social Categorization to Implicit Citizenship Theories: Advancing the Socio-Cognitive Foundations of State–Citizen Interactions. Public Administration Review, 85(2), 402–418. DOI: 10.1111/puar.13844</w:t>
      </w:r>
    </w:p>
    <w:p>
      <w:r>
        <w:t>- 相关理论线索：Lipsky (2010)：街头官僚；Jilke &amp; Tummers (2018)：deservingness；Osborne et al. (2022)：公共服务生态系统。完整书目见原文及中文译稿。</w:t>
      </w:r>
    </w:p>
    <w:p>
      <w:r>
        <w:t>- 资料说明：正文文案依据用户已有中文译稿浓缩改写，并核对原PDF；图表直接取自原论文。英文以概念名、原文小标题及必要指标为主。</w:t>
      </w:r>
    </w:p>
    <w:p>
      <w:r>
        <w:t>来源：原文参考文献，页414–416；署名—非商业使用；建议时段：附录，不计入主讲。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