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公务人员如何在头脑中看见公民"/>
    <w:p>
      <w:pPr>
        <w:pStyle w:val="Heading1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公务人员如何在头脑中“看见”公民？</w:t>
      </w:r>
    </w:p>
    <w:bookmarkStart w:id="20" w:name="使用说明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使用说明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是一份中文口头汇报逐字稿，面向行政管理专业本科生的比较公共管理课堂，按研究生文献组会的逻辑组织：文献定位—研究问题—理论机制—研究设计—主要发现—证据评议—比较与研究拓展。关键英文术语保留，首次出现时解释。它不是PPT，也不包含需要先选视觉方向的设计产出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文献：Vogel, R., Vogel, D., Liegat, M. C., &amp; Hensel, D. (2025).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 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From Social Categorization to Implicit Citizenship Theories: Advancing the Socio-Cognitive Foundations of State–Citizen Interactions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.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 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Public Administration Review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, 85(2), 402–418. https://doi.org/10.1111/puar.13844 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“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讲稿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”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段落可直接朗读；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“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提示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”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和表格供准备、看图与控制节奏，不必逐字念。可朗读正文约7090个汉字，另含英文术语和数字。以每分钟约260个汉字的解释速度讲述，配合约1.5分钟看图、停顿及简短互动，并计入英文术语和数字的朗读时间，目标约30分钟；不含汇报结束后的正式问答。时长是排练目标，不是实测承诺。最后附有调整方法和备答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原文结果以“作者发现/报告”表述；自拟办事场景是解释用的假设例子；中国情境、比较方案和规范性判断属于本汇报的拓展，不是论文已证明的结论。拓展依托本文及其参考文献中的理论线索，未将被引文献全部全文复核。</w:t>
      </w:r>
    </w:p>
    <w:tbl>
      <w:tblPr>
        <w:tblW w:type="auto" w:w="0"/>
        <w:jc w:val="left"/>
        <w:tblLook w:firstRow="1" w:lastRow="0" w:firstColumn="0" w:lastColumn="0" w:noHBand="0" w:noVBand="0" w:val="0020"/>
        <w:tblBorders>
          <w:top w:val="single" w:sz="4" w:color="C6CDD3"/>
          <w:left w:val="single" w:sz="4" w:color="C6CDD3"/>
          <w:bottom w:val="single" w:sz="4" w:color="C6CDD3"/>
          <w:right w:val="single" w:sz="4" w:color="C6CDD3"/>
          <w:insideH w:val="single" w:sz="4" w:color="C6CDD3"/>
          <w:insideV w:val="single" w:sz="4" w:color="C6CDD3"/>
        </w:tblBorders>
      </w:tblPr>
      <w:tblGrid>
        <w:gridCol w:w="2409"/>
        <w:gridCol w:w="2409"/>
        <w:gridCol w:w="2409"/>
        <w:gridCol w:w="2409"/>
      </w:tblGrid>
      <w:tr>
        <w:trPr>
          <w:tblHeader w:val="on"/>
          <w:tblHeader/>
        </w:trPr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段落</w:t>
            </w:r>
          </w:p>
        </w:tc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目标时段</w:t>
            </w:r>
          </w:p>
        </w:tc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重点</w:t>
            </w:r>
          </w:p>
        </w:tc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原文对应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00:00–01:30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开场问题与文献定位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402–403页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01:30–03:30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为什么值得研究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403–404页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3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03:30–05:30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ICTs的含义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404–405页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05:30–07:30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理论机制与研究问题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405–406页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5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07:30–10:30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四项研究与属性生成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406–408页、图1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6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10:30–13:00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RRM与EFA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408–409页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7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13:00–16:30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六个原型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409–412页、附录B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8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16:30–18:30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CFA与效价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409–411页、图2–3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9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18:30–20:00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稳定结构与个体差异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410–411页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20:00–22:00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贡献与证据边界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讨论及自主评议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11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22:00–24:00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测量、抽样与规范性评议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局限及自主评议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12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24:00–26:00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比较公共管理拓展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406、413–414页及拓展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13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26:00–28:00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一个可检验的后续研究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自主研究设计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14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28:00–29:30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管理启示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413页及拓展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15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29:30–30:00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收束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总结</w:t>
            </w:r>
          </w:p>
        </w:tc>
      </w:tr>
    </w:tbl>
    <w:bookmarkEnd w:id="20"/>
    <w:bookmarkStart w:id="21" w:name="开场相同的规则是否意味着相同的待遇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1．开场：相同的规则，是否意味着相同的待遇？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提示：语速平稳。开场场景完全是假设，不是论文案例。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老师、同学们好。今天我汇报的文章，中文题目是《从社会分类到内隐公民理论：推进国家—公民互动的社会认知基础研究》。作者是Rick Vogel等四位研究者，文章发表于2025年的《公共行政评论》，也就是Public Administration Review。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开始之前，我想请大家设想一个政务服务窗口。两位办事人申请同一种服务，材料和资格条件相同。第一位说话客气，提前整理好材料；第二位情绪焦虑，反复追问办理时间，并坚持自己有权得到解释。工作人员会不会对第一位多解释几句，却觉得第二位“很难缠”？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这个例子不是原文中的实证案例。我用它提出今天的问题：工作人员看到的，是申请材料中的条件，还是一个已经被贴上认知标签的人？这些标签从哪里来，又可能怎样进入行政过程？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篇文章最值得注意的地方，是它没有直接研究公民应当分成哪几类，而是研究工作人员头脑中已经存在的公民形象。下面我会先介绍研究问题、理论和方法，再解释六个原型，最后从比较公共管理的角度评价它，并提出一个后续研究方案。</w:t>
      </w:r>
    </w:p>
    <w:bookmarkEnd w:id="21"/>
    <w:bookmarkStart w:id="22" w:name="问题意识从观察不同回应到打开认知黑箱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2．问题意识：从观察不同回应，到打开认知黑箱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国家与公民的互动是一个具体问题。宏观制度通过接待、解释与审批进入日常生活。公民对政府是否公平、是否值得信任的判断，也来自这些接触。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过去已经有很多研究发现，工作人员对不同服务对象的反应可能不同。比如研究者会改变申请人的姓名或族群线索，观察工作人员是否回应；也会考察服务对象的性别、阶层、能力、动机，或者是否被认为值得帮助。这里的“值得帮助”有一个专业术语，叫deservingness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些研究大体是在观察一条关系：公民发出某个信号，工作人员作出某种回应。但是，同样一句“请您解释一下”，有人可能听成合理的程序诉求，有人可能听成挑衅。这说明，信号和回应之间，可能还有一个工作人员解释信息的过程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作者因此指出，已有研究比较充分地关注了具体刺激，却较少直接考察工作人员带入工作的、一般化的公民认知结构。这就是本文试图打开的黑箱。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用Lipsky的话说，一个人不可能在完全没有服务对象模型的情况下开展工作。我们理解自己的工作时，其实也在理解“这个工作是对什么样的人开展的”。如果把公民想成合作伙伴，和把公民想成需要约束的对象，即使正式规则相同，理解互动的方式也可能不同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所以，本文不是从“所有工作人员都有歧视”这样的判断出发，而是先问一个更基础的问题：他们对公民有哪些反复出现的联想？这些联想是否有稳定结构？只有弄清楚这一点，后续才有可能严谨地研究其行为后果。</w:t>
      </w:r>
    </w:p>
    <w:bookmarkEnd w:id="22"/>
    <w:bookmarkStart w:id="23" w:name="核心概念什么是implicit-citizenship-theories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3．核心概念：什么是Implicit Citizenship Theories？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作者把这种认知结构称为Implicit Citizenship Theories，简称ICTs，我把它译为“内隐公民理论”。这里的ICTs不是信息通信技术，而是有关公民的日常心理理论。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个概念可以分成三个层次理解。最底层是属性，比如有礼貌、焦虑、有动力。多个相关属性组合起来，形成prototype，也就是原型，比如“友善”或“求助困境”。这些原型又彼此关联，共同组成工作人员理解公民的一套框架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这里的“理论”，是普通人理解世界的经验判断。工作人员未必说得出一套理论，却可能在接待之前，就对服务对象有所期待。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这里的“内隐”，也不意味着完全不能被意识到。作者认为，经过反思，人可以对自己的日常理论有一定认识；只是实际使用时，它们往往快速、联想式地起作用，不需要每次都重新推理。这与dual-process models，也就是双加工模型有关：有的思考慢、审慎、有意识，有的思考快、依靠联想、比较自动化。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这些框架既可能帮助工作人员快速理解复杂情境，也可能导致过度简化。所以不能简单地把内隐认知等同于恶意偏见。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另外，本文同时涉及typical和ideal：前者是工作人员觉得公民通常是什么样，后者是觉得公民最好是什么样。经验印象与理想期待都可能进入ICTs，但本文没有把两者完全拆开测量。这一点后来会成为我们评价研究的重要问题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最后，本文中的“公民”是工作人员所理解的服务对象，不严格等于法律国籍概念。例如，工作人员可能把游客和移民也包括进去。因此，我们阅读Foreignness时，不能立刻把它理解成法律上“外国人”的比例。</w:t>
      </w:r>
    </w:p>
    <w:bookmarkEnd w:id="23"/>
    <w:bookmarkStart w:id="24" w:name="理论机制认知原型为什么可能重要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4．理论机制：认知原型为什么可能重要？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提示：可以停顿约10秒，让听众跟上“线索—解释—回应”的关系。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本文的理论机制，可以用一条简单的链条理解。既往经验和社会化，形成工作人员对公民的认知图式；当工作人员与具体公民接触时，公民的语言、行为和其他线索激活某些原型；工作人员把眼前的人与原型比较，再形成解释、态度与可能的行为反应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比如，一个反复询问办理进度的人，既可能是担忧急需帮助，也可能被理解为要求过多。前一种解释更接近Neediness，后一种更接近Determination。究竟哪种解释更容易被激活，可能与工作人员过去的接触经验、当时的工作负荷和组织文化有关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当眼前的人与原型吻合时，工作人员更容易启用惯常反应。但认知上的省力，不一定带来公平：方便的标签可能遗漏人的实际处境。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但是，我要先标明一个证据边界：刚才这条从认知到行为的链条，是本文提出的理论逻辑，不是本文每一环都已经用实验证明了。本文主要直接检验的，是其中的认知结构。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因此，我把它的研究问题概括为三个：第一，工作人员自由想到公民时，会想到什么属性？第二，这些属性是否能组成可区分的原型？第三，这种原型结构在独立样本中能否得到验证，工作人员又怎样评价这些原型？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它是一项概念发展和测量建构研究，还没有回答全部因果问题。</w:t>
      </w:r>
    </w:p>
    <w:bookmarkEnd w:id="24"/>
    <w:bookmarkStart w:id="25" w:name="研究设计从工作人员的话语到一套测量工具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5．研究设计：从工作人员的话语，到一套测量工具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提示：对照原文图1。按顺序讲清数字，不要一次读一串数字；预留约20秒看流程。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为回答这些问题，作者在德国公共部门进行了四项依次开展的研究，分别叫研究1a、1b、2和3。它们不是追踪同一批人的四次调查，而是四个相互独立的样本。参与者不能重复参加不同研究。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研究1a是28名一线工作人员的半结构式访谈，使用critical incident technique，也就是关键事件技术。研究者让工作人员先谈常见工作场景，再谈特别正面和负面的经历，分析他们怎样描述公民。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访谈共得到829次属性提及。请注意，这不是829种不同属性；合并同义表达之后，得到389个不同属性。这样做的意义是，研究者没有一开始就告诉受访者“请按性别、族群或应得性来分类”，而是尽量从工作人员自己的描述中生成条目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因为访谈发生在疫情期间，作者让受访者回忆疫情之前的工作，避免特殊时期主导结果。这有一个取舍：它减少了异常情境的影响，却可能增加回忆过去事件的偏差。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研究1b是一项204人的调查，让参与者结合当前工作，写出想到公民时立即出现的至少五个属性。它提供923次属性提及，整理为291个不同属性。访谈提供深度，开放问卷提供更广的覆盖，两者相互补充。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然后，作者合并两项研究，得到558个不重复属性。接下来不是简单挑最常见的几个词，而是建立联想网络：同一位参与者同时提到的属性，形成共同出现的联系。作者使用core/periphery partition，也就是核心—边缘划分，保留网络核心中的85个属性，再删除两个解释不清的词，最终得到83个正式测量条目。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研究2用611人的有效样本探索原型结构，研究3用另一个860人的有效样本进行验证。加上前两项，四项研究有效样本合计1703人，但不能把它们混成一个共同接受全部测量的大样本。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样本来自多个服务领域和行政层级，有助于寻找一般结构；但仍全部来自德国，不能推广为所有国家的结论。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这个设计的优势在于，先生成、筛选条目，再探索结构，最后独立验证。</w:t>
      </w:r>
    </w:p>
    <w:bookmarkEnd w:id="25"/>
    <w:bookmarkStart w:id="26" w:name="如何测量内隐rrm与efa的作用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6．如何测量“内隐”？RRM与EFA的作用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研究2采用rapid response measure，简称RRM，中文叫快速反应测量。屏幕上依次出现“公民”和一个属性词，参与者快速判断这个词与公民是match还是no match，也就是匹配或不匹配。83个属性随机呈现。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限时二元判断缩短反思空间，希望更接近直觉与联想，减少人们按职业规范或社会期待给出答案的机会。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作者排除机械或不合理作答，保留300到10000毫秒内的反应，平均约1.38秒。异常值以属性均值填补；不作这一调整的分析未发现实质差异。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里也要注意，RRM不是直接读取潜意识的仪器。一个人回答得快，可能涉及熟悉程度、阅读速度、注意状态等因素。较准确的说法是，它在理论和方法上努力减少反思性作答，而不是保证把全部真实偏见都测出来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有了这些回答，作者进行exploratory factor analysis，简称EFA，也就是探索性因子分析。我们可以把它理解成：观察哪些属性的判断模式经常一起变化，从而推断它们背后是否存在共同维度。它分析的是属性之间的结构，不是把611个人分成六群。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因为数据主要是匹配或不匹配的二元回答，作者使用四分相关矩阵，再进行因子分析。采用斜交旋转，意味着允许因子彼此相关，而不是强行规定原型互不相关。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分析结果提示可以提取五个或六个因子。作者选择六因子方案：保留34个属性，解释54.4%的方差，高于五因子的50.9%。随后为便于未来研究，五个因子各选载荷最高的三个属性，外来性只有两个，形成17属性短版。短版是否真的好用，还需要研究3验证。</w:t>
      </w:r>
    </w:p>
    <w:bookmarkEnd w:id="26"/>
    <w:bookmarkStart w:id="27" w:name="六个原型不是六种互斥的人而是六副认知镜头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7．六个原型：不是六种互斥的人，而是六副认知镜头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提示：可以展示六原型表；说到最后一个例子时停顿约10秒。下面的生活化解释均不是论文中实际观察到的办事案例。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接下来是这篇文章最容易记住、也最容易被误读的部分：六个原型。我先强调，它们不是现实公民的六种互斥类别。同一个人可以既友善又焦虑，也可以既内向又认真准备材料。这里研究的是工作人员理解公民时使用的六个维度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一个是Engagement，我译为参与投入。最终保留的三个词是motivated、conscientious和goal-driven，也就是有动力、认真尽责、目标导向。它表示工作人员想到公民时，会联想到主动投入、认真行动的形象。它与规范性理论中积极参与的“有德性公民”有联系，但并不等于已经测量了公民的真实政治参与水平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二个是Kindness，友善。包括friendly、polite和nice，也就是友好、有礼貌、和善。这是互动关系中的态度维度。它和Engagement不同：一个人可以客气但没有准备，也可以准备充分但不够温和。两个维度分别涉及投入与互动风格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三个是Determination。这个词在日常英文里可以表示决心，但本文不能简单译成褒义的“有决心”。它的三个属性是egoistic、demanding和assertive，即自我中心、要求很多、坚持己见。我采用“强势诉求”作为语境译法，并保留英文。工作人员将这一组特征看得比较负面。需要注意，正当维护权利的人也可能被工作人员理解为要求很多；这一可能性属于我们的规范性追问，不是文章已经检验的事实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四个是Reticence，内敛。包括shy、reserved和introvert，即害羞、拘谨、内向。它不同于不合作，更不能直接等于没有公共精神。一个人不敢说话，可能是性格原因，也可能是不熟悉规则或担心被否定。原型告诉我们工作人员有哪些联想，却没有替我们确定这些表现的实际原因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五个是Neediness，我译为求助困境。包括desperate、anxious和worried，即绝望、焦虑、担忧。这个名称容易让人想到“需要帮助”，但最终短版的三个词主要测到的是情绪性困境。所以它不等于已经核实了经济贫困或救助资格，也不能和deservingness完全画等号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第六个是Foreignness，外来性。包括non-native和foreign-language，即非本国本土、使用外语。它提示，在德国工作人员的公民联想中，语言与来源差异形成了一个维度。它不等于对某个群体的全面态度或现实人口比例。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我们现在回到开场例子：一位办事人既礼貌，又因为急需帮助而焦虑。他可以同时引起Kindness和Neediness的联想。另一位积极准备、坚持程序权利的人，也可能同时引起Engagement和Determination的联想。这就是为什么原型需要被理解为可以共存的认知镜头，而不是一人只能拥有一个标签。</w:t>
      </w:r>
    </w:p>
    <w:bookmarkEnd w:id="27"/>
    <w:bookmarkStart w:id="28" w:name="验证结果结构是否站得住评价是否一致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8．验证结果：结构是否站得住？评价是否一致？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提示：图2只指认“圆圈是因子、方框是属性、双向线是相关”；图3看正负位置，预留约20秒看图。不逐个朗读所有拟合指标。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研究3用860人的独立样本做confirmatory factor analysis，也就是CFA，验证性因子分析。EFA是探索“可能有哪些维度”，CFA则检验“先前提出的六维结构是否能与新数据相符”。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结果是，34属性模型的拟合不够理想，17属性的一阶六因子模型更好。这里的一阶六因子，指17个属性分别对应六个相关维度，不是已经证明六者都归属于某个单一的好公民分数。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几个关键指标是：CFI从34属性版本的0.866提高到17属性版本的0.960，RMSEA从0.082下降到0.049；短版的TLI是0.948，SRMR是0.067。我们不需要背下每个数字，主要知道：不同指标总体支持更精简的模型，但模型拟合良好不等于模型一定正确，更不等于已证明对真实行为有预测力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然后作者另行调查valence，也就是评价效价。这个测量问的不是“你是否联想到这个特征”，而是“你觉得这个特征好不好”。这两个问题必须分开。一个人经常想到焦虑的公民，并不一定讨厌焦虑的公民。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图3显示，Kindness最正面，Engagement也明显正面；Determination是唯一明显负面的原型。其余三个大体接近中性。外来性没有明确负面效价，是一个值得注意的结果。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但我们不能据此宣布“德国行政没有族群歧视”。因为效价来自传统问卷，可能存在社会赞许偏差，而且没有直接观察对外来者的服务决策。本文较稳妥的结论是，在这项测量中，外来性评价没有明显偏向负面。</w:t>
      </w:r>
    </w:p>
    <w:bookmarkEnd w:id="28"/>
    <w:bookmarkStart w:id="29" w:name="结构稳定不等于人人想法相同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9．结构稳定，不等于人人想法相同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作者还做了事后分析。第一是measurement invariance，也就是测量不变性分析。一次比较主要给予福利与主要施加义务的工作人员，一次比较公民接触程度不同的工作人员。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主动申请福利与被动接受处罚，进入互动的方式不同；接触假说也认为，与群体接触可能改变刻板认知。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报告，这些组之间没有发现达到统计显著程度的测量差异，支持该结构在这些工作情境中的稳定性。但是，这不意味着两组工作人员的态度水平完全一样，也不意味着接触多少没有任何影响。结构类似，与平均水平相同，是两个不同判断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第二，作者分析个体特征与原型显著性、效价的关联。例如，女性工作人员对友善和外来性的联想更强；薪酬组较高的工作人员对参与投入和友善评价更正面，对求助困境评价则更负面。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共同维度不排除个体差异。但回归关联不证明性别或薪酬造成差异，也可能涉及岗位和经历。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分类框架有共通性，显著性与评价仍有个体差异。下一步要问：谁在什么情境下更容易激活哪个原型？</w:t>
      </w:r>
    </w:p>
    <w:bookmarkEnd w:id="29"/>
    <w:bookmarkStart w:id="30" w:name="学术贡献与最重要的证据边界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10．学术贡献与最重要的证据边界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按组会汇报的要求，我接下来不再只是复述作者，而是评价这篇文章。首先，它有三个比较清楚的贡献。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第一是理论贡献。它把分散的性别、族群、应得性研究，放进一个更广泛的认知结构问题中。我们不仅看公民发出什么信号，还看工作人员用什么框架理解信号。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第二是内容贡献。除了与既有研究相近的参与投入、求助困境和外来性，它把友善、强势诉求和内敛纳入系统化测量。由此可以看出，工作人员的公民认知既包含身份线索，也包含互动风格和情绪特征。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第三是方法贡献。自由生成、网络筛选、限时测量与独立验证，形成比较完整的建构路径，提供可继续检验的工具。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但它最重要的边界，是测量有效性与行为后果之间仍有距离。本文没有随机改变工作人员的ICTs，再观察是否产生差别服务；也没有直接追踪每一次办事中的真实待遇。因此，不能把“识别了负面原型”说成“证明这个原型导致了歧视”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它主要提供的是结构层面的证据：某些属性不是随机地一起出现，而能组成可区分的维度。它提出的服务质量、公平和中立后果，是有理论依据的研究方向，仍需要后续行为研究。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同样，作者提出解冻原型、减少认知负荷、改变组织生态等管理建议，借鉴了其他研究，并不是本文自己完成了这些干预实验。我们评价建议时，应把“值得检验”与“已经证明有效”分开。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我的判断是，它将模糊的认知问题变得可以测量，推进了后续研究的起点，但没有走完认知到行为的解释链条。</w:t>
      </w:r>
    </w:p>
    <w:bookmarkEnd w:id="30"/>
    <w:bookmarkStart w:id="31" w:name="进一步评议如何测量又应该怎样使用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11．进一步评议：如何测量，又应该怎样使用？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除了作者自己提出的国家情境限制，我认为还有三个值得追问的问题。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一是条目筛选。作者从联想网络核心保留属性，有助于提炼常见结构。但相对罕见、处于网络边缘的属性，会不会也涉及严重的不公平？常见性不等于规范重要性。我们不能因为某种排斥性联想很少被提到，就认为它不值得研究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第二是测量含义。二元判断难以表达“部分匹配”或“仅适用于某个场景”。典型与理想公民也可能混在作答中，未来可分别提示，再与其他工具比较。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还有两个具体问题值得关注：外来性只有两个指标，对构念的覆盖有限；作者用均值填补异常回答，使部分值不再是严格二元。作者已经报告不作调整的分析没有实质差异，这增加了一些可信度，但我们如果复现研究，仍应仔细检查处理规则和模型稳健性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第三是规范性问题，也是我认为课堂讨论最有意义的问题：工作人员认为某种特征可取，不代表行政机关可以据此给予优待。公民礼貌固然值得鼓励，但不礼貌、焦虑或表达困难，不应自动降低其依法应得的服务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这里尤其要警惕，把强势表达等同于无理取闹。我们需要区分两件事：对工作人员实施攻击或威胁，和坚持程序权利、提出投诉或要求解释。行政机关可以依法处理前者，却不应因为不喜欢后者而减少服务。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因此，这套工具适合研究和反思，也应当谨慎使用。它不能被简单转化为给公民贴标签的名单，更不宜只凭一次内隐测量判断某个工作人员是不是“坏员工”。公平的管理，需要关注真实行为、程序和组织条件。</w:t>
      </w:r>
    </w:p>
    <w:bookmarkEnd w:id="31"/>
    <w:bookmarkStart w:id="32" w:name="比较公共管理拓展制度如何进入工作人员的认知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12．比较公共管理拓展：制度如何进入工作人员的认知？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回到比较公共管理这门课，本文虽然不是直接的跨国比较研究，却提供了一个很有价值的连接点：宏观行政传统，可能通过组织环境和工作人员认知，进入微观国家—公民互动。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作者指出，德国具有大陆法治传统、联邦制和专业化特征，关系带有一定等级性，也推动服务改善和公民合作。这些条件可能影响工作人员如何理解公民角色。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我们可以据此提出一个跨国研究问题：如果行政制度和服务理念不同，工作人员对同样的公民表现，是否会激活不同原型？例如，坚持提出要求的行为，究竟更容易被理解为正当权利表达，还是较难配合？这是待检验的问题，不能预设某个国家更公平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放到中国情境中，我认为可以提出两个研究线索。一个是政务服务数字化：不熟悉线上申请的人，可能表现得反复询问或需要更多解释。工作人员如何理解这些行为，是否把制度设计造成的困难归因给个人？另一个是人口流动：本地语言、居住经历或规则熟悉程度，是否形成具有本地含义的外来性认知？这两个都是拓展假设，不是本文关于中国的结论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真正比较时，不能直接把德国问卷翻译完，就比较中国和德国哪个平均分高。foreign-language在德国的含义，未必等于中国的方言差异；non-native也不必然等于外地户籍。我们必须先确认测到的是可以比较的概念。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更合理的路径是，先在两国自由生成属性，找共同维度和特有维度，再检验测量不变性。构型不变性关注结构是否相似；载荷等值关注指标与构念的关系是否相似；若要比较潜在均值，还需要适用于二元指标的阈值等值等条件。否则，看起来是国家差异，实际上可能只是词语含义不同。</w:t>
      </w:r>
    </w:p>
    <w:bookmarkEnd w:id="32"/>
    <w:bookmarkStart w:id="33" w:name="后续研究把认知结构与服务行为连接起来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13．后续研究：把认知结构与服务行为连接起来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提示：这是自主提出的研究方案，不是论文中的第五项研究，也不是已实施的实验。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如果按组会要求提出下一步研究，我会问：当办事人的实质资格相同，工作人员是否会因互动风格不同而改变帮助意愿？工作人员的ICTs能否解释这种差异？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一个比较可行的设计，是先在某一类相近政务服务岗位中测量ICTs，再安排一个随机情境实验。所有参与者看到的申请条件、材料、请求内容和礼貌程度保持一致，只改变服务对象表达诉求的坚定程度：一组明确坚持获得解释，另一组较温和地询问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这里必须把坚定与攻击区分开，不能让实验一组是正常问询、另一组是辱骂威胁，再把所有待遇差异都归因于强势原型。我们研究的，是合法诉求表达风格可能引起的解释差异。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结果变量可以包括工作人员愿意投入多少额外解释时间、是否主动提供操作提示、如何理解对方行为。我们可以提出一个假设：负面强势原型越容易被激活的工作人员，面对坚定表达时，帮助意愿可能下降得更多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但即使互动风格随机分配，原型本身仍然只是被测量，而不是被随机操纵。因此，这个设计可以更有力地识别表达风格的效应，却不能单凭原型与结果的关联，就证明原型造成了行为。要进一步检验机制，还可以随机加入程序权利提醒，并观察是否改变工作人员对相同表达的解释与回应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中德比较要选择可比岗位，处理语言与组织差异，并考虑工作人员嵌套于机构；福利岗位与处罚岗位不能直接混比。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本科课程可以先做访谈或材料预测试，把跨国方案作为设想。若只用学生模拟，则不能当作真实工作人员的行为证据。</w:t>
      </w:r>
    </w:p>
    <w:bookmarkEnd w:id="33"/>
    <w:bookmarkStart w:id="34" w:name="管理启示公平不只依靠个人自觉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14．管理启示：公平不只依靠个人自觉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最后看管理启示。作者并不认为ICTs完全无法改变，而是指出它们难以改变，且许多干预效果可能短暂。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作者提出三类路径。第一，提供与负面原型相反的信息，例如真实的积极互动事例，或者通过换位思考看到公民的处境。第二，降低认知负荷。工作人员长时间疲惫、面对超额工作量时，可能更依赖简化判断，所以人员配置和工作设计也与公平有关。第三，明确行为目标和互动规范，并在接触公民之前反复提醒，而不是只做一次抽象培训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更进一步，作者把视角转向public service ecosystem，也就是公共服务生态系统。公民的行为不是凭空出现的，而是与生活经历、制度流程、其他服务机构共同形成。如果组织只追求尽快完成一笔交易，就更容易把沟通困难解释为个人特征；如果组织把公民视为公共价值共同创造者，就更可能关注他为什么遇到困难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我的拓展是，同时改善认知与流程：提供清晰说明与数字服务协助，通过申诉、复核检查真实待遇。这些建议仍需实际评估。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最后，好感不能替代程序保障。公平行政要求，工作人员即使不喜欢某人的表达方式，也能依规则处理其合法请求。</w:t>
      </w:r>
    </w:p>
    <w:bookmarkEnd w:id="34"/>
    <w:bookmarkStart w:id="35" w:name="结语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15．结语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讲稿：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今天我想留下三个判断。第一，这篇文章发现的是六个公民认知原型，不是六类互斥的真实公民。第二，它较有力地建构并验证了认知结构，但没有直接证明对真实待遇的因果影响。第三，从比较公共管理看，下一步值得研究的是行政传统和组织情境如何影响认知，以及认知何时进入服务行为。我的汇报到这里，谢谢大家。</w:t>
      </w:r>
    </w:p>
    <w:p>
      <w:r>
        <w:rPr>
          <w:rFonts w:ascii="Noto Serif CJK SC" w:hAnsi="Noto Serif CJK SC" w:eastAsia="Noto Serif CJK SC" w:cs="Noto Serif CJK SC"/>
          <w:lang w:val="zh-CN" w:eastAsia="zh-CN"/>
        </w:rPr>
        <w:pict>
          <v:rect style="width:0;height:1.5pt" o:hralign="center" o:hrstd="t" o:hr="t"/>
        </w:pict>
      </w:r>
    </w:p>
    <w:bookmarkEnd w:id="35"/>
    <w:bookmarkStart w:id="48" w:name="不计入30分钟的备答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不计入30分钟的备答</w:t>
      </w:r>
    </w:p>
    <w:bookmarkStart w:id="36" w:name="这篇文章最大的创新是什么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1．这篇文章最大的创新是什么？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它将分散的社会分类研究推进为一般化认知结构研究，并通过自由属性生成、网络筛选、RRM、EFA与独立CFA，建立六原型17属性工具。创新不只是“发现六个名字”，而是提供概念和测量框架。</w:t>
      </w:r>
    </w:p>
    <w:bookmarkEnd w:id="36"/>
    <w:bookmarkStart w:id="37" w:name="六原型是不是六种人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2．六原型是不是六种人？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不是。因子分析识别属性维度，没有把受访者或公民聚成六个人群。原型可以共存，也可以彼此相关。</w:t>
      </w:r>
    </w:p>
    <w:bookmarkEnd w:id="37"/>
    <w:bookmarkStart w:id="38" w:name="rrm与iat有什么不同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3．RRM与IAT有什么不同？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本文RRM让人快速判断属性与“公民”是否匹配。典型IAT通过不同类别组合的反应时差异评价相对联想。本文引用IAT说明内隐方法的背景，但没有实施IAT；不能把二者名称互换。</w:t>
      </w:r>
    </w:p>
    <w:bookmarkEnd w:id="38"/>
    <w:bookmarkStart w:id="39" w:name="友善最正面是否说明礼貌的人应得到更多帮助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4．友善最正面，是否说明礼貌的人应得到更多帮助？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不应作这样的规范推论。效价是工作人员的评价，依法应得的服务不应取决于讨喜程度。应进一步研究这种评价是否改变服务投入，以及程序能否防止不平等。</w:t>
      </w:r>
    </w:p>
    <w:bookmarkEnd w:id="39"/>
    <w:bookmarkStart w:id="40" w:name="foreignness中性是否说明没有歧视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5．Foreignness中性，是否说明没有歧视？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不能。这里只是特定工具中的效价结果，且来自显性问卷。没有观察真实决策，不能排除隐蔽偏见或行为歧视。</w:t>
      </w:r>
    </w:p>
    <w:bookmarkEnd w:id="40"/>
    <w:bookmarkStart w:id="41" w:name="这是不是比较公共管理论文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6．这是不是比较公共管理论文？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它的主要实证部分是德国单国研究，不是直接跨国比较。它讨论行政传统与国家情境，并提供可开展比较的概念框架。课堂拓展的价值在于解释如何比较，而不是把它说成已经完成比较。</w:t>
      </w:r>
    </w:p>
    <w:bookmarkEnd w:id="41"/>
    <w:bookmarkStart w:id="42" w:name="为什么17个条目比34个好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7．为什么17个条目比34个好？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独立样本中的拟合更好，也更便于使用；但简化可能损失内容覆盖。短版拟合优势不保证在其他国家或岗位中仍优于长版，需另行验证。</w:t>
      </w:r>
    </w:p>
    <w:bookmarkEnd w:id="42"/>
    <w:bookmarkStart w:id="43" w:name="测量不变性是否意味着两组原型平均值相同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8．测量不变性是否意味着两组原型平均值相同？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不是。不变性主要处理测量结构与参数是否可比；水平差异是另一问题。本文国内子群体结果也不能替代跨国验证。</w:t>
      </w:r>
    </w:p>
    <w:bookmarkEnd w:id="43"/>
    <w:bookmarkStart w:id="44" w:name="样本1703是不是一个问卷的大样本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9．样本1703是不是一个问卷的大样本？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不是。28+204+611+860=1703，是四个独立研究有效样本的总和；CFA样本只有860人，EFA样本只有611人。</w:t>
      </w:r>
    </w:p>
    <w:bookmarkEnd w:id="44"/>
    <w:bookmarkStart w:id="45" w:name="能否说薪酬高导致对求助者更冷漠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10．能否说薪酬高导致对求助者更冷漠？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不能。原文报告的是薪酬组与效价的统计关联，未识别因果；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“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评价较负面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”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也不等于直接观察到服务中的冷漠行为。</w:t>
      </w:r>
    </w:p>
    <w:bookmarkEnd w:id="45"/>
    <w:bookmarkStart w:id="46" w:name="怎么证明原型真正影响行为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11．怎么证明原型真正影响行为？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需要加入行为结果及更强识别设计。仅用RRM与问卷帮助意愿做相关分析不够；可随机化表达风格或干预、检验解释过程，并在取得适当授权后观察实际服务结果。若将原型作为中介，还需说明额外识别假设。</w:t>
      </w:r>
    </w:p>
    <w:bookmarkEnd w:id="46"/>
    <w:bookmarkStart w:id="47" w:name="理论机制是作者的还是你的"/>
    <w:p>
      <w:pPr>
        <w:pStyle w:val="Heading3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12．理论机制是作者的还是你的？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ICTs作为解释框架、匹配原型影响态度行为，是作者理论。数字服务、人口流动、中国—德国比较步骤和具体情境实验，是基于这一框架的自主拓展。本文四项研究并没有验证这些中国情境假设。</w:t>
      </w:r>
    </w:p>
    <w:bookmarkEnd w:id="47"/>
    <w:bookmarkEnd w:id="48"/>
    <w:bookmarkStart w:id="49" w:name="可用于准备的六原型速查表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可用于准备的六原型速查表</w:t>
      </w:r>
    </w:p>
    <w:tbl>
      <w:tblPr>
        <w:tblW w:type="pct" w:w="5000"/>
        <w:jc w:val="left"/>
        <w:tblLayout w:type="fixed"/>
        <w:tblLook w:firstRow="1" w:lastRow="0" w:firstColumn="0" w:lastColumn="0" w:noHBand="0" w:noVBand="0" w:val="0020"/>
        <w:tblBorders>
          <w:top w:val="single" w:sz="4" w:color="C6CDD3"/>
          <w:left w:val="single" w:sz="4" w:color="C6CDD3"/>
          <w:bottom w:val="single" w:sz="4" w:color="C6CDD3"/>
          <w:right w:val="single" w:sz="4" w:color="C6CDD3"/>
          <w:insideH w:val="single" w:sz="4" w:color="C6CDD3"/>
          <w:insideV w:val="single" w:sz="4" w:color="C6CDD3"/>
        </w:tblBorders>
      </w:tblPr>
      <w:tblGrid>
        <w:gridCol w:w="2409"/>
        <w:gridCol w:w="2409"/>
        <w:gridCol w:w="2409"/>
        <w:gridCol w:w="2409"/>
      </w:tblGrid>
      <w:tr>
        <w:trPr>
          <w:tblHeader w:val="on"/>
          <w:tblHeader/>
        </w:trPr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原型</w:t>
            </w:r>
          </w:p>
        </w:tc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最终指标</w:t>
            </w:r>
          </w:p>
        </w:tc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效价概况</w:t>
            </w:r>
          </w:p>
        </w:tc>
        <w:tc>
          <w:tcPr>
            <w:tcW w:type="dxa" w:w="2409"/>
            <w:shd w:fill="E9EEF2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/>
                <w:sz w:val="18"/>
                <w:lang w:val="zh-CN" w:eastAsia="zh-CN"/>
              </w:rPr>
              <w:t xml:space="preserve">避免误读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Engagement／参与投入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有动力、认真尽责、目标导向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明显正面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不是实际投票或政治参与水平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Kindness／友善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友好、有礼貌、和善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最正面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不是取得权利的条件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Determination／强势诉求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自我中心、要求很多、坚持己见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明显负面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不等于所有权利主张都不合理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Reticence／内敛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害羞、拘谨、内向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近中性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不等于不合作或能力不足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Neediness／求助困境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绝望、焦虑、担忧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近中性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不等于法定救助资格</w:t>
            </w:r>
          </w:p>
        </w:tc>
      </w:tr>
      <w:tr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Foreignness／外来性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非本国本土、使用外语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近中性</w:t>
            </w:r>
          </w:p>
        </w:tc>
        <w:tc>
          <w:tcPr>
            <w:tcW w:type="dxa" w:w="2409"/>
          </w:tcPr>
          <w:p>
            <w:pPr>
              <w:pStyle w:val="Compact"/>
              <w:spacing w:after="60" w:before="6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sz w:val="18"/>
                <w:lang w:val="zh-CN" w:eastAsia="zh-CN"/>
              </w:rPr>
              <w:t xml:space="preserve">不等于完全没有族群偏见</w:t>
            </w:r>
          </w:p>
        </w:tc>
      </w:tr>
    </w:tbl>
    <w:bookmarkEnd w:id="49"/>
    <w:bookmarkStart w:id="50" w:name="拓展所依据的文献线索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拓展所依据的文献线索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下面列出与本次拓展直接相关的线索。对被引文献的概述以主文献的引用与说明为基础，作为进一步阅读入口，不表示已经独立核验其完整研究结果。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Lipsky（2010），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Street-Level Bureaucracy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：一线工作、服务对象模型及裁量的理论背景。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Jilke &amp; Tummers（2018），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Which Clients Are Deserving of Help?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：应得性与帮助判断。DOI：10.1093/jopart/muy002。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Döring &amp; Jilke（2022），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Cream-Skimming at the Frontline: The Role of Administrative Literacy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：行政素养与额外服务投入。DOI：10.1111/padm.12900。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Jilke, Meuleman, &amp; van de Walle（2015），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We Need to Compare, but How?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：比较研究的测量等价问题。DOI：10.1111/puar.12318。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Kuhlmann &amp; Wollmann（2019），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Introduction to Comparative Public Administration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：行政传统与比较行政背景。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O’Toole &amp; Meier（2017），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Comparative Public Management: A Framework for Analysis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：国家、环境与组织情境的比较分析框架。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Osborne等（2022），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Value Creation in the Public Service Ecosystem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：公共服务生态系统与价值共同创造。DOI：10.1111/puar.13474。</w:t>
      </w:r>
    </w:p>
    <w:p>
      <w:pPr>
        <w:pStyle w:val="Compact"/>
        <w:numPr>
          <w:ilvl w:val="0"/>
          <w:numId w:val="1001"/>
        </w:numPr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Forscher等（2019），</w:t>
      </w:r>
      <w:r>
        <w:rPr>
          <w:rFonts w:ascii="Noto Serif CJK SC" w:hAnsi="Noto Serif CJK SC" w:eastAsia="Noto Serif CJK SC" w:cs="Noto Serif CJK SC"/>
          <w:i/>
          <w:iCs/>
          <w:lang w:val="zh-CN" w:eastAsia="zh-CN"/>
        </w:rPr>
        <w:t xml:space="preserve">A Meta-Analysis of Procedures to Change Implicit Measures</w:t>
      </w:r>
      <w:r>
        <w:rPr>
          <w:rFonts w:ascii="Noto Serif CJK SC" w:hAnsi="Noto Serif CJK SC" w:eastAsia="Noto Serif CJK SC" w:cs="Noto Serif CJK SC"/>
          <w:lang w:val="zh-CN" w:eastAsia="zh-CN"/>
        </w:rPr>
        <w:t xml:space="preserve">：内隐测量干预的背景。DOI：10.1037/pspa0000160。改变内隐测量结果，不应直接等同于改善真实服务行为。</w:t>
      </w:r>
    </w:p>
    <w:bookmarkEnd w:id="50"/>
    <w:bookmarkStart w:id="51" w:name="排练与临场调整"/>
    <w:p>
      <w:pPr>
        <w:pStyle w:val="Heading2"/>
      </w:pPr>
      <w:r>
        <w:rPr>
          <w:rFonts w:ascii="Noto Sans CJK SC" w:hAnsi="Noto Sans CJK SC" w:eastAsia="Noto Sans CJK SC" w:cs="Noto Sans CJK SC"/>
          <w:lang w:val="zh-CN" w:eastAsia="zh-CN"/>
        </w:rPr>
        <w:t xml:space="preserve">排练与临场调整</w:t>
      </w:r>
    </w:p>
    <w:p>
      <w:pPr>
        <w:pStyle w:val="FirstParagraph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首次排练从开场读到结语，用实际计时校准，不读表格、提示和备答。先保证六原型、研究方法与证据边界讲清楚，再调整例子和拓展长度。建议以每分钟约230–270个汉字的课堂解释速度起步，英文术语、数字与看图会额外占用时间，不能只用字数机械推算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如总时长超过32分钟：第5段缩短访谈和网络筛选细节；第6段不读全部反应时及估计细节；第11段省略均值填补问题；第13段简述国际比较与学生样本限制。保留研究问题、六原型、独立验证、因果边界和比较逻辑，合计可缩短约2–3分钟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如少于28分钟：第7段请同学用20秒判断开场办事人可能同时对应哪些原型，再用20秒解释为何没有唯一类别；第11段用30秒讨论“坚持权利是否等于难缠”；第12段用30秒解释为什么不能把non-native直接替换成外地户籍。若没人回答，直接给出讲稿中的解释，避免冷场。</w:t>
      </w:r>
    </w:p>
    <w:p>
      <w:pPr>
        <w:pStyle w:val="BodyText"/>
      </w:pPr>
      <w:r>
        <w:rPr>
          <w:rFonts w:ascii="Noto Serif CJK SC" w:hAnsi="Noto Serif CJK SC" w:eastAsia="Noto Serif CJK SC" w:cs="Noto Serif CJK SC"/>
          <w:lang w:val="zh-CN" w:eastAsia="zh-CN"/>
        </w:rPr>
        <w:t xml:space="preserve">如老师所说“30分钟”包括5分钟问答：把正式讲述控制在约25分钟，优先压缩第5、6、9、11和13段，每段约一分钟；问答使用上述备答，不能靠提高语速强行挤出时间。</w:t>
      </w:r>
    </w:p>
    <w:bookmarkEnd w:id="51"/>
    <w:bookmarkEnd w:id="52"/>
    <w:sectPr>
      <w:footerReference w:type="default" r:id="rId9"/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8" w:lineRule="auto" w:after="120"/>
    </w:pPr>
    <w:rPr>
      <w:rFonts w:ascii="Noto Serif CJK SC" w:hAnsi="Noto Serif CJK SC" w:eastAsia="Noto Serif CJK SC" w:cs="Noto Serif CJK SC"/>
      <w:sz w:val="22"/>
      <w:lang w:val="zh-CN" w:eastAsia="zh-CN"/>
    </w:rPr>
  </w:style>
  <w:style w:styleId="BodyText" w:type="paragraph">
    <w:name w:val="Body Text"/>
    <w:basedOn w:val="Normal"/>
    <w:link w:val="BodyTextChar"/>
    <w:qFormat/>
    <w:pPr>
      <w:spacing w:after="120" w:before="180" w:line="288" w:lineRule="auto"/>
    </w:pPr>
    <w:rPr>
      <w:rFonts w:ascii="Noto Serif CJK SC" w:hAnsi="Noto Serif CJK SC" w:eastAsia="Noto Serif CJK SC" w:cs="Noto Serif CJK SC"/>
      <w:sz w:val="22"/>
      <w:lang w:val="zh-CN" w:eastAsia="zh-CN"/>
    </w:rPr>
  </w:style>
  <w:style w:customStyle="1" w:styleId="FirstParagraph" w:type="paragraph">
    <w:name w:val="First Paragraph"/>
    <w:basedOn w:val="BodyText"/>
    <w:next w:val="BodyText"/>
    <w:qFormat/>
    <w:pPr>
      <w:spacing w:line="288" w:lineRule="auto" w:after="120"/>
    </w:pPr>
    <w:rPr>
      <w:rFonts w:ascii="Noto Serif CJK SC" w:hAnsi="Noto Serif CJK SC" w:eastAsia="Noto Serif CJK SC" w:cs="Noto Serif CJK SC"/>
      <w:sz w:val="22"/>
      <w:lang w:val="zh-CN" w:eastAsia="zh-CN"/>
    </w:rPr>
  </w:style>
  <w:style w:customStyle="1" w:styleId="Compact" w:type="paragraph">
    <w:name w:val="Compact"/>
    <w:basedOn w:val="BodyText"/>
    <w:qFormat/>
    <w:pPr>
      <w:spacing w:after="120" w:before="36" w:line="288" w:lineRule="auto"/>
    </w:pPr>
    <w:rPr>
      <w:rFonts w:ascii="Noto Serif CJK SC" w:hAnsi="Noto Serif CJK SC" w:eastAsia="Noto Serif CJK SC" w:cs="Noto Serif CJK SC"/>
      <w:sz w:val="22"/>
      <w:lang w:val="zh-CN" w:eastAsia="zh-C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erif CJK SC" w:hAnsi="Noto Serif CJK SC" w:eastAsia="Noto Serif CJK SC" w:cs="Noto Serif CJK SC"/>
      <w:b/>
      <w:bCs/>
      <w:color w:val="243746"/>
      <w:sz w:val="44"/>
      <w:szCs w:val="36"/>
      <w:lang w:val="zh-CN" w:eastAsia="zh-CN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erif CJK SC" w:hAnsi="Noto Serif CJK SC" w:eastAsia="Noto Serif CJK SC" w:cs="Noto Serif CJK SC"/>
      <w:sz w:val="30"/>
      <w:szCs w:val="30"/>
      <w:lang w:val="zh-CN" w:eastAsia="zh-C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Noto Serif CJK SC" w:hAnsi="Noto Serif CJK SC" w:eastAsia="Noto Serif CJK SC" w:cs="Noto Serif CJK SC"/>
      <w:lang w:val="zh-CN" w:eastAsia="zh-C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Noto Serif CJK SC" w:hAnsi="Noto Serif CJK SC" w:eastAsia="Noto Serif CJK SC" w:cs="Noto Serif CJK SC"/>
      <w:lang w:val="zh-CN" w:eastAsia="zh-C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Noto Serif CJK SC" w:hAnsi="Noto Serif CJK SC" w:eastAsia="Noto Serif CJK SC" w:cs="Noto Serif CJK SC"/>
      <w:b/>
      <w:color w:val="345A8A"/>
      <w:sz w:val="20"/>
      <w:szCs w:val="20"/>
      <w:lang w:val="zh-CN" w:eastAsia="zh-C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oto Serif CJK SC" w:hAnsi="Noto Serif CJK SC" w:eastAsia="Noto Serif CJK SC" w:cs="Noto Serif CJK SC"/>
      <w:sz w:val="20"/>
      <w:szCs w:val="20"/>
      <w:lang w:val="zh-CN" w:eastAsia="zh-CN"/>
    </w:rPr>
  </w:style>
  <w:style w:styleId="Bibliography" w:type="paragraph">
    <w:name w:val="Bibliography"/>
    <w:basedOn w:val="Normal"/>
    <w:next w:val="Bibliography"/>
    <w:qFormat/>
    <w:pPr/>
    <w:rPr>
      <w:rFonts w:ascii="Noto Serif CJK SC" w:hAnsi="Noto Serif CJK SC" w:eastAsia="Noto Serif CJK SC" w:cs="Noto Serif CJK SC"/>
      <w:lang w:val="zh-CN" w:eastAsia="zh-C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erif CJK SC" w:hAnsi="Noto Serif CJK SC" w:eastAsia="Noto Serif CJK SC" w:cs="Noto Serif CJK SC"/>
      <w:b/>
      <w:bCs/>
      <w:color w:val="243746"/>
      <w:sz w:val="36"/>
      <w:szCs w:val="32"/>
      <w:lang w:val="zh-CN" w:eastAsia="zh-CN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erif CJK SC" w:hAnsi="Noto Serif CJK SC" w:eastAsia="Noto Serif CJK SC" w:cs="Noto Serif CJK SC"/>
      <w:b/>
      <w:bCs/>
      <w:color w:val="243746"/>
      <w:sz w:val="30"/>
      <w:szCs w:val="28"/>
      <w:lang w:val="zh-CN" w:eastAsia="zh-CN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erif CJK SC" w:hAnsi="Noto Serif CJK SC" w:eastAsia="Noto Serif CJK SC" w:cs="Noto Serif CJK SC"/>
      <w:b/>
      <w:bCs/>
      <w:color w:val="243746"/>
      <w:sz w:val="24"/>
      <w:szCs w:val="24"/>
      <w:lang w:val="zh-CN" w:eastAsia="zh-CN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erif CJK SC" w:hAnsi="Noto Serif CJK SC" w:eastAsia="Noto Serif CJK SC" w:cs="Noto Serif CJK SC"/>
      <w:bCs/>
      <w:i/>
      <w:color w:val="243746"/>
      <w:sz w:val="22"/>
      <w:szCs w:val="24"/>
      <w:lang w:val="zh-CN" w:eastAsia="zh-C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erif CJK SC" w:hAnsi="Noto Serif CJK SC" w:eastAsia="Noto Serif CJK SC" w:cs="Noto Serif CJK SC"/>
      <w:iCs/>
      <w:color w:themeColor="accent1" w:val="4F81BD"/>
      <w:sz w:val="24"/>
      <w:szCs w:val="24"/>
      <w:lang w:val="zh-CN" w:eastAsia="zh-C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erif CJK SC" w:hAnsi="Noto Serif CJK SC" w:eastAsia="Noto Serif CJK SC" w:cs="Noto Serif CJK SC"/>
      <w:color w:themeColor="accent1" w:val="4F81BD"/>
      <w:sz w:val="24"/>
      <w:szCs w:val="24"/>
      <w:lang w:val="zh-CN" w:eastAsia="zh-C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erif CJK SC" w:hAnsi="Noto Serif CJK SC" w:eastAsia="Noto Serif CJK SC" w:cs="Noto Serif CJK SC"/>
      <w:color w:themeColor="accent1" w:val="4F81BD"/>
      <w:sz w:val="24"/>
      <w:szCs w:val="24"/>
      <w:lang w:val="zh-CN" w:eastAsia="zh-C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erif CJK SC" w:hAnsi="Noto Serif CJK SC" w:eastAsia="Noto Serif CJK SC" w:cs="Noto Serif CJK SC"/>
      <w:color w:themeColor="accent1" w:val="4F81BD"/>
      <w:sz w:val="24"/>
      <w:szCs w:val="24"/>
      <w:lang w:val="zh-CN" w:eastAsia="zh-C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erif CJK SC" w:hAnsi="Noto Serif CJK SC" w:eastAsia="Noto Serif CJK SC" w:cs="Noto Serif CJK SC"/>
      <w:color w:themeColor="accent1" w:val="4F81BD"/>
      <w:sz w:val="24"/>
      <w:szCs w:val="24"/>
      <w:lang w:val="zh-CN" w:eastAsia="zh-C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oto Serif CJK SC" w:hAnsi="Noto Serif CJK SC" w:eastAsia="Noto Serif CJK SC" w:cs="Noto Serif CJK SC"/>
      <w:lang w:val="zh-CN" w:eastAsia="zh-C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oto Serif CJK SC" w:hAnsi="Noto Serif CJK SC" w:eastAsia="Noto Serif CJK SC" w:cs="Noto Serif CJK SC"/>
      <w:lang w:val="zh-CN" w:eastAsia="zh-CN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Noto Serif CJK SC" w:hAnsi="Noto Serif CJK SC" w:eastAsia="Noto Serif CJK SC" w:cs="Noto Serif CJK SC"/>
      <w:lang w:val="zh-CN" w:eastAsia="zh-CN"/>
    </w:rPr>
  </w:style>
  <w:style w:default="1" w:styleId="DefaultParagraphFont" w:type="character">
    <w:name w:val="Default Paragraph Font"/>
    <w:semiHidden/>
    <w:unhideWhenUsed/>
    <w:rPr>
      <w:rFonts w:ascii="Noto Serif CJK SC" w:hAnsi="Noto Serif CJK SC" w:eastAsia="Noto Serif CJK SC" w:cs="Noto Serif CJK SC"/>
      <w:lang w:val="zh-CN" w:eastAsia="zh-C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oto Serif CJK SC" w:hAnsi="Noto Serif CJK SC" w:eastAsia="Noto Serif CJK SC" w:cs="Noto Serif CJK SC"/>
      <w:b/>
      <w:lang w:val="zh-CN" w:eastAsia="zh-CN"/>
    </w:rPr>
  </w:style>
  <w:style w:customStyle="1" w:styleId="Definition" w:type="paragraph">
    <w:name w:val="Definition"/>
    <w:basedOn w:val="Normal"/>
    <w:rPr>
      <w:rFonts w:ascii="Noto Serif CJK SC" w:hAnsi="Noto Serif CJK SC" w:eastAsia="Noto Serif CJK SC" w:cs="Noto Serif CJK SC"/>
      <w:lang w:val="zh-CN" w:eastAsia="zh-C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oto Serif CJK SC" w:hAnsi="Noto Serif CJK SC" w:eastAsia="Noto Serif CJK SC" w:cs="Noto Serif CJK SC"/>
      <w:i/>
      <w:lang w:val="zh-CN" w:eastAsia="zh-CN"/>
    </w:rPr>
  </w:style>
  <w:style w:customStyle="1" w:styleId="TableCaption" w:type="paragraph">
    <w:name w:val="Table Caption"/>
    <w:basedOn w:val="Caption"/>
    <w:pPr>
      <w:keepNext/>
    </w:pPr>
    <w:rPr>
      <w:rFonts w:ascii="Noto Serif CJK SC" w:hAnsi="Noto Serif CJK SC" w:eastAsia="Noto Serif CJK SC" w:cs="Noto Serif CJK SC"/>
      <w:lang w:val="zh-CN" w:eastAsia="zh-CN"/>
    </w:rPr>
  </w:style>
  <w:style w:customStyle="1" w:styleId="ImageCaption" w:type="paragraph">
    <w:name w:val="Image Caption"/>
    <w:basedOn w:val="Caption"/>
    <w:rPr>
      <w:rFonts w:ascii="Noto Serif CJK SC" w:hAnsi="Noto Serif CJK SC" w:eastAsia="Noto Serif CJK SC" w:cs="Noto Serif CJK SC"/>
      <w:lang w:val="zh-CN" w:eastAsia="zh-CN"/>
    </w:rPr>
  </w:style>
  <w:style w:customStyle="1" w:styleId="Figure" w:type="paragraph">
    <w:name w:val="Figure"/>
    <w:basedOn w:val="Normal"/>
    <w:rPr>
      <w:rFonts w:ascii="Noto Serif CJK SC" w:hAnsi="Noto Serif CJK SC" w:eastAsia="Noto Serif CJK SC" w:cs="Noto Serif CJK SC"/>
      <w:lang w:val="zh-CN" w:eastAsia="zh-CN"/>
    </w:rPr>
  </w:style>
  <w:style w:customStyle="1" w:styleId="CaptionedFigure" w:type="paragraph">
    <w:name w:val="Captioned Figure"/>
    <w:basedOn w:val="Figure"/>
    <w:pPr>
      <w:keepNext/>
    </w:pPr>
    <w:rPr>
      <w:rFonts w:ascii="Noto Serif CJK SC" w:hAnsi="Noto Serif CJK SC" w:eastAsia="Noto Serif CJK SC" w:cs="Noto Serif CJK SC"/>
      <w:lang w:val="zh-CN" w:eastAsia="zh-CN"/>
    </w:rPr>
  </w:style>
  <w:style w:customStyle="1" w:styleId="BodyTextChar" w:type="character">
    <w:name w:val="Body Text Char"/>
    <w:basedOn w:val="DefaultParagraphFont"/>
    <w:link w:val="BodyText"/>
    <w:rPr>
      <w:rFonts w:ascii="Noto Serif CJK SC" w:hAnsi="Noto Serif CJK SC" w:eastAsia="Noto Serif CJK SC" w:cs="Noto Serif CJK SC"/>
      <w:lang w:val="zh-CN" w:eastAsia="zh-CN"/>
    </w:rPr>
  </w:style>
  <w:style w:customStyle="1" w:styleId="VerbatimChar" w:type="character">
    <w:name w:val="Verbatim Char"/>
    <w:basedOn w:val="BodyTextChar"/>
    <w:rPr>
      <w:rFonts w:ascii="Noto Serif CJK SC" w:hAnsi="Noto Serif CJK SC" w:eastAsia="Noto Serif CJK SC" w:cs="Noto Serif CJK SC"/>
      <w:sz w:val="22"/>
      <w:lang w:val="zh-CN" w:eastAsia="zh-CN"/>
    </w:rPr>
  </w:style>
  <w:style w:customStyle="1" w:styleId="SectionNumber" w:type="character">
    <w:name w:val="Section Number"/>
    <w:basedOn w:val="BodyTextChar"/>
    <w:rPr>
      <w:rFonts w:ascii="Noto Serif CJK SC" w:hAnsi="Noto Serif CJK SC" w:eastAsia="Noto Serif CJK SC" w:cs="Noto Serif CJK SC"/>
      <w:lang w:val="zh-CN" w:eastAsia="zh-CN"/>
    </w:rPr>
  </w:style>
  <w:style w:styleId="FootnoteReference" w:type="character">
    <w:name w:val="Footnote Reference"/>
    <w:basedOn w:val="BodyTextChar"/>
    <w:rPr>
      <w:rFonts w:ascii="Noto Serif CJK SC" w:hAnsi="Noto Serif CJK SC" w:eastAsia="Noto Serif CJK SC" w:cs="Noto Serif CJK SC"/>
      <w:vertAlign w:val="superscript"/>
      <w:lang w:val="zh-CN" w:eastAsia="zh-CN"/>
    </w:rPr>
  </w:style>
  <w:style w:styleId="Hyperlink" w:type="character">
    <w:name w:val="Hyperlink"/>
    <w:basedOn w:val="BodyTextChar"/>
    <w:rPr>
      <w:rFonts w:ascii="Noto Serif CJK SC" w:hAnsi="Noto Serif CJK SC" w:eastAsia="Noto Serif CJK SC" w:cs="Noto Serif CJK SC"/>
      <w:color w:themeColor="accent1" w:val="4F81BD"/>
      <w:lang w:val="zh-CN" w:eastAsia="zh-C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erif CJK SC" w:hAnsi="Noto Serif CJK SC" w:eastAsia="Noto Serif CJK SC" w:cs="Noto Serif CJK SC"/>
      <w:b w:val="0"/>
      <w:bCs w:val="0"/>
      <w:color w:themeColor="accent1" w:themeShade="BF" w:val="365F91"/>
      <w:lang w:val="zh-CN" w:eastAsia="zh-CN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oto Serif CJK SC" w:hAnsi="Noto Serif CJK SC" w:eastAsia="Noto Serif CJK SC" w:cs="Noto Serif CJK SC"/>
      <w:lang w:val="zh-CN" w:eastAsia="zh-CN"/>
    </w:rPr>
  </w:style>
  <w:style w:type="character" w:customStyle="1" w:styleId="KeywordTok">
    <w:name w:val="KeywordTok"/>
    <w:basedOn w:val="VerbatimChar"/>
    <w:rPr>
      <w:rFonts w:ascii="Noto Serif CJK SC" w:hAnsi="Noto Serif CJK SC" w:eastAsia="Noto Serif CJK SC" w:cs="Noto Serif CJK SC"/>
      <w:b/>
      <w:color w:val="007020"/>
      <w:lang w:val="zh-CN" w:eastAsia="zh-CN"/>
    </w:rPr>
  </w:style>
  <w:style w:type="character" w:customStyle="1" w:styleId="DataTypeTok">
    <w:name w:val="DataTypeTok"/>
    <w:basedOn w:val="VerbatimChar"/>
    <w:rPr>
      <w:rFonts w:ascii="Noto Serif CJK SC" w:hAnsi="Noto Serif CJK SC" w:eastAsia="Noto Serif CJK SC" w:cs="Noto Serif CJK SC"/>
      <w:color w:val="902000"/>
      <w:lang w:val="zh-CN" w:eastAsia="zh-CN"/>
    </w:rPr>
  </w:style>
  <w:style w:type="character" w:customStyle="1" w:styleId="DecValTok">
    <w:name w:val="DecValTok"/>
    <w:basedOn w:val="VerbatimChar"/>
    <w:rPr>
      <w:rFonts w:ascii="Noto Serif CJK SC" w:hAnsi="Noto Serif CJK SC" w:eastAsia="Noto Serif CJK SC" w:cs="Noto Serif CJK SC"/>
      <w:color w:val="40a070"/>
      <w:lang w:val="zh-CN" w:eastAsia="zh-CN"/>
    </w:rPr>
  </w:style>
  <w:style w:type="character" w:customStyle="1" w:styleId="BaseNTok">
    <w:name w:val="BaseNTok"/>
    <w:basedOn w:val="VerbatimChar"/>
    <w:rPr>
      <w:rFonts w:ascii="Noto Serif CJK SC" w:hAnsi="Noto Serif CJK SC" w:eastAsia="Noto Serif CJK SC" w:cs="Noto Serif CJK SC"/>
      <w:color w:val="40a070"/>
      <w:lang w:val="zh-CN" w:eastAsia="zh-CN"/>
    </w:rPr>
  </w:style>
  <w:style w:type="character" w:customStyle="1" w:styleId="FloatTok">
    <w:name w:val="FloatTok"/>
    <w:basedOn w:val="VerbatimChar"/>
    <w:rPr>
      <w:rFonts w:ascii="Noto Serif CJK SC" w:hAnsi="Noto Serif CJK SC" w:eastAsia="Noto Serif CJK SC" w:cs="Noto Serif CJK SC"/>
      <w:color w:val="40a070"/>
      <w:lang w:val="zh-CN" w:eastAsia="zh-CN"/>
    </w:rPr>
  </w:style>
  <w:style w:type="character" w:customStyle="1" w:styleId="ConstantTok">
    <w:name w:val="ConstantTok"/>
    <w:basedOn w:val="VerbatimChar"/>
    <w:rPr>
      <w:rFonts w:ascii="Noto Serif CJK SC" w:hAnsi="Noto Serif CJK SC" w:eastAsia="Noto Serif CJK SC" w:cs="Noto Serif CJK SC"/>
      <w:color w:val="880000"/>
      <w:lang w:val="zh-CN" w:eastAsia="zh-CN"/>
    </w:rPr>
  </w:style>
  <w:style w:type="character" w:customStyle="1" w:styleId="CharTok">
    <w:name w:val="CharTok"/>
    <w:basedOn w:val="VerbatimChar"/>
    <w:rPr>
      <w:rFonts w:ascii="Noto Serif CJK SC" w:hAnsi="Noto Serif CJK SC" w:eastAsia="Noto Serif CJK SC" w:cs="Noto Serif CJK SC"/>
      <w:color w:val="4070a0"/>
      <w:lang w:val="zh-CN" w:eastAsia="zh-CN"/>
    </w:rPr>
  </w:style>
  <w:style w:type="character" w:customStyle="1" w:styleId="SpecialCharTok">
    <w:name w:val="SpecialCharTok"/>
    <w:basedOn w:val="VerbatimChar"/>
    <w:rPr>
      <w:rFonts w:ascii="Noto Serif CJK SC" w:hAnsi="Noto Serif CJK SC" w:eastAsia="Noto Serif CJK SC" w:cs="Noto Serif CJK SC"/>
      <w:color w:val="4070a0"/>
      <w:lang w:val="zh-CN" w:eastAsia="zh-CN"/>
    </w:rPr>
  </w:style>
  <w:style w:type="character" w:customStyle="1" w:styleId="StringTok">
    <w:name w:val="StringTok"/>
    <w:basedOn w:val="VerbatimChar"/>
    <w:rPr>
      <w:rFonts w:ascii="Noto Serif CJK SC" w:hAnsi="Noto Serif CJK SC" w:eastAsia="Noto Serif CJK SC" w:cs="Noto Serif CJK SC"/>
      <w:color w:val="4070a0"/>
      <w:lang w:val="zh-CN" w:eastAsia="zh-CN"/>
    </w:rPr>
  </w:style>
  <w:style w:type="character" w:customStyle="1" w:styleId="VerbatimStringTok">
    <w:name w:val="VerbatimStringTok"/>
    <w:basedOn w:val="VerbatimChar"/>
    <w:rPr>
      <w:rFonts w:ascii="Noto Serif CJK SC" w:hAnsi="Noto Serif CJK SC" w:eastAsia="Noto Serif CJK SC" w:cs="Noto Serif CJK SC"/>
      <w:color w:val="4070a0"/>
      <w:lang w:val="zh-CN" w:eastAsia="zh-CN"/>
    </w:rPr>
  </w:style>
  <w:style w:type="character" w:customStyle="1" w:styleId="SpecialStringTok">
    <w:name w:val="SpecialStringTok"/>
    <w:basedOn w:val="VerbatimChar"/>
    <w:rPr>
      <w:rFonts w:ascii="Noto Serif CJK SC" w:hAnsi="Noto Serif CJK SC" w:eastAsia="Noto Serif CJK SC" w:cs="Noto Serif CJK SC"/>
      <w:color w:val="bb6688"/>
      <w:lang w:val="zh-CN" w:eastAsia="zh-CN"/>
    </w:rPr>
  </w:style>
  <w:style w:type="character" w:customStyle="1" w:styleId="ImportTok">
    <w:name w:val="ImportTok"/>
    <w:basedOn w:val="VerbatimChar"/>
    <w:rPr>
      <w:rFonts w:ascii="Noto Serif CJK SC" w:hAnsi="Noto Serif CJK SC" w:eastAsia="Noto Serif CJK SC" w:cs="Noto Serif CJK SC"/>
      <w:b/>
      <w:color w:val="008000"/>
      <w:lang w:val="zh-CN" w:eastAsia="zh-CN"/>
    </w:rPr>
  </w:style>
  <w:style w:type="character" w:customStyle="1" w:styleId="CommentTok">
    <w:name w:val="CommentTok"/>
    <w:basedOn w:val="VerbatimChar"/>
    <w:rPr>
      <w:rFonts w:ascii="Noto Serif CJK SC" w:hAnsi="Noto Serif CJK SC" w:eastAsia="Noto Serif CJK SC" w:cs="Noto Serif CJK SC"/>
      <w:i/>
      <w:color w:val="60a0b0"/>
      <w:lang w:val="zh-CN" w:eastAsia="zh-CN"/>
    </w:rPr>
  </w:style>
  <w:style w:type="character" w:customStyle="1" w:styleId="DocumentationTok">
    <w:name w:val="DocumentationTok"/>
    <w:basedOn w:val="VerbatimChar"/>
    <w:rPr>
      <w:rFonts w:ascii="Noto Serif CJK SC" w:hAnsi="Noto Serif CJK SC" w:eastAsia="Noto Serif CJK SC" w:cs="Noto Serif CJK SC"/>
      <w:i/>
      <w:color w:val="ba2121"/>
      <w:lang w:val="zh-CN" w:eastAsia="zh-CN"/>
    </w:rPr>
  </w:style>
  <w:style w:type="character" w:customStyle="1" w:styleId="AnnotationTok">
    <w:name w:val="AnnotationTok"/>
    <w:basedOn w:val="VerbatimChar"/>
    <w:rPr>
      <w:rFonts w:ascii="Noto Serif CJK SC" w:hAnsi="Noto Serif CJK SC" w:eastAsia="Noto Serif CJK SC" w:cs="Noto Serif CJK SC"/>
      <w:b/>
      <w:i/>
      <w:color w:val="60a0b0"/>
      <w:lang w:val="zh-CN" w:eastAsia="zh-CN"/>
    </w:rPr>
  </w:style>
  <w:style w:type="character" w:customStyle="1" w:styleId="CommentVarTok">
    <w:name w:val="CommentVarTok"/>
    <w:basedOn w:val="VerbatimChar"/>
    <w:rPr>
      <w:rFonts w:ascii="Noto Serif CJK SC" w:hAnsi="Noto Serif CJK SC" w:eastAsia="Noto Serif CJK SC" w:cs="Noto Serif CJK SC"/>
      <w:b/>
      <w:i/>
      <w:color w:val="60a0b0"/>
      <w:lang w:val="zh-CN" w:eastAsia="zh-CN"/>
    </w:rPr>
  </w:style>
  <w:style w:type="character" w:customStyle="1" w:styleId="OtherTok">
    <w:name w:val="OtherTok"/>
    <w:basedOn w:val="VerbatimChar"/>
    <w:rPr>
      <w:rFonts w:ascii="Noto Serif CJK SC" w:hAnsi="Noto Serif CJK SC" w:eastAsia="Noto Serif CJK SC" w:cs="Noto Serif CJK SC"/>
      <w:color w:val="007020"/>
      <w:lang w:val="zh-CN" w:eastAsia="zh-CN"/>
    </w:rPr>
  </w:style>
  <w:style w:type="character" w:customStyle="1" w:styleId="FunctionTok">
    <w:name w:val="FunctionTok"/>
    <w:basedOn w:val="VerbatimChar"/>
    <w:rPr>
      <w:rFonts w:ascii="Noto Serif CJK SC" w:hAnsi="Noto Serif CJK SC" w:eastAsia="Noto Serif CJK SC" w:cs="Noto Serif CJK SC"/>
      <w:color w:val="06287e"/>
      <w:lang w:val="zh-CN" w:eastAsia="zh-CN"/>
    </w:rPr>
  </w:style>
  <w:style w:type="character" w:customStyle="1" w:styleId="VariableTok">
    <w:name w:val="VariableTok"/>
    <w:basedOn w:val="VerbatimChar"/>
    <w:rPr>
      <w:rFonts w:ascii="Noto Serif CJK SC" w:hAnsi="Noto Serif CJK SC" w:eastAsia="Noto Serif CJK SC" w:cs="Noto Serif CJK SC"/>
      <w:color w:val="19177c"/>
      <w:lang w:val="zh-CN" w:eastAsia="zh-CN"/>
    </w:rPr>
  </w:style>
  <w:style w:type="character" w:customStyle="1" w:styleId="ControlFlowTok">
    <w:name w:val="ControlFlowTok"/>
    <w:basedOn w:val="VerbatimChar"/>
    <w:rPr>
      <w:rFonts w:ascii="Noto Serif CJK SC" w:hAnsi="Noto Serif CJK SC" w:eastAsia="Noto Serif CJK SC" w:cs="Noto Serif CJK SC"/>
      <w:b/>
      <w:color w:val="007020"/>
      <w:lang w:val="zh-CN" w:eastAsia="zh-CN"/>
    </w:rPr>
  </w:style>
  <w:style w:type="character" w:customStyle="1" w:styleId="OperatorTok">
    <w:name w:val="OperatorTok"/>
    <w:basedOn w:val="VerbatimChar"/>
    <w:rPr>
      <w:rFonts w:ascii="Noto Serif CJK SC" w:hAnsi="Noto Serif CJK SC" w:eastAsia="Noto Serif CJK SC" w:cs="Noto Serif CJK SC"/>
      <w:color w:val="666666"/>
      <w:lang w:val="zh-CN" w:eastAsia="zh-CN"/>
    </w:rPr>
  </w:style>
  <w:style w:type="character" w:customStyle="1" w:styleId="BuiltInTok">
    <w:name w:val="BuiltInTok"/>
    <w:basedOn w:val="VerbatimChar"/>
    <w:rPr>
      <w:rFonts w:ascii="Noto Serif CJK SC" w:hAnsi="Noto Serif CJK SC" w:eastAsia="Noto Serif CJK SC" w:cs="Noto Serif CJK SC"/>
      <w:color w:val="008000"/>
      <w:lang w:val="zh-CN" w:eastAsia="zh-CN"/>
    </w:rPr>
  </w:style>
  <w:style w:type="character" w:customStyle="1" w:styleId="ExtensionTok">
    <w:name w:val="ExtensionTok"/>
    <w:basedOn w:val="VerbatimChar"/>
    <w:rPr>
      <w:rFonts w:ascii="Noto Serif CJK SC" w:hAnsi="Noto Serif CJK SC" w:eastAsia="Noto Serif CJK SC" w:cs="Noto Serif CJK SC"/>
      <w:lang w:val="zh-CN" w:eastAsia="zh-CN"/>
    </w:rPr>
  </w:style>
  <w:style w:type="character" w:customStyle="1" w:styleId="PreprocessorTok">
    <w:name w:val="PreprocessorTok"/>
    <w:basedOn w:val="VerbatimChar"/>
    <w:rPr>
      <w:rFonts w:ascii="Noto Serif CJK SC" w:hAnsi="Noto Serif CJK SC" w:eastAsia="Noto Serif CJK SC" w:cs="Noto Serif CJK SC"/>
      <w:color w:val="bc7a00"/>
      <w:lang w:val="zh-CN" w:eastAsia="zh-CN"/>
    </w:rPr>
  </w:style>
  <w:style w:type="character" w:customStyle="1" w:styleId="AttributeTok">
    <w:name w:val="AttributeTok"/>
    <w:basedOn w:val="VerbatimChar"/>
    <w:rPr>
      <w:rFonts w:ascii="Noto Serif CJK SC" w:hAnsi="Noto Serif CJK SC" w:eastAsia="Noto Serif CJK SC" w:cs="Noto Serif CJK SC"/>
      <w:color w:val="7d9029"/>
      <w:lang w:val="zh-CN" w:eastAsia="zh-CN"/>
    </w:rPr>
  </w:style>
  <w:style w:type="character" w:customStyle="1" w:styleId="RegionMarkerTok">
    <w:name w:val="RegionMarkerTok"/>
    <w:basedOn w:val="VerbatimChar"/>
    <w:rPr>
      <w:rFonts w:ascii="Noto Serif CJK SC" w:hAnsi="Noto Serif CJK SC" w:eastAsia="Noto Serif CJK SC" w:cs="Noto Serif CJK SC"/>
      <w:lang w:val="zh-CN" w:eastAsia="zh-CN"/>
    </w:rPr>
  </w:style>
  <w:style w:type="character" w:customStyle="1" w:styleId="InformationTok">
    <w:name w:val="InformationTok"/>
    <w:basedOn w:val="VerbatimChar"/>
    <w:rPr>
      <w:rFonts w:ascii="Noto Serif CJK SC" w:hAnsi="Noto Serif CJK SC" w:eastAsia="Noto Serif CJK SC" w:cs="Noto Serif CJK SC"/>
      <w:b/>
      <w:i/>
      <w:color w:val="60a0b0"/>
      <w:lang w:val="zh-CN" w:eastAsia="zh-CN"/>
    </w:rPr>
  </w:style>
  <w:style w:type="character" w:customStyle="1" w:styleId="WarningTok">
    <w:name w:val="WarningTok"/>
    <w:basedOn w:val="VerbatimChar"/>
    <w:rPr>
      <w:rFonts w:ascii="Noto Serif CJK SC" w:hAnsi="Noto Serif CJK SC" w:eastAsia="Noto Serif CJK SC" w:cs="Noto Serif CJK SC"/>
      <w:b/>
      <w:i/>
      <w:color w:val="60a0b0"/>
      <w:lang w:val="zh-CN" w:eastAsia="zh-CN"/>
    </w:rPr>
  </w:style>
  <w:style w:type="character" w:customStyle="1" w:styleId="AlertTok">
    <w:name w:val="AlertTok"/>
    <w:basedOn w:val="VerbatimChar"/>
    <w:rPr>
      <w:rFonts w:ascii="Noto Serif CJK SC" w:hAnsi="Noto Serif CJK SC" w:eastAsia="Noto Serif CJK SC" w:cs="Noto Serif CJK SC"/>
      <w:b/>
      <w:color w:val="ff0000"/>
      <w:lang w:val="zh-CN" w:eastAsia="zh-CN"/>
    </w:rPr>
  </w:style>
  <w:style w:type="character" w:customStyle="1" w:styleId="ErrorTok">
    <w:name w:val="ErrorTok"/>
    <w:basedOn w:val="VerbatimChar"/>
    <w:rPr>
      <w:rFonts w:ascii="Noto Serif CJK SC" w:hAnsi="Noto Serif CJK SC" w:eastAsia="Noto Serif CJK SC" w:cs="Noto Serif CJK SC"/>
      <w:b/>
      <w:color w:val="ff0000"/>
      <w:lang w:val="zh-CN" w:eastAsia="zh-CN"/>
    </w:rPr>
  </w:style>
  <w:style w:type="character" w:customStyle="1" w:styleId="NormalTok">
    <w:name w:val="NormalTok"/>
    <w:basedOn w:val="VerbatimChar"/>
    <w:rPr>
      <w:rFonts w:ascii="Noto Serif CJK SC" w:hAnsi="Noto Serif CJK SC" w:eastAsia="Noto Serif CJK SC" w:cs="Noto Serif CJK SC"/>
      <w:lang w:val="zh-CN"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2026-10-12T18:43:21Z</dcterms:created>
  <dcterms:modified xsi:type="dcterms:W3CDTF">2026-10-12T18:43:21Z</dcterms:modified>
  <dc:subject>比较公共管理课程文献阅读与汇报</dc:subject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