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3772C5"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3B10C00F"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433279">
        <w:rPr>
          <w:rStyle w:val="Emphasis"/>
          <w:rFonts w:ascii="Arial" w:hAnsi="Arial" w:cs="Arial"/>
          <w:noProof/>
          <w:lang w:val="de-AT"/>
        </w:rPr>
        <w:t>24.07.2021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3772C5">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3772C5">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3772C5">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3772C5">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3772C5">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3772C5">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3772C5">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3772C5">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3772C5">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3772C5">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365AC2C0"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type-conversion.h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1D89CB7A" w:rsidR="00A70305" w:rsidRDefault="00A70305" w:rsidP="00A70305">
      <w:pPr>
        <w:pStyle w:val="Heading3"/>
      </w:pPr>
      <w:bookmarkStart w:id="13" w:name="_Toc78033537"/>
      <w:r>
        <w:t>Relative file names</w:t>
      </w:r>
      <w:bookmarkEnd w:id="13"/>
    </w:p>
    <w:p w14:paraId="74B1BBBB" w14:textId="7FA8D556" w:rsidR="008C7FCF" w:rsidRDefault="00A70305" w:rsidP="00952570">
      <w:pPr>
        <w:ind w:left="226" w:firstLine="0"/>
      </w:pPr>
      <w:r>
        <w:t>In Para-C the implementation of name mangling means that file names are also relative to their name and place, meaning that namings are here important due to the association. Therefore, it should be noted that the name of a file is the name before the first Dot(.) in the name, since the</w:t>
      </w:r>
      <w:r w:rsidRPr="00A70305">
        <w:t xml:space="preserve"> </w:t>
      </w:r>
      <w:r>
        <w:t>Dot(.) is a reserved token in a relative path. If no Dot(.) is in the file, the compiler will log a warning, but use the entire file name.</w:t>
      </w:r>
      <w:r w:rsidR="002A674B">
        <w:t xml:space="preserve"> Spaces are not allowed in the file name but are in the preceding directories.</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65973442" w:rsidR="00EF2D29" w:rsidRDefault="00EF2D29" w:rsidP="00EF2D29">
      <w:pPr>
        <w:pStyle w:val="Heading3"/>
      </w:pPr>
      <w:bookmarkStart w:id="58" w:name="_Toc78033570"/>
      <w:r>
        <w:t>Iterables (Arrays and dynamic Lists)</w:t>
      </w:r>
      <w:bookmarkEnd w:id="58"/>
    </w:p>
    <w:p w14:paraId="74BCA5A2" w14:textId="78FA28CF" w:rsidR="00433279" w:rsidRDefault="00433279" w:rsidP="00433279">
      <w:pPr>
        <w:ind w:left="226" w:firstLine="0"/>
      </w:pPr>
      <w:r>
        <w:t>Inside Para-C, i</w:t>
      </w:r>
      <w:r>
        <w:t xml:space="preserve">terables </w:t>
      </w:r>
      <w:r>
        <w:t xml:space="preserve">such as arrays and dynamic lists are, unlike in C++ or C#, a combined type, due to the nature of lists, meaning that using </w:t>
      </w:r>
      <w:r w:rsidRPr="00433279">
        <w:rPr>
          <w:rStyle w:val="Emphasis"/>
          <w:rFonts w:ascii="Consolas" w:hAnsi="Consolas"/>
          <w:shd w:val="clear" w:color="auto" w:fill="E0E0E0" w:themeFill="accent2" w:themeFillTint="66"/>
        </w:rPr>
        <w:t>int[]</w:t>
      </w:r>
      <w:r>
        <w:t xml:space="preserve"> will result automatically in a dynamic list/array, but if it is never resized it will never utilise the dynamic part practically making it a standard array.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w:t>
      </w:r>
      <w:r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 { };</w:t>
      </w:r>
      <w:r w:rsidRPr="000E74E2">
        <w:rPr>
          <w:rFonts w:ascii="Consolas" w:hAnsi="Consolas"/>
          <w:shd w:val="clear" w:color="auto" w:fill="DFDFDF" w:themeFill="background2" w:themeFillShade="E6"/>
        </w:rPr>
        <w:t xml:space="preserve">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151539C"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5B25B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A57563">
      <w:pPr>
        <w:pStyle w:val="ListParagraph"/>
        <w:numPr>
          <w:ilvl w:val="0"/>
          <w:numId w:val="15"/>
        </w:numPr>
        <w:ind w:left="833"/>
      </w:pPr>
      <w:r>
        <w:t xml:space="preserve">Arrays/Lists should be stretched evenly over multiple lines if the content exceeds the line-limit.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7777777" w:rsidR="00133AD1" w:rsidRDefault="00133AD1" w:rsidP="003965B6">
            <w:pPr>
              <w:spacing w:after="0" w:line="240" w:lineRule="auto"/>
              <w:ind w:firstLine="0"/>
              <w:contextualSpacing/>
            </w:pPr>
            <w:r>
              <w:t>PascalCase</w:t>
            </w:r>
          </w:p>
        </w:tc>
        <w:tc>
          <w:tcPr>
            <w:tcW w:w="2126" w:type="dxa"/>
          </w:tcPr>
          <w:p w14:paraId="426163A9" w14:textId="77777777" w:rsidR="00133AD1" w:rsidRDefault="00133AD1" w:rsidP="003965B6">
            <w:pPr>
              <w:spacing w:after="0" w:line="240" w:lineRule="auto"/>
              <w:ind w:firstLine="0"/>
              <w:contextualSpacing/>
            </w:pPr>
            <w:r>
              <w:t>_PascalCase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lastRenderedPageBreak/>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lastRenderedPageBreak/>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lastRenderedPageBreak/>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p w14:paraId="6EE2362E" w14:textId="19093345" w:rsidR="0060732C" w:rsidRDefault="001F5CBE" w:rsidP="003F6E1C">
      <w:pPr>
        <w:pStyle w:val="Heading2"/>
      </w:pPr>
      <w:bookmarkStart w:id="112" w:name="_Toc78033613"/>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lastRenderedPageBreak/>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w:t>
      </w:r>
      <w:r w:rsidR="00A5403E">
        <w:rPr>
          <w:i/>
          <w:iCs/>
        </w:rPr>
        <w:lastRenderedPageBreak/>
        <w:t xml:space="preserve">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lastRenderedPageBreak/>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lastRenderedPageBreak/>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w:t>
      </w:r>
      <w:r>
        <w:lastRenderedPageBreak/>
        <w:t>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lastRenderedPageBreak/>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lastRenderedPageBreak/>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lastRenderedPageBreak/>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ED1E" w14:textId="77777777" w:rsidR="003772C5" w:rsidRDefault="003772C5">
      <w:pPr>
        <w:spacing w:line="240" w:lineRule="auto"/>
      </w:pPr>
      <w:r>
        <w:separator/>
      </w:r>
    </w:p>
    <w:p w14:paraId="46BA6E71" w14:textId="77777777" w:rsidR="003772C5" w:rsidRDefault="003772C5"/>
  </w:endnote>
  <w:endnote w:type="continuationSeparator" w:id="0">
    <w:p w14:paraId="1D193015" w14:textId="77777777" w:rsidR="003772C5" w:rsidRDefault="003772C5">
      <w:pPr>
        <w:spacing w:line="240" w:lineRule="auto"/>
      </w:pPr>
      <w:r>
        <w:continuationSeparator/>
      </w:r>
    </w:p>
    <w:p w14:paraId="6A565371" w14:textId="77777777" w:rsidR="003772C5" w:rsidRDefault="003772C5"/>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8691B" w14:textId="77777777" w:rsidR="003772C5" w:rsidRDefault="003772C5">
      <w:pPr>
        <w:spacing w:line="240" w:lineRule="auto"/>
      </w:pPr>
      <w:r>
        <w:separator/>
      </w:r>
    </w:p>
    <w:p w14:paraId="72A508B2" w14:textId="77777777" w:rsidR="003772C5" w:rsidRDefault="003772C5"/>
  </w:footnote>
  <w:footnote w:type="continuationSeparator" w:id="0">
    <w:p w14:paraId="2EF9B60E" w14:textId="77777777" w:rsidR="003772C5" w:rsidRDefault="003772C5">
      <w:pPr>
        <w:spacing w:line="240" w:lineRule="auto"/>
      </w:pPr>
      <w:r>
        <w:continuationSeparator/>
      </w:r>
    </w:p>
    <w:p w14:paraId="3CC9FB92" w14:textId="77777777" w:rsidR="003772C5" w:rsidRDefault="003772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3772C5">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5"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27"/>
  </w:num>
  <w:num w:numId="29">
    <w:abstractNumId w:val="26"/>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tqgFACThIns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29"/>
    <w:rsid w:val="00EF44EB"/>
    <w:rsid w:val="00EF511F"/>
    <w:rsid w:val="00EF63A6"/>
    <w:rsid w:val="00F00898"/>
    <w:rsid w:val="00F0281A"/>
    <w:rsid w:val="00F05BE0"/>
    <w:rsid w:val="00F0650C"/>
    <w:rsid w:val="00F0786C"/>
    <w:rsid w:val="00F079D0"/>
    <w:rsid w:val="00F07BEC"/>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930981"/>
    <w:rsid w:val="009343C0"/>
    <w:rsid w:val="00943BD1"/>
    <w:rsid w:val="00951222"/>
    <w:rsid w:val="00984DA9"/>
    <w:rsid w:val="009E2609"/>
    <w:rsid w:val="009F51CB"/>
    <w:rsid w:val="00A34471"/>
    <w:rsid w:val="00A82F9F"/>
    <w:rsid w:val="00AC066C"/>
    <w:rsid w:val="00AF32F7"/>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EC3CC1"/>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10275</Words>
  <Characters>58571</Characters>
  <Application>Microsoft Office Word</Application>
  <DocSecurity>0</DocSecurity>
  <Lines>488</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1894</cp:revision>
  <cp:lastPrinted>2021-05-14T22:20:00Z</cp:lastPrinted>
  <dcterms:created xsi:type="dcterms:W3CDTF">2021-05-07T21:36:00Z</dcterms:created>
  <dcterms:modified xsi:type="dcterms:W3CDTF">2021-07-24T19:53:00Z</dcterms:modified>
</cp:coreProperties>
</file>