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Fonts w:ascii="Times New Roman" w:hAnsi="Times New Roman" w:eastAsia="宋体"/>
          <w:b w:val="0"/>
          <w:sz w:val="24"/>
        </w:rPr>
        <w:t>（装订线内不要答题）</w:t>
      </w:r>
    </w:p>
    <w:p>
      <w:pPr>
        <w:pStyle w:val="Normal"/>
        <w:spacing w:lineRule="auto" w:line="360" w:before="0" w:after="0"/>
        <w:jc w:val="center"/>
        <w:rPr/>
      </w:pPr>
      <w:r>
        <w:rPr>
          <w:rFonts w:ascii="Times New Roman" w:hAnsi="Times New Roman" w:eastAsia="宋体"/>
          <w:b w:val="0"/>
          <w:sz w:val="24"/>
        </w:rPr>
        <w:t>复旦大学历史学系</w:t>
      </w:r>
      <w:r>
        <w:rPr>
          <w:rFonts w:eastAsia="宋体" w:ascii="Times New Roman" w:hAnsi="Times New Roman"/>
          <w:b w:val="0"/>
          <w:sz w:val="24"/>
        </w:rPr>
        <w:t>/</w:t>
      </w:r>
      <w:r>
        <w:rPr>
          <w:rFonts w:ascii="Times New Roman" w:hAnsi="Times New Roman" w:eastAsia="宋体"/>
          <w:b w:val="0"/>
          <w:sz w:val="24"/>
        </w:rPr>
        <w:t>旅游学系</w:t>
      </w:r>
    </w:p>
    <w:p>
      <w:pPr>
        <w:pStyle w:val="Normal"/>
        <w:spacing w:lineRule="auto" w:line="360" w:before="0" w:after="0"/>
        <w:jc w:val="center"/>
        <w:rPr/>
      </w:pPr>
      <w:r>
        <w:rPr>
          <w:rFonts w:eastAsia="宋体" w:ascii="Times New Roman" w:hAnsi="Times New Roman"/>
          <w:b w:val="0"/>
          <w:sz w:val="24"/>
        </w:rPr>
        <w:t>2025~2026</w:t>
      </w:r>
      <w:r>
        <w:rPr>
          <w:rFonts w:ascii="Times New Roman" w:hAnsi="Times New Roman" w:eastAsia="宋体"/>
          <w:b w:val="0"/>
          <w:sz w:val="24"/>
        </w:rPr>
        <w:t>学年 第二学期期末考试试卷</w:t>
      </w:r>
    </w:p>
    <w:p>
      <w:pPr>
        <w:pStyle w:val="Normal"/>
        <w:spacing w:lineRule="auto" w:line="360" w:before="0" w:after="0"/>
        <w:jc w:val="center"/>
        <w:rPr/>
      </w:pPr>
      <w:r>
        <w:rPr>
          <w:rFonts w:eastAsia="宋体" w:ascii="Times New Roman" w:hAnsi="Times New Roman"/>
          <w:b w:val="0"/>
          <w:sz w:val="24"/>
        </w:rPr>
        <w:t xml:space="preserve">A </w:t>
      </w:r>
      <w:r>
        <w:rPr>
          <w:rFonts w:ascii="Times New Roman" w:hAnsi="Times New Roman" w:eastAsia="宋体"/>
          <w:b w:val="0"/>
          <w:sz w:val="24"/>
        </w:rPr>
        <w:t>卷（</w:t>
      </w:r>
      <w:r>
        <w:rPr>
          <w:rFonts w:eastAsia="宋体" w:ascii="Times New Roman" w:hAnsi="Times New Roman"/>
          <w:b w:val="0"/>
          <w:sz w:val="24"/>
        </w:rPr>
        <w:t>A/B/C</w:t>
      </w:r>
      <w:r>
        <w:rPr>
          <w:rFonts w:ascii="Times New Roman" w:hAnsi="Times New Roman" w:eastAsia="宋体"/>
          <w:b w:val="0"/>
          <w:sz w:val="24"/>
        </w:rPr>
        <w:t>）</w:t>
      </w:r>
    </w:p>
    <w:p>
      <w:pPr>
        <w:pStyle w:val="Normal"/>
        <w:spacing w:lineRule="auto" w:line="360" w:before="0" w:after="0"/>
        <w:rPr/>
      </w:pPr>
      <w:r>
        <w:rPr>
          <w:rFonts w:ascii="Times New Roman" w:hAnsi="Times New Roman" w:eastAsia="宋体"/>
          <w:b w:val="0"/>
          <w:sz w:val="24"/>
        </w:rPr>
        <w:t>课程代码：</w:t>
      </w:r>
      <w:r>
        <w:rPr>
          <w:rFonts w:eastAsia="宋体" w:ascii="Times New Roman" w:hAnsi="Times New Roman"/>
          <w:b w:val="0"/>
          <w:sz w:val="24"/>
        </w:rPr>
        <w:t xml:space="preserve">GECC10086.01    </w:t>
      </w:r>
      <w:r>
        <w:rPr>
          <w:rFonts w:ascii="Times New Roman" w:hAnsi="Times New Roman" w:eastAsia="宋体"/>
          <w:b w:val="0"/>
          <w:sz w:val="24"/>
        </w:rPr>
        <w:t>课程名称：雅典</w:t>
      </w:r>
      <w:r>
        <w:rPr>
          <w:rFonts w:eastAsia="宋体" w:ascii="Times New Roman" w:hAnsi="Times New Roman"/>
          <w:b w:val="0"/>
          <w:sz w:val="24"/>
        </w:rPr>
        <w:t>-</w:t>
      </w:r>
      <w:r>
        <w:rPr>
          <w:rFonts w:ascii="Times New Roman" w:hAnsi="Times New Roman" w:eastAsia="宋体"/>
          <w:b w:val="0"/>
          <w:sz w:val="24"/>
        </w:rPr>
        <w:t>斯巴达战争年代的古希腊文学</w:t>
      </w:r>
    </w:p>
    <w:p>
      <w:pPr>
        <w:pStyle w:val="Normal"/>
        <w:spacing w:lineRule="auto" w:line="360" w:before="0" w:after="0"/>
        <w:rPr/>
      </w:pPr>
      <w:r>
        <w:rPr>
          <w:rFonts w:ascii="Times New Roman" w:hAnsi="Times New Roman" w:eastAsia="宋体"/>
          <w:b w:val="0"/>
          <w:sz w:val="24"/>
        </w:rPr>
        <w:t>开课院系：哲学学院    考试形式：课程论文</w:t>
      </w:r>
    </w:p>
    <w:p>
      <w:pPr>
        <w:pStyle w:val="Normal"/>
        <w:spacing w:lineRule="auto" w:line="360" w:before="0" w:after="0"/>
        <w:rPr/>
      </w:pPr>
      <w:r>
        <w:rPr>
          <w:rFonts w:ascii="Times New Roman" w:hAnsi="Times New Roman" w:eastAsia="宋体"/>
          <w:b w:val="0"/>
          <w:sz w:val="24"/>
        </w:rPr>
        <w:t>学号：</w:t>
      </w:r>
      <w:r>
        <w:rPr>
          <w:rFonts w:eastAsia="宋体" w:ascii="Times New Roman" w:hAnsi="Times New Roman"/>
          <w:b w:val="0"/>
          <w:sz w:val="24"/>
        </w:rPr>
        <w:t xml:space="preserve">22307100011    </w:t>
      </w:r>
      <w:r>
        <w:rPr>
          <w:rFonts w:ascii="Times New Roman" w:hAnsi="Times New Roman" w:eastAsia="宋体"/>
          <w:b w:val="0"/>
          <w:sz w:val="24"/>
        </w:rPr>
        <w:t>姓名：王鲲淏</w:t>
      </w:r>
    </w:p>
    <w:p>
      <w:pPr>
        <w:pStyle w:val="Normal"/>
        <w:spacing w:lineRule="auto" w:line="360" w:before="0" w:after="0"/>
        <w:rPr/>
      </w:pPr>
      <w:r>
        <w:rPr>
          <w:rFonts w:ascii="Times New Roman" w:hAnsi="Times New Roman" w:eastAsia="宋体"/>
          <w:b w:val="0"/>
          <w:sz w:val="24"/>
        </w:rPr>
        <w:t>专业：管理科学</w:t>
      </w:r>
    </w:p>
    <w:p>
      <w:pPr>
        <w:pStyle w:val="Normal"/>
        <w:spacing w:lineRule="auto" w:line="360" w:before="0" w:after="0"/>
        <w:ind w:firstLine="480"/>
        <w:rPr/>
      </w:pPr>
      <w:r>
        <w:rPr>
          <w:rFonts w:ascii="Times New Roman" w:hAnsi="Times New Roman" w:eastAsia="宋体"/>
          <w:b w:val="0"/>
          <w:sz w:val="24"/>
        </w:rPr>
        <w:t>提示：请同学们秉持诚实守信宗旨，谨守考试纪律，摒弃考试作弊。学生如有违反学校考试纪律的行为，学校将按《复旦大学学生纪律处分条例》规定予以严肃处理。</w:t>
      </w:r>
    </w:p>
    <w:tbl>
      <w:tblPr>
        <w:tblStyle w:val="TableGrid"/>
        <w:tblW w:w="873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3"/>
        <w:gridCol w:w="873"/>
        <w:gridCol w:w="873"/>
        <w:gridCol w:w="873"/>
        <w:gridCol w:w="873"/>
        <w:gridCol w:w="873"/>
        <w:gridCol w:w="873"/>
        <w:gridCol w:w="873"/>
        <w:gridCol w:w="873"/>
        <w:gridCol w:w="872"/>
      </w:tblGrid>
      <w:tr>
        <w:trPr/>
        <w:tc>
          <w:tcPr>
            <w:tcW w:w="873" w:type="dxa"/>
            <w:tcBorders/>
          </w:tcPr>
          <w:p>
            <w:pPr>
              <w:pStyle w:val="Normal"/>
              <w:widowControl/>
              <w:spacing w:lineRule="auto" w:line="360" w:before="0" w:after="0"/>
              <w:jc w:val="center"/>
              <w:rPr>
                <w:rFonts w:cs=""/>
                <w:kern w:val="0"/>
                <w:szCs w:val="22"/>
                <w:lang w:val="en-US" w:eastAsia="en-US" w:bidi="ar-SA"/>
              </w:rPr>
            </w:pPr>
            <w:r>
              <w:rPr>
                <w:rFonts w:ascii="Times New Roman" w:hAnsi="Times New Roman" w:cs=""/>
                <w:b/>
                <w:kern w:val="0"/>
                <w:sz w:val="24"/>
                <w:szCs w:val="22"/>
                <w:lang w:val="en-US" w:eastAsia="en-US" w:bidi="ar-SA"/>
              </w:rPr>
              <w:t>题号</w:t>
            </w:r>
          </w:p>
        </w:tc>
        <w:tc>
          <w:tcPr>
            <w:tcW w:w="873" w:type="dxa"/>
            <w:tcBorders/>
          </w:tcPr>
          <w:p>
            <w:pPr>
              <w:pStyle w:val="Normal"/>
              <w:widowControl/>
              <w:spacing w:lineRule="auto" w:line="360" w:before="0" w:after="0"/>
              <w:jc w:val="center"/>
              <w:rPr>
                <w:rFonts w:cs=""/>
                <w:kern w:val="0"/>
                <w:szCs w:val="22"/>
                <w:lang w:val="en-US" w:eastAsia="en-US" w:bidi="ar-SA"/>
              </w:rPr>
            </w:pPr>
            <w:r>
              <w:rPr>
                <w:rFonts w:eastAsia="宋体" w:cs=""/>
                <w:b/>
                <w:kern w:val="0"/>
                <w:sz w:val="24"/>
                <w:szCs w:val="22"/>
                <w:lang w:val="en-US" w:eastAsia="en-US" w:bidi="ar-SA"/>
              </w:rPr>
              <w:t>1</w:t>
            </w:r>
          </w:p>
        </w:tc>
        <w:tc>
          <w:tcPr>
            <w:tcW w:w="873" w:type="dxa"/>
            <w:tcBorders/>
          </w:tcPr>
          <w:p>
            <w:pPr>
              <w:pStyle w:val="Normal"/>
              <w:widowControl/>
              <w:spacing w:lineRule="auto" w:line="360" w:before="0" w:after="0"/>
              <w:jc w:val="center"/>
              <w:rPr>
                <w:rFonts w:cs=""/>
                <w:kern w:val="0"/>
                <w:szCs w:val="22"/>
                <w:lang w:val="en-US" w:eastAsia="en-US" w:bidi="ar-SA"/>
              </w:rPr>
            </w:pPr>
            <w:r>
              <w:rPr>
                <w:rFonts w:eastAsia="宋体" w:cs=""/>
                <w:b/>
                <w:kern w:val="0"/>
                <w:sz w:val="24"/>
                <w:szCs w:val="22"/>
                <w:lang w:val="en-US" w:eastAsia="en-US" w:bidi="ar-SA"/>
              </w:rPr>
              <w:t>2</w:t>
            </w:r>
          </w:p>
        </w:tc>
        <w:tc>
          <w:tcPr>
            <w:tcW w:w="873" w:type="dxa"/>
            <w:tcBorders/>
          </w:tcPr>
          <w:p>
            <w:pPr>
              <w:pStyle w:val="Normal"/>
              <w:widowControl/>
              <w:spacing w:lineRule="auto" w:line="360" w:before="0" w:after="0"/>
              <w:jc w:val="center"/>
              <w:rPr>
                <w:rFonts w:cs=""/>
                <w:kern w:val="0"/>
                <w:szCs w:val="22"/>
                <w:lang w:val="en-US" w:eastAsia="en-US" w:bidi="ar-SA"/>
              </w:rPr>
            </w:pPr>
            <w:r>
              <w:rPr>
                <w:rFonts w:eastAsia="宋体" w:cs=""/>
                <w:b/>
                <w:kern w:val="0"/>
                <w:sz w:val="24"/>
                <w:szCs w:val="22"/>
                <w:lang w:val="en-US" w:eastAsia="en-US" w:bidi="ar-SA"/>
              </w:rPr>
              <w:t>3</w:t>
            </w:r>
          </w:p>
        </w:tc>
        <w:tc>
          <w:tcPr>
            <w:tcW w:w="873" w:type="dxa"/>
            <w:tcBorders/>
          </w:tcPr>
          <w:p>
            <w:pPr>
              <w:pStyle w:val="Normal"/>
              <w:widowControl/>
              <w:spacing w:lineRule="auto" w:line="360" w:before="0" w:after="0"/>
              <w:jc w:val="center"/>
              <w:rPr>
                <w:rFonts w:cs=""/>
                <w:kern w:val="0"/>
                <w:szCs w:val="22"/>
                <w:lang w:val="en-US" w:eastAsia="en-US" w:bidi="ar-SA"/>
              </w:rPr>
            </w:pPr>
            <w:r>
              <w:rPr>
                <w:rFonts w:eastAsia="宋体" w:cs=""/>
                <w:b/>
                <w:kern w:val="0"/>
                <w:sz w:val="24"/>
                <w:szCs w:val="22"/>
                <w:lang w:val="en-US" w:eastAsia="en-US" w:bidi="ar-SA"/>
              </w:rPr>
              <w:t>4</w:t>
            </w:r>
          </w:p>
        </w:tc>
        <w:tc>
          <w:tcPr>
            <w:tcW w:w="873" w:type="dxa"/>
            <w:tcBorders/>
          </w:tcPr>
          <w:p>
            <w:pPr>
              <w:pStyle w:val="Normal"/>
              <w:widowControl/>
              <w:spacing w:lineRule="auto" w:line="360" w:before="0" w:after="0"/>
              <w:jc w:val="center"/>
              <w:rPr>
                <w:rFonts w:cs=""/>
                <w:kern w:val="0"/>
                <w:szCs w:val="22"/>
                <w:lang w:val="en-US" w:eastAsia="en-US" w:bidi="ar-SA"/>
              </w:rPr>
            </w:pPr>
            <w:r>
              <w:rPr>
                <w:rFonts w:eastAsia="宋体" w:cs=""/>
                <w:b/>
                <w:kern w:val="0"/>
                <w:sz w:val="24"/>
                <w:szCs w:val="22"/>
                <w:lang w:val="en-US" w:eastAsia="en-US" w:bidi="ar-SA"/>
              </w:rPr>
              <w:t>5</w:t>
            </w:r>
          </w:p>
        </w:tc>
        <w:tc>
          <w:tcPr>
            <w:tcW w:w="873" w:type="dxa"/>
            <w:tcBorders/>
          </w:tcPr>
          <w:p>
            <w:pPr>
              <w:pStyle w:val="Normal"/>
              <w:widowControl/>
              <w:spacing w:lineRule="auto" w:line="360" w:before="0" w:after="0"/>
              <w:jc w:val="center"/>
              <w:rPr>
                <w:rFonts w:cs=""/>
                <w:kern w:val="0"/>
                <w:szCs w:val="22"/>
                <w:lang w:val="en-US" w:eastAsia="en-US" w:bidi="ar-SA"/>
              </w:rPr>
            </w:pPr>
            <w:r>
              <w:rPr>
                <w:rFonts w:eastAsia="宋体" w:cs=""/>
                <w:b/>
                <w:kern w:val="0"/>
                <w:sz w:val="24"/>
                <w:szCs w:val="22"/>
                <w:lang w:val="en-US" w:eastAsia="en-US" w:bidi="ar-SA"/>
              </w:rPr>
              <w:t>6</w:t>
            </w:r>
          </w:p>
        </w:tc>
        <w:tc>
          <w:tcPr>
            <w:tcW w:w="873" w:type="dxa"/>
            <w:tcBorders/>
          </w:tcPr>
          <w:p>
            <w:pPr>
              <w:pStyle w:val="Normal"/>
              <w:widowControl/>
              <w:spacing w:lineRule="auto" w:line="360" w:before="0" w:after="0"/>
              <w:jc w:val="center"/>
              <w:rPr>
                <w:rFonts w:cs=""/>
                <w:kern w:val="0"/>
                <w:szCs w:val="22"/>
                <w:lang w:val="en-US" w:eastAsia="en-US" w:bidi="ar-SA"/>
              </w:rPr>
            </w:pPr>
            <w:r>
              <w:rPr>
                <w:rFonts w:eastAsia="宋体" w:cs=""/>
                <w:b/>
                <w:kern w:val="0"/>
                <w:sz w:val="24"/>
                <w:szCs w:val="22"/>
                <w:lang w:val="en-US" w:eastAsia="en-US" w:bidi="ar-SA"/>
              </w:rPr>
              <w:t>7</w:t>
            </w:r>
          </w:p>
        </w:tc>
        <w:tc>
          <w:tcPr>
            <w:tcW w:w="873" w:type="dxa"/>
            <w:tcBorders/>
          </w:tcPr>
          <w:p>
            <w:pPr>
              <w:pStyle w:val="Normal"/>
              <w:widowControl/>
              <w:spacing w:lineRule="auto" w:line="360" w:before="0" w:after="0"/>
              <w:jc w:val="center"/>
              <w:rPr>
                <w:rFonts w:cs=""/>
                <w:kern w:val="0"/>
                <w:szCs w:val="22"/>
                <w:lang w:val="en-US" w:eastAsia="en-US" w:bidi="ar-SA"/>
              </w:rPr>
            </w:pPr>
            <w:r>
              <w:rPr>
                <w:rFonts w:eastAsia="宋体" w:cs=""/>
                <w:b/>
                <w:kern w:val="0"/>
                <w:sz w:val="24"/>
                <w:szCs w:val="22"/>
                <w:lang w:val="en-US" w:eastAsia="en-US" w:bidi="ar-SA"/>
              </w:rPr>
              <w:t>8</w:t>
            </w:r>
          </w:p>
        </w:tc>
        <w:tc>
          <w:tcPr>
            <w:tcW w:w="872" w:type="dxa"/>
            <w:tcBorders/>
          </w:tcPr>
          <w:p>
            <w:pPr>
              <w:pStyle w:val="Normal"/>
              <w:widowControl/>
              <w:spacing w:lineRule="auto" w:line="360" w:before="0" w:after="0"/>
              <w:jc w:val="center"/>
              <w:rPr>
                <w:rFonts w:cs=""/>
                <w:kern w:val="0"/>
                <w:szCs w:val="22"/>
                <w:lang w:val="en-US" w:eastAsia="en-US" w:bidi="ar-SA"/>
              </w:rPr>
            </w:pPr>
            <w:r>
              <w:rPr>
                <w:rFonts w:ascii="Times New Roman" w:hAnsi="Times New Roman" w:cs=""/>
                <w:b/>
                <w:kern w:val="0"/>
                <w:sz w:val="24"/>
                <w:szCs w:val="22"/>
                <w:lang w:val="en-US" w:eastAsia="en-US" w:bidi="ar-SA"/>
              </w:rPr>
              <w:t>总分</w:t>
            </w:r>
          </w:p>
        </w:tc>
      </w:tr>
      <w:tr>
        <w:trPr/>
        <w:tc>
          <w:tcPr>
            <w:tcW w:w="873" w:type="dxa"/>
            <w:tcBorders/>
          </w:tcPr>
          <w:p>
            <w:pPr>
              <w:pStyle w:val="Normal"/>
              <w:widowControl/>
              <w:spacing w:lineRule="auto" w:line="360" w:before="0" w:after="0"/>
              <w:jc w:val="center"/>
              <w:rPr>
                <w:rFonts w:cs=""/>
                <w:kern w:val="0"/>
                <w:szCs w:val="22"/>
                <w:lang w:val="en-US" w:eastAsia="en-US" w:bidi="ar-SA"/>
              </w:rPr>
            </w:pPr>
            <w:r>
              <w:rPr>
                <w:rFonts w:ascii="Times New Roman" w:hAnsi="Times New Roman" w:cs=""/>
                <w:b w:val="false"/>
                <w:kern w:val="0"/>
                <w:sz w:val="24"/>
                <w:szCs w:val="22"/>
                <w:lang w:val="en-US" w:eastAsia="en-US" w:bidi="ar-SA"/>
              </w:rPr>
              <w:t>得分</w:t>
            </w:r>
          </w:p>
        </w:tc>
        <w:tc>
          <w:tcPr>
            <w:tcW w:w="873"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c>
          <w:tcPr>
            <w:tcW w:w="873"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c>
          <w:tcPr>
            <w:tcW w:w="873"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c>
          <w:tcPr>
            <w:tcW w:w="873"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c>
          <w:tcPr>
            <w:tcW w:w="873"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c>
          <w:tcPr>
            <w:tcW w:w="873"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c>
          <w:tcPr>
            <w:tcW w:w="873"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c>
          <w:tcPr>
            <w:tcW w:w="873"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c>
          <w:tcPr>
            <w:tcW w:w="872" w:type="dxa"/>
            <w:tcBorders/>
          </w:tcPr>
          <w:p>
            <w:pPr>
              <w:pStyle w:val="Normal"/>
              <w:widowControl/>
              <w:spacing w:lineRule="auto" w:line="360" w:before="0" w:after="0"/>
              <w:jc w:val="center"/>
              <w:rPr>
                <w:rFonts w:cs=""/>
                <w:kern w:val="0"/>
                <w:szCs w:val="22"/>
                <w:lang w:val="en-US" w:eastAsia="en-US" w:bidi="ar-SA"/>
              </w:rPr>
            </w:pPr>
            <w:r>
              <w:rPr>
                <w:rFonts w:cs=""/>
                <w:kern w:val="0"/>
                <w:szCs w:val="22"/>
                <w:lang w:val="en-US" w:eastAsia="en-US" w:bidi="ar-SA"/>
              </w:rPr>
            </w:r>
          </w:p>
        </w:tc>
      </w:tr>
    </w:tbl>
    <w:p>
      <w:pPr>
        <w:pStyle w:val="Normal"/>
        <w:spacing w:lineRule="auto" w:line="360" w:before="0" w:after="120"/>
        <w:jc w:val="center"/>
        <w:rPr/>
      </w:pPr>
      <w:r>
        <w:rPr>
          <w:rFonts w:ascii="Times New Roman" w:hAnsi="Times New Roman" w:eastAsia="宋体"/>
          <w:b w:val="0"/>
          <w:sz w:val="24"/>
        </w:rPr>
        <w:t>（以下为试卷正文或课程论文题目）</w:t>
      </w:r>
    </w:p>
    <w:p>
      <w:pPr>
        <w:spacing w:line="360" w:lineRule="auto" w:before="0" w:after="120"/>
        <w:ind w:firstLine="0"/>
        <w:jc w:val="left"/>
      </w:pPr>
      <w:r>
        <w:rPr>
          <w:rFonts w:ascii="Times New Roman" w:hAnsi="Times New Roman" w:eastAsia="宋体"/>
          <w:b w:val="0"/>
          <w:sz w:val="24"/>
        </w:rPr>
        <w:t>22307100011王鲲淏</w:t>
      </w:r>
    </w:p>
    <w:p>
      <w:pPr>
        <w:spacing w:line="360" w:lineRule="auto" w:before="120" w:after="120"/>
        <w:ind w:firstLine="0"/>
        <w:jc w:val="center"/>
      </w:pPr>
      <w:r>
        <w:rPr>
          <w:rFonts w:ascii="Times New Roman" w:hAnsi="Times New Roman" w:eastAsia="宋体"/>
          <w:b/>
          <w:sz w:val="28"/>
        </w:rPr>
        <w:t>Christ 1994《希罗多德国王与历史探究》文献综述</w:t>
      </w:r>
    </w:p>
    <w:p>
      <w:pPr>
        <w:spacing w:line="360" w:lineRule="auto" w:before="0" w:after="120"/>
        <w:ind w:firstLine="0"/>
        <w:jc w:val="left"/>
      </w:pPr>
      <w:r>
        <w:rPr>
          <w:rFonts w:ascii="Times New Roman" w:hAnsi="Times New Roman" w:eastAsia="宋体"/>
          <w:b w:val="0"/>
          <w:sz w:val="24"/>
        </w:rPr>
        <w:t>综述文献：Matthew R. Christ, “Herodotean Kings and Historical Inquiry,” Classical Antiquity 13.2 (1994): 167-202.</w:t>
      </w:r>
    </w:p>
    <w:p>
      <w:pPr>
        <w:spacing w:line="360" w:lineRule="auto" w:before="180" w:after="120"/>
        <w:ind w:firstLine="0"/>
        <w:jc w:val="center"/>
      </w:pPr>
      <w:r>
        <w:rPr>
          <w:rFonts w:ascii="Times New Roman" w:hAnsi="Times New Roman" w:eastAsia="宋体"/>
          <w:b/>
          <w:sz w:val="24"/>
        </w:rPr>
        <w:t>核心观点与写作思路</w:t>
      </w:r>
    </w:p>
    <w:p>
      <w:pPr>
        <w:spacing w:line="360" w:lineRule="auto" w:before="0" w:after="60"/>
        <w:ind w:firstLine="480"/>
        <w:jc w:val="both"/>
      </w:pPr>
      <w:r>
        <w:rPr>
          <w:rFonts w:ascii="Times New Roman" w:hAnsi="Times New Roman" w:eastAsia="宋体"/>
          <w:b w:val="0"/>
          <w:sz w:val="24"/>
        </w:rPr>
        <w:t>Christ 这篇文章讨论《历史》中反复出现的一类人物：带着强烈求知欲的蛮族国王。文章的中心判断可以概括为：希罗多德通过国王的调查、测量、实验、审问和远征，展示历史探究的力量，也展示探究在权力结构中变形的方式。国王在希罗多德叙事中拥有远超普通人的资源，能够派遣使者、征调军队、逼迫证人、检验神谕、测量河流和考察异邦。这样的能力让他们接近历史家的位置；他们同样面对材料来源、观察方式、推理标准和解释后果等问题。与此同时，王权的目标常常把求知活动引向征服、炫耀和惩罚。Christ 因而把国王看作历史家的镜像：这一镜像时而清晰，时而扭曲，帮助读者理解希罗多德心中合宜的 inquiry。</w:t>
      </w:r>
    </w:p>
    <w:p>
      <w:pPr>
        <w:spacing w:line="360" w:lineRule="auto" w:before="0" w:after="60"/>
        <w:ind w:firstLine="480"/>
        <w:jc w:val="both"/>
      </w:pPr>
      <w:r>
        <w:rPr>
          <w:rFonts w:ascii="Times New Roman" w:hAnsi="Times New Roman" w:eastAsia="宋体"/>
          <w:b w:val="0"/>
          <w:sz w:val="24"/>
        </w:rPr>
        <w:t>文章的写法很有层次。开篇先说明问题意识：希罗多德很少在正文之外系统宣布自己的方法，读者需要在叙事场景中观察他如何安排求知行为。接着，Christ 按照国王探究的形式推进：第一部分讨论好奇心和观察，第二部分讨论测量与计数，第三部分讨论探险与帝国知识，第四部分讨论实验、审问与拷问，第五部分讨论对神意的检验，最后回到历史类型和元历史意义。这样的结构让文章兼具文本细读和方法论概括：每个故事都保留自身情节，又被纳入“国王如何求知”这一连续问题。</w:t>
      </w:r>
    </w:p>
    <w:p>
      <w:pPr>
        <w:spacing w:line="360" w:lineRule="auto" w:before="0" w:after="60"/>
        <w:ind w:firstLine="480"/>
        <w:jc w:val="both"/>
      </w:pPr>
      <w:r>
        <w:rPr>
          <w:rFonts w:ascii="Times New Roman" w:hAnsi="Times New Roman" w:eastAsia="宋体"/>
          <w:b w:val="0"/>
          <w:sz w:val="24"/>
        </w:rPr>
        <w:t>从优秀读书笔记的写法来看，一篇综述需要先厘清作者面对的文本疑问，再说明作者怎样组织论据，最后评价其解释的得失。下文据此展开。文章所处理的关键内容超出国王形象的一般性描写，重点在于国王如何成为希罗多德讨论历史认识的工具。Christ 的论点由一组彼此照应的案例构成：大流士看见派奥尼亚女子而发问，薛西斯清点大军并眺望山河，冈比西斯派人侦察埃塞俄比亚，普萨美提库斯用婴儿实验追问最古老的语言，克洛伊索斯检验神谕，阿尔塔巴努斯试验梦境。每个故事都把“想知道”放在叙事开端，也把“怎样知道”放进伦理和政治关系之中。</w:t>
      </w:r>
    </w:p>
    <w:p>
      <w:pPr>
        <w:spacing w:line="360" w:lineRule="auto" w:before="0" w:after="60"/>
        <w:ind w:firstLine="480"/>
        <w:jc w:val="both"/>
      </w:pPr>
      <w:r>
        <w:rPr>
          <w:rFonts w:ascii="Times New Roman" w:hAnsi="Times New Roman" w:eastAsia="宋体"/>
          <w:b w:val="0"/>
          <w:sz w:val="24"/>
        </w:rPr>
        <w:t>Christ 最有启发性的地方在于，他把希罗多德的历史写作理解为对探究本身的探究。国王提出问题，派人调查，收集证言，要求亲见，设计验证程序，这些行为与历史家工作相通。国王依赖命令、恐惧、诱捕、财富和军力，这些条件又不断污染知识。希罗多德在叙事中以人物行动讲述方法原则，让读者跟随一个个国王观察求知的成败。读者在这些场景里学到的是一种判断力：知识的获得需要证据，也需要节制；需要好奇心，也需要承认他者和神意的限度；需要推理，也需要面对推理带来的责任。</w:t>
      </w:r>
    </w:p>
    <w:p>
      <w:pPr>
        <w:spacing w:line="360" w:lineRule="auto" w:before="180" w:after="120"/>
        <w:ind w:firstLine="0"/>
        <w:jc w:val="center"/>
      </w:pPr>
      <w:r>
        <w:rPr>
          <w:rFonts w:ascii="Times New Roman" w:hAnsi="Times New Roman" w:eastAsia="宋体"/>
          <w:b/>
          <w:sz w:val="24"/>
        </w:rPr>
        <w:t>一、好奇的国王与历史家的镜像</w:t>
      </w:r>
    </w:p>
    <w:p>
      <w:pPr>
        <w:spacing w:line="360" w:lineRule="auto" w:before="0" w:after="60"/>
        <w:ind w:firstLine="480"/>
        <w:jc w:val="both"/>
      </w:pPr>
      <w:r>
        <w:rPr>
          <w:rFonts w:ascii="Times New Roman" w:hAnsi="Times New Roman" w:eastAsia="宋体"/>
          <w:b w:val="0"/>
          <w:sz w:val="24"/>
        </w:rPr>
        <w:t>文章第一部分以“大流士与派奥尼亚女子”的故事作为入口。大流士在萨第斯看见一个女子同时顶水罐、牵马、纺线，这一奇观激发了他的好奇。希罗多德安排的叙事顺序很清楚：国王先注意到异于常态的现象，再派侍卫跟踪，随后询问女子的出身与族属，最后把得到的信息转化为对派奥尼亚人的行动。Christ 指出，这一过程与希罗多德自己的历史兴趣有显著相似性。希罗多德同样被奇异风俗吸引，同样重视眼见、传闻和追问，同样把个别现象置于民族和地理知识之中。</w:t>
      </w:r>
    </w:p>
    <w:p>
      <w:pPr>
        <w:spacing w:line="360" w:lineRule="auto" w:before="0" w:after="60"/>
        <w:ind w:firstLine="480"/>
        <w:jc w:val="both"/>
      </w:pPr>
      <w:r>
        <w:rPr>
          <w:rFonts w:ascii="Times New Roman" w:hAnsi="Times New Roman" w:eastAsia="宋体"/>
          <w:b w:val="0"/>
          <w:sz w:val="24"/>
        </w:rPr>
        <w:t>相似性之外，这个故事还有更深意义。大流士的调查由侍卫监视展开，女子和她的兄弟处在王权目光之下，调查结论又迅速导向政治控制。派奥尼亚兄弟在故事开端已经有意展示女子的劳动能力，希望借此引起国王注意。于是，国王似乎是主动的观察者，同时也被他人设计出来的表演牵引。Christ 抓住这一点，说明希罗多德笔下的探究从来带有双重性：观察者相信自己掌握对象，叙事却显示对象也会塑造观察过程。</w:t>
      </w:r>
    </w:p>
    <w:p>
      <w:pPr>
        <w:spacing w:line="360" w:lineRule="auto" w:before="0" w:after="60"/>
        <w:ind w:firstLine="480"/>
        <w:jc w:val="both"/>
      </w:pPr>
      <w:r>
        <w:rPr>
          <w:rFonts w:ascii="Times New Roman" w:hAnsi="Times New Roman" w:eastAsia="宋体"/>
          <w:b w:val="0"/>
          <w:sz w:val="24"/>
        </w:rPr>
        <w:t>这个例子奠定了全文基调。国王具有历史家的某些能力，却把调查置于等级化关系中。希罗多德借此让读者看到 inquiry 的两个条件：一方面，探究需要对异常现象保持敏感；另一方面，探究者所处的位置会影响问题的提出和答案的使用。大流士的好奇心在形式上接近历史写作，在结果上却服务于扩张。Christ 因而把大流士看作一种扭曲镜像：他让历史家的方法显形，也让方法背后的伦理条件显形。</w:t>
      </w:r>
    </w:p>
    <w:p>
      <w:pPr>
        <w:spacing w:line="360" w:lineRule="auto" w:before="0" w:after="60"/>
        <w:ind w:firstLine="480"/>
        <w:jc w:val="both"/>
      </w:pPr>
      <w:r>
        <w:rPr>
          <w:rFonts w:ascii="Times New Roman" w:hAnsi="Times New Roman" w:eastAsia="宋体"/>
          <w:b w:val="0"/>
          <w:sz w:val="24"/>
        </w:rPr>
        <w:t>这部分论证的细腻处在于，Christ 保留了大流士的观察力与求知欲，甚至强调他能在派奥尼亚女子身上辨认出值得追问的 ethnographic wonder。国王形象因此获得复杂性。希罗多德既利用国王的好奇推进叙事，也利用同一好奇揭示王权的侵入性。读者在这里看到的国王既像历史家，又在关键环节上偏离历史家的合宜位置。这样的开端使全文的主线稳定下来：Christ 更强调国王承担的元历史功能，使国王形象获得超出政治反面人物的复杂性。</w:t>
      </w:r>
    </w:p>
    <w:p>
      <w:pPr>
        <w:spacing w:line="360" w:lineRule="auto" w:before="180" w:after="120"/>
        <w:ind w:firstLine="0"/>
        <w:jc w:val="center"/>
      </w:pPr>
      <w:r>
        <w:rPr>
          <w:rFonts w:ascii="Times New Roman" w:hAnsi="Times New Roman" w:eastAsia="宋体"/>
          <w:b/>
          <w:sz w:val="24"/>
        </w:rPr>
        <w:t>二、测量、计数与自我扩张</w:t>
      </w:r>
    </w:p>
    <w:p>
      <w:pPr>
        <w:spacing w:line="360" w:lineRule="auto" w:before="0" w:after="60"/>
        <w:ind w:firstLine="480"/>
        <w:jc w:val="both"/>
      </w:pPr>
      <w:r>
        <w:rPr>
          <w:rFonts w:ascii="Times New Roman" w:hAnsi="Times New Roman" w:eastAsia="宋体"/>
          <w:b w:val="0"/>
          <w:sz w:val="24"/>
        </w:rPr>
        <w:t>文章第二部分讨论测量和计数。希罗多德本人常常关心距离、规模、方位和人数，测量活动因此很容易与历史家的求证工作发生关联。Christ 选择普萨美提库斯、大流士、阿里安塔斯和薛西斯等案例，说明测量如何在国王手中从认识工具转向权力表演。测量本身具有理性外观，能够把模糊经验转化为数字和尺度；但当测量服务于国王的荣耀和支配时，数字就会成为自我膨胀的媒介。</w:t>
      </w:r>
    </w:p>
    <w:p>
      <w:pPr>
        <w:spacing w:line="360" w:lineRule="auto" w:before="0" w:after="60"/>
        <w:ind w:firstLine="480"/>
        <w:jc w:val="both"/>
      </w:pPr>
      <w:r>
        <w:rPr>
          <w:rFonts w:ascii="Times New Roman" w:hAnsi="Times New Roman" w:eastAsia="宋体"/>
          <w:b w:val="0"/>
          <w:sz w:val="24"/>
        </w:rPr>
        <w:t>普萨美提库斯寻找尼罗河源头的故事显示了测量的理想面向。他据说用长缆绳探测泉眼深度，试图以技术方法处理长期困扰希腊人的自然问题。Christ 注意到，希罗多德对这个传闻保持谨慎，同时仍然认真记录这一尝试。普萨美提库斯的测量与希罗多德关于尼罗河的讨论相接，显示国王可以成为自然知识的推动者。这个例子在第二部分中承担了参照作用：测量也可能出自求知，并具有推动自然知识的潜力。</w:t>
      </w:r>
    </w:p>
    <w:p>
      <w:pPr>
        <w:spacing w:line="360" w:lineRule="auto" w:before="0" w:after="60"/>
        <w:ind w:firstLine="480"/>
        <w:jc w:val="both"/>
      </w:pPr>
      <w:r>
        <w:rPr>
          <w:rFonts w:ascii="Times New Roman" w:hAnsi="Times New Roman" w:eastAsia="宋体"/>
          <w:b w:val="0"/>
          <w:sz w:val="24"/>
        </w:rPr>
        <w:t>阿里安塔斯命令斯基泰人交出青铜箭头，以此计算人口数量，随后把箭头熔成大锅作为纪念。Christ 认为，这一故事把计数和纪念碑结合起来。国王通过统计掌握臣民，同时把统计结果物化为可观看的王权标志。计数在这里具有两层意义：它让支配者获得关于群体规模的信息，也让支配者把信息转化为荣耀自身的器物。希罗多德记录大锅的尺寸和位置，使读者看到知识如何凝结为政治展示。</w:t>
      </w:r>
    </w:p>
    <w:p>
      <w:pPr>
        <w:spacing w:line="360" w:lineRule="auto" w:before="0" w:after="60"/>
        <w:ind w:firstLine="480"/>
        <w:jc w:val="both"/>
      </w:pPr>
      <w:r>
        <w:rPr>
          <w:rFonts w:ascii="Times New Roman" w:hAnsi="Times New Roman" w:eastAsia="宋体"/>
          <w:b w:val="0"/>
          <w:sz w:val="24"/>
        </w:rPr>
        <w:t>大流士命令每名士兵留下石块的故事也具有同样含义。军队人数原本可以通过编制和征发掌握，国王仍然要求士兵留下石块，形成一堆可见的规模。Christ 将其理解为自我彰显的测量。石堆的意义在于让庞大数量获得可视形态，让国王与军队的力量被空间化、纪念化。希罗多德把这个动作处理为自我展示的仪式，使它显露国王对于“看见自身伟大”的迷恋。</w:t>
      </w:r>
    </w:p>
    <w:p>
      <w:pPr>
        <w:spacing w:line="360" w:lineRule="auto" w:before="0" w:after="60"/>
        <w:ind w:firstLine="480"/>
        <w:jc w:val="both"/>
      </w:pPr>
      <w:r>
        <w:rPr>
          <w:rFonts w:ascii="Times New Roman" w:hAnsi="Times New Roman" w:eastAsia="宋体"/>
          <w:b w:val="0"/>
          <w:sz w:val="24"/>
        </w:rPr>
        <w:t>薛西斯的大军清点是这一部分最重要的例子。希罗多德描述波斯人建造一个能容纳一万人的围栏，让士兵反复进入其中，以此估算总数。Christ 指出，这个场景具有强烈的对象化效果。士兵被塞入一个量器，人的身体被转化为可重复填充的单位。希罗多德随后给出庞大的军队数字，同时安排德马拉托斯提醒薛西斯：斯巴达人的战斗能力需要超出人数的判断。这样，数字理性与政治判断发生张力。国王相信数量可以穷尽力量，希罗多德通过对话展示数量的边界。</w:t>
      </w:r>
    </w:p>
    <w:p>
      <w:pPr>
        <w:spacing w:line="360" w:lineRule="auto" w:before="0" w:after="60"/>
        <w:ind w:firstLine="480"/>
        <w:jc w:val="both"/>
      </w:pPr>
      <w:r>
        <w:rPr>
          <w:rFonts w:ascii="Times New Roman" w:hAnsi="Times New Roman" w:eastAsia="宋体"/>
          <w:b w:val="0"/>
          <w:sz w:val="24"/>
        </w:rPr>
        <w:t>第二部分的论证由此形成清晰层次。测量能够支持知识，计数能够澄清规模；王权把测量推向自我纪念和战略幻觉。Christ 强调的是数字进入国王视野后的功能变化。希罗多德喜欢记录数字，也经常怀疑数字；他展示国王如何把数字当作权力的证明，再让叙事后果修正这种自信。薛西斯的大军最终败于希腊，正好说明单纯规模难以保证理解。</w:t>
      </w:r>
    </w:p>
    <w:p>
      <w:pPr>
        <w:spacing w:line="360" w:lineRule="auto" w:before="0" w:after="60"/>
        <w:ind w:firstLine="480"/>
        <w:jc w:val="both"/>
      </w:pPr>
      <w:r>
        <w:rPr>
          <w:rFonts w:ascii="Times New Roman" w:hAnsi="Times New Roman" w:eastAsia="宋体"/>
          <w:b w:val="0"/>
          <w:sz w:val="24"/>
        </w:rPr>
        <w:t>Christ 还把赫卡泰俄斯在埃及追溯家谱的故事纳入讨论。赫卡泰俄斯试图把自己的祖先追溯到神，埃及祭司则用世代计数和木像排列让他感到难堪。这个例子说明，自我扩张型的测量也可能发生在希腊知识人身上。文章因此把问题扩展到东方君主之外。更宽泛地说，任何求知者都可能把数字和谱系服务于自我抬高。希罗多德通过祭司的反制，让历史家传统内部也接受审视。</w:t>
      </w:r>
    </w:p>
    <w:p>
      <w:pPr>
        <w:spacing w:line="360" w:lineRule="auto" w:before="180" w:after="120"/>
        <w:ind w:firstLine="0"/>
        <w:jc w:val="center"/>
      </w:pPr>
      <w:r>
        <w:rPr>
          <w:rFonts w:ascii="Times New Roman" w:hAnsi="Times New Roman" w:eastAsia="宋体"/>
          <w:b/>
          <w:sz w:val="24"/>
        </w:rPr>
        <w:t>三、探险、地理知识与帝国技术</w:t>
      </w:r>
    </w:p>
    <w:p>
      <w:pPr>
        <w:spacing w:line="360" w:lineRule="auto" w:before="0" w:after="60"/>
        <w:ind w:firstLine="480"/>
        <w:jc w:val="both"/>
      </w:pPr>
      <w:r>
        <w:rPr>
          <w:rFonts w:ascii="Times New Roman" w:hAnsi="Times New Roman" w:eastAsia="宋体"/>
          <w:b w:val="0"/>
          <w:sz w:val="24"/>
        </w:rPr>
        <w:t>第三部分转向探险和地理调查。希罗多德的《历史》充满地理、河流、道路和异族风俗，国王的远征因此很容易成为知识生产的条件。Christ 的核心观察是，国王的探险常常在好奇与征服之间滑动。远方地理为国王提供想象空间，军事和行政力量又让这种想象获得实施手段。希罗多德在记录国王探险时，既借助其行动获得世界知识，也展示帝国知识的危险用途。</w:t>
      </w:r>
    </w:p>
    <w:p>
      <w:pPr>
        <w:spacing w:line="360" w:lineRule="auto" w:before="0" w:after="60"/>
        <w:ind w:firstLine="480"/>
        <w:jc w:val="both"/>
      </w:pPr>
      <w:r>
        <w:rPr>
          <w:rFonts w:ascii="Times New Roman" w:hAnsi="Times New Roman" w:eastAsia="宋体"/>
          <w:b w:val="0"/>
          <w:sz w:val="24"/>
        </w:rPr>
        <w:t>埃提阿库斯和纳萨蒙人的故事提供了较温和的开端。阿蒙人国王埃提阿库斯询问纳萨蒙人关于利比亚内陆的情况，得知有青年穿越沙漠、抵达一个遥远城市和河流。埃提阿库斯据此推测那条河可能是尼罗河。Christ 注意到，希罗多德对此推理相当感兴趣，并把它接入自己关于尼罗河和伊斯特河对称性的讨论。这里的国王更像一名地理问题的参与者。此例显示，国王的探究也可能与希罗多德的自然地理推理和谐相处。</w:t>
      </w:r>
    </w:p>
    <w:p>
      <w:pPr>
        <w:spacing w:line="360" w:lineRule="auto" w:before="0" w:after="60"/>
        <w:ind w:firstLine="480"/>
        <w:jc w:val="both"/>
      </w:pPr>
      <w:r>
        <w:rPr>
          <w:rFonts w:ascii="Times New Roman" w:hAnsi="Times New Roman" w:eastAsia="宋体"/>
          <w:b w:val="0"/>
          <w:sz w:val="24"/>
        </w:rPr>
        <w:t>大流士考察印度河的故事让探险进入帝国逻辑。大流士派遣斯库拉克斯等人沿印度河出海，弄清河道和海路。表面上，这是一项地理调查；在叙事结果上，它通向印度人的臣服和波斯对海路的利用。Christ 强调，希罗多德把探险的知识收益和帝国征服放在同一链条中。地图、航道、河口和民族分布都可以成为治理和入侵的技术资源。</w:t>
      </w:r>
    </w:p>
    <w:p>
      <w:pPr>
        <w:spacing w:line="360" w:lineRule="auto" w:before="0" w:after="60"/>
        <w:ind w:firstLine="480"/>
        <w:jc w:val="both"/>
      </w:pPr>
      <w:r>
        <w:rPr>
          <w:rFonts w:ascii="Times New Roman" w:hAnsi="Times New Roman" w:eastAsia="宋体"/>
          <w:b w:val="0"/>
          <w:sz w:val="24"/>
        </w:rPr>
        <w:t>大流士观看黑海与忒阿罗斯河的场景进一步揭示国王如何把地理知识纳入自我表演。希罗多德在黑海段落中展开富有历史家兴趣的地理说明，测量海域、叙述周边民族和道路。大流士在忒阿罗斯河畔留下铭文，称赞这条河最美，并称自己是最优秀的人。Christ 抓住铭文的口吻，指出国王面对自然景观时很快把地理对象转化为赞美自身的舞台。风景和河流被收编进王权叙事，知识对象沦为国王自我陈述的背景。</w:t>
      </w:r>
    </w:p>
    <w:p>
      <w:pPr>
        <w:spacing w:line="360" w:lineRule="auto" w:before="0" w:after="60"/>
        <w:ind w:firstLine="480"/>
        <w:jc w:val="both"/>
      </w:pPr>
      <w:r>
        <w:rPr>
          <w:rFonts w:ascii="Times New Roman" w:hAnsi="Times New Roman" w:eastAsia="宋体"/>
          <w:b w:val="0"/>
          <w:sz w:val="24"/>
        </w:rPr>
        <w:t>薛西斯考察特萨利的珀涅俄斯河谷，同样展示了地理 curiosity 与军事计算的交织。薛西斯听说特萨利曾经是一片湖，便亲自观看河流出口，思考河谷形成的过程。这个场景与希罗多德对自然成因的兴趣相当接近，甚至显示薛西斯也能提出地质问题。随后，国王想到如果堵住河口，特萨利将被水淹没。Christ 认为，这个转折极具说明力：国王的自然观察迅速变成控制和毁灭的想象。希罗多德让同一地理现象同时激发解释欲和支配欲。</w:t>
      </w:r>
    </w:p>
    <w:p>
      <w:pPr>
        <w:spacing w:line="360" w:lineRule="auto" w:before="0" w:after="60"/>
        <w:ind w:firstLine="480"/>
        <w:jc w:val="both"/>
      </w:pPr>
      <w:r>
        <w:rPr>
          <w:rFonts w:ascii="Times New Roman" w:hAnsi="Times New Roman" w:eastAsia="宋体"/>
          <w:b w:val="0"/>
          <w:sz w:val="24"/>
        </w:rPr>
        <w:t>冈比西斯派鱼食者前往埃塞俄比亚的故事，是第三部分最完整的案例。波斯使者名义上携带礼物，实际上打探埃塞俄比亚人的“太阳餐桌”、国力和地理条件。埃塞俄比亚国王识破其间谍性质，反过来询问波斯人的寿命、饮食、服饰和葡萄酒。Christ 认为，埃塞俄比亚国王在这里展现出真正的 ethnographic inquiry。他追问他者生活方式，比较自然环境和社会习俗，并对冈比西斯的侵略意图给出道德评价。</w:t>
      </w:r>
    </w:p>
    <w:p>
      <w:pPr>
        <w:spacing w:line="360" w:lineRule="auto" w:before="0" w:after="60"/>
        <w:ind w:firstLine="480"/>
        <w:jc w:val="both"/>
      </w:pPr>
      <w:r>
        <w:rPr>
          <w:rFonts w:ascii="Times New Roman" w:hAnsi="Times New Roman" w:eastAsia="宋体"/>
          <w:b w:val="0"/>
          <w:sz w:val="24"/>
        </w:rPr>
        <w:t>这个场景很能体现 Christ 所说的镜像关系。冈比西斯派出的调查服务于进攻计划，埃塞俄比亚国王的追问则接近理解他者的历史家姿态。希罗多德明显让读者同情后者：他拥有好奇心、判断力和反殖民的道德立场。更重要的是，埃塞俄比亚国王来自希腊世界之外，合理探究同样可以出现在异族国王身上。Christ 借此指出，希罗多德在蛮族国王群像内部也做出区分。帝国权力能够扭曲 inquiry，inquiry 的价值取决于探究方式和目的。</w:t>
      </w:r>
    </w:p>
    <w:p>
      <w:pPr>
        <w:spacing w:line="360" w:lineRule="auto" w:before="0" w:after="60"/>
        <w:ind w:firstLine="480"/>
        <w:jc w:val="both"/>
      </w:pPr>
      <w:r>
        <w:rPr>
          <w:rFonts w:ascii="Times New Roman" w:hAnsi="Times New Roman" w:eastAsia="宋体"/>
          <w:b w:val="0"/>
          <w:sz w:val="24"/>
        </w:rPr>
        <w:t>第三部分的贡献在于把地理知识放回行动链条。希罗多德的地理段落常被看作《历史》的博物学和民族志材料，Christ 则说明这些材料在叙事中与王权运动相互缠绕。道路、河流、边境和远方民族既是知识对象，也是军事对象。读者由此理解，历史家的地理书写需要保持双重意识：它提供关于世界的理解，也可能被权力转换为统治技术。</w:t>
      </w:r>
    </w:p>
    <w:p>
      <w:pPr>
        <w:spacing w:line="360" w:lineRule="auto" w:before="180" w:after="120"/>
        <w:ind w:firstLine="0"/>
        <w:jc w:val="center"/>
      </w:pPr>
      <w:r>
        <w:rPr>
          <w:rFonts w:ascii="Times New Roman" w:hAnsi="Times New Roman" w:eastAsia="宋体"/>
          <w:b/>
          <w:sz w:val="24"/>
        </w:rPr>
        <w:t>四、实验、审问与求证的伦理边界</w:t>
      </w:r>
    </w:p>
    <w:p>
      <w:pPr>
        <w:spacing w:line="360" w:lineRule="auto" w:before="0" w:after="60"/>
        <w:ind w:firstLine="480"/>
        <w:jc w:val="both"/>
      </w:pPr>
      <w:r>
        <w:rPr>
          <w:rFonts w:ascii="Times New Roman" w:hAnsi="Times New Roman" w:eastAsia="宋体"/>
          <w:b w:val="0"/>
          <w:sz w:val="24"/>
        </w:rPr>
        <w:t>文章第四部分讨论试验、审问和拷问，是全文最能显示伦理问题的一节。希罗多德多次使用 peira 一类词汇，关心通过尝试获得证据。Christ 将这些情节放在一起，说明试验在《历史》中具有复杂地位。实验可以帮助人摆脱传闻和臆测，形成更可靠的知识；当实验对象是受制于权力的人，它又可能转化为伤害和凌辱。</w:t>
      </w:r>
    </w:p>
    <w:p>
      <w:pPr>
        <w:spacing w:line="360" w:lineRule="auto" w:before="0" w:after="60"/>
        <w:ind w:firstLine="480"/>
        <w:jc w:val="both"/>
      </w:pPr>
      <w:r>
        <w:rPr>
          <w:rFonts w:ascii="Times New Roman" w:hAnsi="Times New Roman" w:eastAsia="宋体"/>
          <w:b w:val="0"/>
          <w:sz w:val="24"/>
        </w:rPr>
        <w:t>Christ 先提到若干较中性的试验。斯巴达人为了判断双生王子的长幼，观察母亲在喂养、抱起孩子时的行为，由此确定继承顺序。这个故事强调控制观察条件和重复确认，体现了接近理性实验的程序。凤凰鸟携带没药蛋的传说虽然本身带有奇异色彩，希罗多德仍然关注其中的试验环节：埃及人称曾通过称量和验证了解其做法。Christ 借这些例子说明，希罗多德愿意认真记录“如何验证”的过程，即便他对传闻本身保留距离。</w:t>
      </w:r>
    </w:p>
    <w:p>
      <w:pPr>
        <w:spacing w:line="360" w:lineRule="auto" w:before="0" w:after="60"/>
        <w:ind w:firstLine="480"/>
        <w:jc w:val="both"/>
      </w:pPr>
      <w:r>
        <w:rPr>
          <w:rFonts w:ascii="Times New Roman" w:hAnsi="Times New Roman" w:eastAsia="宋体"/>
          <w:b w:val="0"/>
          <w:sz w:val="24"/>
        </w:rPr>
        <w:t>普萨美提库斯的语言实验占据重要位置。国王想知道最古老的民族，便把两个新生儿交给牧人隔绝抚养，要求无人对他们说话，以观察他们自然发出的第一个词。孩子后来喊出类似弗里吉亚语“面包”的词，埃及人因此承认弗里吉亚人更古老。Christ 指出，希罗多德对这个故事的处理相当耐人寻味。实验问题与民族优越感有关，方法涉及儿童隔离，但叙事也强调孩子得到喂养和照料，并且希罗多德舍弃了希腊版本中割去乳母舌头的血腥说法。</w:t>
      </w:r>
    </w:p>
    <w:p>
      <w:pPr>
        <w:spacing w:line="360" w:lineRule="auto" w:before="0" w:after="60"/>
        <w:ind w:firstLine="480"/>
        <w:jc w:val="both"/>
      </w:pPr>
      <w:r>
        <w:rPr>
          <w:rFonts w:ascii="Times New Roman" w:hAnsi="Times New Roman" w:eastAsia="宋体"/>
          <w:b w:val="0"/>
          <w:sz w:val="24"/>
        </w:rPr>
        <w:t>这个案例使读者看到希罗多德面对实验伦理时的平衡。普萨美提库斯的求知目标带有偏执色彩，却也挑战了埃及人关于自身古老性的成见。实验方法从现代眼光看有明显伤害风险，但在希罗多德叙事中，它仍被呈现为一种试图排除干扰、获得直接证据的程序。Christ 借它说明国王式 inquiry 的暧昧性：求知可能推动观念修正，也可能把弱者当作材料。</w:t>
      </w:r>
    </w:p>
    <w:p>
      <w:pPr>
        <w:spacing w:line="360" w:lineRule="auto" w:before="0" w:after="60"/>
        <w:ind w:firstLine="480"/>
        <w:jc w:val="both"/>
      </w:pPr>
      <w:r>
        <w:rPr>
          <w:rFonts w:ascii="Times New Roman" w:hAnsi="Times New Roman" w:eastAsia="宋体"/>
          <w:b w:val="0"/>
          <w:sz w:val="24"/>
        </w:rPr>
        <w:t>冈比西斯射杀普瑞克萨斯普斯之子的实验则把这种暧昧推到极端。冈比西斯被劝戒酗酒，便用箭射中劝戒者儿子的心脏，以证明自己神志清醒、手法准确。随后他剖开胸膛，让众人看见箭正中心脏。Christ 将这一情节称为 perverse histor：它保留了验证、观看、证据呈现等形式，却把求证变成杀戮。国王用一个人的死亡证明自己的理性，结果恰好暴露自己的疯狂。</w:t>
      </w:r>
    </w:p>
    <w:p>
      <w:pPr>
        <w:spacing w:line="360" w:lineRule="auto" w:before="0" w:after="60"/>
        <w:ind w:firstLine="480"/>
        <w:jc w:val="both"/>
      </w:pPr>
      <w:r>
        <w:rPr>
          <w:rFonts w:ascii="Times New Roman" w:hAnsi="Times New Roman" w:eastAsia="宋体"/>
          <w:b w:val="0"/>
          <w:sz w:val="24"/>
        </w:rPr>
        <w:t>这一例子对于全文至关重要，因为它显示形式上的证据程序需要伦理条件来支撑。冈比西斯确实设定了问题，确实通过行动取得可见证据，确实让旁观者确认结果；整个过程的伦理前提已经崩坏，所得结论也因此反噬国王自身。希罗多德在这里让读者体会到，历史知识的程序与探究者的品格、对象的处境密切相关。Christ 用这个故事说明国王镜像何以扭曲到极点：他像历史家那样追求证明，却以暴力摧毁了证明的意义。</w:t>
      </w:r>
    </w:p>
    <w:p>
      <w:pPr>
        <w:spacing w:line="360" w:lineRule="auto" w:before="0" w:after="60"/>
        <w:ind w:firstLine="480"/>
        <w:jc w:val="both"/>
      </w:pPr>
      <w:r>
        <w:rPr>
          <w:rFonts w:ascii="Times New Roman" w:hAnsi="Times New Roman" w:eastAsia="宋体"/>
          <w:b w:val="0"/>
          <w:sz w:val="24"/>
        </w:rPr>
        <w:t>大流士关于葬俗的实验则把伦理问题从身体暴力转向文化理解。大流士询问希腊人愿以多少钱吃掉亡父，又询问卡拉提亚人愿以多少钱焚烧亡父。两方都强烈拒绝，由此显示各民族习俗的权威。希罗多德借此引出“习俗为王”的著名判断。Christ 注意到，大流士的提问带有货币化和权力化倾向，他用价格衡量最亲密的丧葬义务，又让不同群体在王权面前被迫表态。</w:t>
      </w:r>
    </w:p>
    <w:p>
      <w:pPr>
        <w:spacing w:line="360" w:lineRule="auto" w:before="0" w:after="60"/>
        <w:ind w:firstLine="480"/>
        <w:jc w:val="both"/>
      </w:pPr>
      <w:r>
        <w:rPr>
          <w:rFonts w:ascii="Times New Roman" w:hAnsi="Times New Roman" w:eastAsia="宋体"/>
          <w:b w:val="0"/>
          <w:sz w:val="24"/>
        </w:rPr>
        <w:t>这个故事的结论通常被视为文化相对主义的经典表达。Christ 的解读更进一步：希罗多德当然借大流士实验展示 nomos 的力量，但他也让国王的实验方式暴露局限。大流士通过夸张条件迫使受试者表明界限，确实获得了一个关于习俗的普遍结论；与此同时，他用金钱询问亲情和仪礼，使理解他者的过程带着粗粝感。国王得到知识，读者也看到这种知识的获得方式。</w:t>
      </w:r>
    </w:p>
    <w:p>
      <w:pPr>
        <w:spacing w:line="360" w:lineRule="auto" w:before="0" w:after="60"/>
        <w:ind w:firstLine="480"/>
        <w:jc w:val="both"/>
      </w:pPr>
      <w:r>
        <w:rPr>
          <w:rFonts w:ascii="Times New Roman" w:hAnsi="Times New Roman" w:eastAsia="宋体"/>
          <w:b w:val="0"/>
          <w:sz w:val="24"/>
        </w:rPr>
        <w:t>第四部分最终表明，希罗多德对于实验持积极而谨慎的态度。试验可以校正传闻，揭示隐藏真相，检验民族自我认识；试验落入绝对权力之手，人的身体、习俗和尊严便可能被当作工具。Christ 的优势在于，他让每个案例保留自身色调，从斯巴达继承问题到冈比西斯杀人，从语言起源到葬俗比较，逐步勾勒“求证”与“伤害”之间的紧张关系。</w:t>
      </w:r>
    </w:p>
    <w:p>
      <w:pPr>
        <w:spacing w:line="360" w:lineRule="auto" w:before="180" w:after="120"/>
        <w:ind w:firstLine="0"/>
        <w:jc w:val="center"/>
      </w:pPr>
      <w:r>
        <w:rPr>
          <w:rFonts w:ascii="Times New Roman" w:hAnsi="Times New Roman" w:eastAsia="宋体"/>
          <w:b/>
          <w:sz w:val="24"/>
        </w:rPr>
        <w:t>五、神谕、梦境与人类推理的限度</w:t>
      </w:r>
    </w:p>
    <w:p>
      <w:pPr>
        <w:spacing w:line="360" w:lineRule="auto" w:before="0" w:after="60"/>
        <w:ind w:firstLine="480"/>
        <w:jc w:val="both"/>
      </w:pPr>
      <w:r>
        <w:rPr>
          <w:rFonts w:ascii="Times New Roman" w:hAnsi="Times New Roman" w:eastAsia="宋体"/>
          <w:b w:val="0"/>
          <w:sz w:val="24"/>
        </w:rPr>
        <w:t>第五部分讨论对神意的检验。希罗多德世界中的神谕和梦境具有强大叙事功能，它们既是信息来源，也是误解的来源。Christ 关心的问题是：国王如何对待来自神明或梦境的信息？他们是否能够用 inquiry 的方式检验超人领域？这个问题让全文从人间证据延伸到神圣知识。</w:t>
      </w:r>
    </w:p>
    <w:p>
      <w:pPr>
        <w:spacing w:line="360" w:lineRule="auto" w:before="0" w:after="60"/>
        <w:ind w:firstLine="480"/>
        <w:jc w:val="both"/>
      </w:pPr>
      <w:r>
        <w:rPr>
          <w:rFonts w:ascii="Times New Roman" w:hAnsi="Times New Roman" w:eastAsia="宋体"/>
          <w:b w:val="0"/>
          <w:sz w:val="24"/>
        </w:rPr>
        <w:t>克洛伊索斯测试神谕是最著名的例子。吕底亚国王派人到多个神谕处，在同一日期询问自己正在做什么，以检验哪一处神谕最准确。德尔斐正确说出他正在铜锅中煮乌龟和羊肉，克洛伊索斯由此信任阿波罗。Christ 指出，希罗多德对克洛伊索斯测试神谕的行为保留理解，叙事承认测试本身具有方法上的巧妙：设定同步问题，比较多个答案，以难以预料的私人行动形成验证标准。</w:t>
      </w:r>
    </w:p>
    <w:p>
      <w:pPr>
        <w:spacing w:line="360" w:lineRule="auto" w:before="0" w:after="60"/>
        <w:ind w:firstLine="480"/>
        <w:jc w:val="both"/>
      </w:pPr>
      <w:r>
        <w:rPr>
          <w:rFonts w:ascii="Times New Roman" w:hAnsi="Times New Roman" w:eastAsia="宋体"/>
          <w:b w:val="0"/>
          <w:sz w:val="24"/>
        </w:rPr>
        <w:t>克洛伊索斯的失败发生在下一步。他得到“越过哈吕斯河将毁灭一个大帝国”的答复，却停止追问“哪个帝国”。他把暧昧语句按自己愿望理解，最后毁灭的是自己的王国。Christ 借此说明，成功检验信息来源仅仅是 inquiry 的一部分。探究者还需要解释能力，需要在胜利欲望面前保持疑问。克洛伊索斯通过精巧试验确认德尔斐的权威，却在解释神谕时放弃同样严格的追问。</w:t>
      </w:r>
    </w:p>
    <w:p>
      <w:pPr>
        <w:spacing w:line="360" w:lineRule="auto" w:before="0" w:after="60"/>
        <w:ind w:firstLine="480"/>
        <w:jc w:val="both"/>
      </w:pPr>
      <w:r>
        <w:rPr>
          <w:rFonts w:ascii="Times New Roman" w:hAnsi="Times New Roman" w:eastAsia="宋体"/>
          <w:b w:val="0"/>
          <w:sz w:val="24"/>
        </w:rPr>
        <w:t>这一分析很重要，因为它把神谕问题从信与疑的简单对立中移出来。希罗多德关心人在面对模糊信息时如何行动。克洛伊索斯可以测试神谕，也可以继续询问；他在关键处让政治欲望支配理解。神意的暧昧与人心的倾向相互作用，造成历史灾难。Christ 因此把克洛伊索斯归为混合型国王：他的 inquiry 有才智，也有自我欺骗。</w:t>
      </w:r>
    </w:p>
    <w:p>
      <w:pPr>
        <w:spacing w:line="360" w:lineRule="auto" w:before="0" w:after="60"/>
        <w:ind w:firstLine="480"/>
        <w:jc w:val="both"/>
      </w:pPr>
      <w:r>
        <w:rPr>
          <w:rFonts w:ascii="Times New Roman" w:hAnsi="Times New Roman" w:eastAsia="宋体"/>
          <w:b w:val="0"/>
          <w:sz w:val="24"/>
        </w:rPr>
        <w:t>薛西斯和阿尔塔巴努斯的梦境实验则展示另一种复杂性。薛西斯反复梦见一个身影敦促他远征希腊，阿尔塔巴努斯起初提出理性解释，认为白日思虑会在夜间形成梦境。为了检验梦是否真的来自神，阿尔塔巴努斯穿上薛西斯衣服，坐在王座上，睡在国王床上。梦中身影果然出现并威胁他，他于是改变看法，支持远征。</w:t>
      </w:r>
    </w:p>
    <w:p>
      <w:pPr>
        <w:spacing w:line="360" w:lineRule="auto" w:before="0" w:after="60"/>
        <w:ind w:firstLine="480"/>
        <w:jc w:val="both"/>
      </w:pPr>
      <w:r>
        <w:rPr>
          <w:rFonts w:ascii="Times New Roman" w:hAnsi="Times New Roman" w:eastAsia="宋体"/>
          <w:b w:val="0"/>
          <w:sz w:val="24"/>
        </w:rPr>
        <w:t>Christ 对这一场景的解读非常细致。阿尔塔巴努斯的试验具有合理性：他尝试复现梦境产生的条件，通过替换身份检验梦是否针对王权位置。然而，梦的出现只能证明神秘身影针对阿尔塔巴努斯施加压力，尚未证明希腊必败，阿尔塔巴努斯却从威胁性的显现中推出过度结论。这里的失败源于他把一个有限实验结果扩展为整体历史判断。他的理性程序在神秘经验面前迅速收缩，解释范围超出了证据所能承载的限度。</w:t>
      </w:r>
    </w:p>
    <w:p>
      <w:pPr>
        <w:spacing w:line="360" w:lineRule="auto" w:before="0" w:after="60"/>
        <w:ind w:firstLine="480"/>
        <w:jc w:val="both"/>
      </w:pPr>
      <w:r>
        <w:rPr>
          <w:rFonts w:ascii="Times New Roman" w:hAnsi="Times New Roman" w:eastAsia="宋体"/>
          <w:b w:val="0"/>
          <w:sz w:val="24"/>
        </w:rPr>
        <w:t>薛西斯梦境案例让 Christ 的论证进入深层。历史家常常要处理来源隐晦、意义含混、影响巨大的信息。梦境像传闻一样需要解释，又比传闻更难检验。阿尔塔巴努斯设计的试验显示希罗多德对理性程序怀有兴趣；试验后的推论失衡显示理性面对神意时必须承认限度。希罗多德要求读者审视人如何从神秘经验推出政治决定。</w:t>
      </w:r>
    </w:p>
    <w:p>
      <w:pPr>
        <w:spacing w:line="360" w:lineRule="auto" w:before="0" w:after="60"/>
        <w:ind w:firstLine="480"/>
        <w:jc w:val="both"/>
      </w:pPr>
      <w:r>
        <w:rPr>
          <w:rFonts w:ascii="Times New Roman" w:hAnsi="Times New Roman" w:eastAsia="宋体"/>
          <w:b w:val="0"/>
          <w:sz w:val="24"/>
        </w:rPr>
        <w:t>第五部分由此补充了前文关于人间 inquiry 的讨论。测量、探险和实验面对的是河流、身体、习俗和军队；神谕与梦境面对的是超越人类控制的符号。国王在两类对象面前都有相似风险：他们倾向把复杂信息压缩成有利于自身行动的结论。Christ 的解释使克洛伊索斯和薛西斯的故事彼此呼应：一个验证神谕后误解语义，一个检验梦境后夸大结论。希罗多德借他们展示求知活动的最后边界。</w:t>
      </w:r>
    </w:p>
    <w:p>
      <w:pPr>
        <w:spacing w:line="360" w:lineRule="auto" w:before="180" w:after="120"/>
        <w:ind w:firstLine="0"/>
        <w:jc w:val="center"/>
      </w:pPr>
      <w:r>
        <w:rPr>
          <w:rFonts w:ascii="Times New Roman" w:hAnsi="Times New Roman" w:eastAsia="宋体"/>
          <w:b/>
          <w:sz w:val="24"/>
        </w:rPr>
        <w:t>六、国王类型与希罗多德的自我定位</w:t>
      </w:r>
    </w:p>
    <w:p>
      <w:pPr>
        <w:spacing w:line="360" w:lineRule="auto" w:before="0" w:after="60"/>
        <w:ind w:firstLine="480"/>
        <w:jc w:val="both"/>
      </w:pPr>
      <w:r>
        <w:rPr>
          <w:rFonts w:ascii="Times New Roman" w:hAnsi="Times New Roman" w:eastAsia="宋体"/>
          <w:b w:val="0"/>
          <w:sz w:val="24"/>
        </w:rPr>
        <w:t>文章最后部分回到历史类型和元历史意义。Christ 认为，inquisitive king 是希罗多德塑造国王性格的一种重要方式。国王的探究活动能够揭示他们的政治欲望、伦理感、理性能力和自我认识。普萨美提库斯和埃塞俄比亚国王呈现较高程度的求知正当性；冈比西斯展示暴力化 inquiry 的崩坏；克洛伊索斯和薛西斯处于混合位置，既有方法意识，又受欲望和恐惧牵引。</w:t>
      </w:r>
    </w:p>
    <w:p>
      <w:pPr>
        <w:spacing w:line="360" w:lineRule="auto" w:before="0" w:after="60"/>
        <w:ind w:firstLine="480"/>
        <w:jc w:val="both"/>
      </w:pPr>
      <w:r>
        <w:rPr>
          <w:rFonts w:ascii="Times New Roman" w:hAnsi="Times New Roman" w:eastAsia="宋体"/>
          <w:b w:val="0"/>
          <w:sz w:val="24"/>
        </w:rPr>
        <w:t>这种类型化体现出灵活的比较意识。Christ 展示了一个可变的叙事框架：国王提出问题，调动资源，接收信息，做出推论，推论再进入历史行动。不同国王在每个环节上的表现各异。有人尊重证据，有人操纵证据；有人愿意询问他者，有人只把他者当成对象；有人能从验证进入审慎解释，有人把有限信息扩展为征服理由。类型的意义在于提供比较坐标，同时保留人物差异。</w:t>
      </w:r>
    </w:p>
    <w:p>
      <w:pPr>
        <w:spacing w:line="360" w:lineRule="auto" w:before="0" w:after="60"/>
        <w:ind w:firstLine="480"/>
        <w:jc w:val="both"/>
      </w:pPr>
      <w:r>
        <w:rPr>
          <w:rFonts w:ascii="Times New Roman" w:hAnsi="Times New Roman" w:eastAsia="宋体"/>
          <w:b w:val="0"/>
          <w:sz w:val="24"/>
        </w:rPr>
        <w:t>这一部分还涉及希罗多德本人的历史书写。Christ 指出，希罗多德常用第一人称标记自己的见闻、判断和怀疑。他在叙事中说明自己听到了哪些说法、认可哪些推论、哪些事实仍然悬置。国王的 inquiry 与希罗多德的 inquiry 形成对照：国王依赖命令、密探、试验和惩罚；历史家依赖旅行、询问、比较、推理和公开说明。两者共享求知欲，在伦理关系和目标上产生差异。</w:t>
      </w:r>
    </w:p>
    <w:p>
      <w:pPr>
        <w:spacing w:line="360" w:lineRule="auto" w:before="0" w:after="60"/>
        <w:ind w:firstLine="480"/>
        <w:jc w:val="both"/>
      </w:pPr>
      <w:r>
        <w:rPr>
          <w:rFonts w:ascii="Times New Roman" w:hAnsi="Times New Roman" w:eastAsia="宋体"/>
          <w:b w:val="0"/>
          <w:sz w:val="24"/>
        </w:rPr>
        <w:t>读者由此更能理解《历史》开篇的 historíē。希罗多德追求记忆保存和原因探询，他的叙事不断把“看见”“听说”“推测”“验证”区分开来。Christ 的文章把这一方法意识从散落段落中抽取出来，显示它也存在于人物塑造之中。国王故事具有方法论反思的叙事功能。希罗多德无需停下叙事宣布原则，他让大流士、薛西斯、冈比西斯、克洛伊索斯等人物把原则问题演出来。</w:t>
      </w:r>
    </w:p>
    <w:p>
      <w:pPr>
        <w:spacing w:line="360" w:lineRule="auto" w:before="0" w:after="60"/>
        <w:ind w:firstLine="480"/>
        <w:jc w:val="both"/>
      </w:pPr>
      <w:r>
        <w:rPr>
          <w:rFonts w:ascii="Times New Roman" w:hAnsi="Times New Roman" w:eastAsia="宋体"/>
          <w:b w:val="0"/>
          <w:sz w:val="24"/>
        </w:rPr>
        <w:t>国王与历史家的关系也让希罗多德的政治思想更具体。绝对权力为 inquiry 提供资源：使者可以远行，臣民必须回答，身体可以被检查，军队可以被统计，边疆可以被勘察。绝对权力同时压缩了 inquiry 所需的对话性。被询问者在恐惧中回答，被观察者缺乏选择，被实验者承受风险。Christ 借此说明，希罗多德关心知识与权力的关系。知识一旦完全依附强制力量，便容易失去理解他者的耐心。</w:t>
      </w:r>
    </w:p>
    <w:p>
      <w:pPr>
        <w:spacing w:line="360" w:lineRule="auto" w:before="0" w:after="60"/>
        <w:ind w:firstLine="480"/>
        <w:jc w:val="both"/>
      </w:pPr>
      <w:r>
        <w:rPr>
          <w:rFonts w:ascii="Times New Roman" w:hAnsi="Times New Roman" w:eastAsia="宋体"/>
          <w:b w:val="0"/>
          <w:sz w:val="24"/>
        </w:rPr>
        <w:t>这一点对解读《历史》的整体结构很有帮助。希罗多德写波斯帝国的扩张，也写希腊世界的抵抗；写国王的壮阔行动，也写顾问、使者、妇女、祭司和异族人如何影响国王认识。Christ 的分析提醒读者，战争史背后有一条认识论线索：帝国为何误判？国王吸收真话的过程为何失败？人数、河流、道路、神谕、梦境和习俗为何不断被误读？这些问题把政治失败和认识失败联系起来。</w:t>
      </w:r>
    </w:p>
    <w:p>
      <w:pPr>
        <w:spacing w:line="360" w:lineRule="auto" w:before="180" w:after="120"/>
        <w:ind w:firstLine="0"/>
        <w:jc w:val="center"/>
      </w:pPr>
      <w:r>
        <w:rPr>
          <w:rFonts w:ascii="Times New Roman" w:hAnsi="Times New Roman" w:eastAsia="宋体"/>
          <w:b/>
          <w:sz w:val="24"/>
        </w:rPr>
        <w:t>七、文章贡献与可商榷之处</w:t>
      </w:r>
    </w:p>
    <w:p>
      <w:pPr>
        <w:spacing w:line="360" w:lineRule="auto" w:before="0" w:after="60"/>
        <w:ind w:firstLine="480"/>
        <w:jc w:val="both"/>
      </w:pPr>
      <w:r>
        <w:rPr>
          <w:rFonts w:ascii="Times New Roman" w:hAnsi="Times New Roman" w:eastAsia="宋体"/>
          <w:b w:val="0"/>
          <w:sz w:val="24"/>
        </w:rPr>
        <w:t>Christ 1994 的最大贡献，在于把《历史》中看似分散的国王逸事纳入同一解释框架。大流士看见派奥尼亚女子、薛西斯清点士兵、冈比西斯派遣间谍、普萨美提库斯做语言实验、克洛伊索斯测试神谕，这些故事分布在不同卷次、面对不同主题。文章将它们统一为“国王式探究”的谱系，使读者看到希罗多德叙事内部连续的认识论关切。</w:t>
      </w:r>
    </w:p>
    <w:p>
      <w:pPr>
        <w:spacing w:line="360" w:lineRule="auto" w:before="0" w:after="60"/>
        <w:ind w:firstLine="480"/>
        <w:jc w:val="both"/>
      </w:pPr>
      <w:r>
        <w:rPr>
          <w:rFonts w:ascii="Times New Roman" w:hAnsi="Times New Roman" w:eastAsia="宋体"/>
          <w:b w:val="0"/>
          <w:sz w:val="24"/>
        </w:rPr>
        <w:t>第二个贡献是对 inquiry 的伦理维度有清楚揭示。历史方法讨论容易集中在证据可靠性、传闻来源、亲见与听闻等问题上。Christ 进一步说明，探究方式本身带有伦理含义。谁有权发问，谁被迫回答，问题将服务于理解还是服务于征服，这些因素都会影响知识的性质。希罗多德笔下的国王提供了最鲜明的案例，因为他们拥有把问题立即转化为行动的能力。</w:t>
      </w:r>
    </w:p>
    <w:p>
      <w:pPr>
        <w:spacing w:line="360" w:lineRule="auto" w:before="0" w:after="60"/>
        <w:ind w:firstLine="480"/>
        <w:jc w:val="both"/>
      </w:pPr>
      <w:r>
        <w:rPr>
          <w:rFonts w:ascii="Times New Roman" w:hAnsi="Times New Roman" w:eastAsia="宋体"/>
          <w:b w:val="0"/>
          <w:sz w:val="24"/>
        </w:rPr>
        <w:t>第三个贡献是文章保持了对希罗多德复杂性的尊重。Christ 呈现的希罗多德具有清晰的复杂性：他细分了各位蛮族国王的价值层次。埃塞俄比亚国王、埃提阿库斯、普萨美提库斯都显示出较为正面的求知面向；冈比西斯则成为反面极端；克洛伊索斯和薛西斯拥有才智又发生误读。这样的区分让文章避免了粗线条的希腊中心叙述，突出了希罗多德对人物和情境的细分能力。</w:t>
      </w:r>
    </w:p>
    <w:p>
      <w:pPr>
        <w:spacing w:line="360" w:lineRule="auto" w:before="0" w:after="60"/>
        <w:ind w:firstLine="480"/>
        <w:jc w:val="both"/>
      </w:pPr>
      <w:r>
        <w:rPr>
          <w:rFonts w:ascii="Times New Roman" w:hAnsi="Times New Roman" w:eastAsia="宋体"/>
          <w:b w:val="0"/>
          <w:sz w:val="24"/>
        </w:rPr>
        <w:t>文章也有可继续讨论的地方。首先，Christ 为了凸显“探究国王”这一类型，有时会把不同叙事语境压缩进同一问题。比如普萨美提库斯的语言实验与冈比西斯的射箭实验都属于 peira，但二者在叙事功能、伤害程度和结论性质上差异很大。Christ 已经注意到这些差异，仍然可以进一步展开每个故事在卷内结构中的具体位置。语言实验关系到埃及古老性和民族声望，射箭实验关系到暴君疯狂与顾问危机，二者所牵动的主题网络有各自重点。</w:t>
      </w:r>
    </w:p>
    <w:p>
      <w:pPr>
        <w:spacing w:line="360" w:lineRule="auto" w:before="0" w:after="60"/>
        <w:ind w:firstLine="480"/>
        <w:jc w:val="both"/>
      </w:pPr>
      <w:r>
        <w:rPr>
          <w:rFonts w:ascii="Times New Roman" w:hAnsi="Times New Roman" w:eastAsia="宋体"/>
          <w:b w:val="0"/>
          <w:sz w:val="24"/>
        </w:rPr>
        <w:t>其次，文章较少系统讨论希罗多德资料来源与口头传统的层面。Christ 在结尾承认，希罗多德可能继承并改写了既有传说。这个判断非常重要，值得进一步扩充。如果某些故事来自波斯、埃及或希腊地方传统，那么“国王式 inquiry”既是希罗多德的叙事构造，也是他处理传统材料时显露出的选择。不同传统为何偏好把国王写成发问者和实验者，也许可以提供另一条解释路径。</w:t>
      </w:r>
    </w:p>
    <w:p>
      <w:pPr>
        <w:spacing w:line="360" w:lineRule="auto" w:before="0" w:after="60"/>
        <w:ind w:firstLine="480"/>
        <w:jc w:val="both"/>
      </w:pPr>
      <w:r>
        <w:rPr>
          <w:rFonts w:ascii="Times New Roman" w:hAnsi="Times New Roman" w:eastAsia="宋体"/>
          <w:b w:val="0"/>
          <w:sz w:val="24"/>
        </w:rPr>
        <w:t>再次，文章将国王与历史家对照，清楚揭示希罗多德的自我定位，但还可以更细致地区分“作者希罗多德”“叙述者希罗多德”和作品内部的听闻共同体。希罗多德常把多种说法并列，让读者参与判断。国王往往追求确定答案，希罗多德叙述则允许悬置、保留和多声部。这个差异是 Christ 论点的自然延伸，也能进一步说明《历史》的开放形式。</w:t>
      </w:r>
    </w:p>
    <w:p>
      <w:pPr>
        <w:spacing w:line="360" w:lineRule="auto" w:before="0" w:after="60"/>
        <w:ind w:firstLine="480"/>
        <w:jc w:val="both"/>
      </w:pPr>
      <w:r>
        <w:rPr>
          <w:rFonts w:ascii="Times New Roman" w:hAnsi="Times New Roman" w:eastAsia="宋体"/>
          <w:b w:val="0"/>
          <w:sz w:val="24"/>
        </w:rPr>
        <w:t>这些可商榷之处有助于凸显文章的价值。它们显示 Christ 的框架具有继续生长的空间。阅读这篇文章后，读者会更加敏感地观察《历史》中每一个发问、检验和推论的场景。谁在问？怎样问？答案来自哪里？答案被怎样使用？这些问题能够贯穿民族志、地理学、政治史和神谕叙事，使《历史》的多样材料在方法论层面相互照明。</w:t>
      </w:r>
    </w:p>
    <w:p>
      <w:pPr>
        <w:spacing w:line="360" w:lineRule="auto" w:before="180" w:after="120"/>
        <w:ind w:firstLine="0"/>
        <w:jc w:val="center"/>
      </w:pPr>
      <w:r>
        <w:rPr>
          <w:rFonts w:ascii="Times New Roman" w:hAnsi="Times New Roman" w:eastAsia="宋体"/>
          <w:b/>
          <w:sz w:val="24"/>
        </w:rPr>
        <w:t>八、从文章回看《历史》的叙事教育</w:t>
      </w:r>
    </w:p>
    <w:p>
      <w:pPr>
        <w:spacing w:line="360" w:lineRule="auto" w:before="0" w:after="60"/>
        <w:ind w:firstLine="480"/>
        <w:jc w:val="both"/>
      </w:pPr>
      <w:r>
        <w:rPr>
          <w:rFonts w:ascii="Times New Roman" w:hAnsi="Times New Roman" w:eastAsia="宋体"/>
          <w:b w:val="0"/>
          <w:sz w:val="24"/>
        </w:rPr>
        <w:t>如果把 Christ 的论点进一步放大，可以说希罗多德通过国王故事训练读者的判断力。国王的错误往往发生在一个很小的解释环节。克洛伊索斯已经确认德尔斐的权威，却把含混神谕解释成有利于自己的预兆；薛西斯亲眼看见地理形势，却把自然知识转化为控制幻想；大流士获得派奥尼亚女子的族属信息，却把 ethnographic curiosity 转化为征服计划；冈比西斯需要证明自己清醒，却用残酷行为证明了相反方向的事实。读者在这些故事中不断练习区分证据、欲望和结论。</w:t>
      </w:r>
    </w:p>
    <w:p>
      <w:pPr>
        <w:spacing w:line="360" w:lineRule="auto" w:before="0" w:after="60"/>
        <w:ind w:firstLine="480"/>
        <w:jc w:val="both"/>
      </w:pPr>
      <w:r>
        <w:rPr>
          <w:rFonts w:ascii="Times New Roman" w:hAnsi="Times New Roman" w:eastAsia="宋体"/>
          <w:b w:val="0"/>
          <w:sz w:val="24"/>
        </w:rPr>
        <w:t>这种叙事教育与课堂所关注的古代史学问题密切相关。古代史家面对的材料常常流动，来源混杂，地域辽阔，事件和传闻交错。希罗多德在《历史》中保留这种复杂性，并用人物行动展示处理复杂性的方式。Christ 的文章有助于说明，希罗多德在材料层面包罗万象，也在叙事内部安排了许多关于知识生产的场景，让读者通过故事理解历史写作的困难。</w:t>
      </w:r>
    </w:p>
    <w:p>
      <w:pPr>
        <w:spacing w:line="360" w:lineRule="auto" w:before="0" w:after="60"/>
        <w:ind w:firstLine="480"/>
        <w:jc w:val="both"/>
      </w:pPr>
      <w:r>
        <w:rPr>
          <w:rFonts w:ascii="Times New Roman" w:hAnsi="Times New Roman" w:eastAsia="宋体"/>
          <w:b w:val="0"/>
          <w:sz w:val="24"/>
        </w:rPr>
        <w:t>国王在这些场景中非常适合作为试验场。普通人也会好奇、误判和自我欺骗，但国王的误判具有巨大后果。一个问题可以导致远征，一个推论可以导致屠杀，一个梦境可以改变帝国方向，一个数字可以支撑傲慢的战略判断。Christ 因而把国王放在 inquiry 的中心具有充分理由。国王的求知活动把认识论问题放大到政治史规模，使读者看到观念错误如何变成历史事件。</w:t>
      </w:r>
    </w:p>
    <w:p>
      <w:pPr>
        <w:spacing w:line="360" w:lineRule="auto" w:before="0" w:after="60"/>
        <w:ind w:firstLine="480"/>
        <w:jc w:val="both"/>
      </w:pPr>
      <w:r>
        <w:rPr>
          <w:rFonts w:ascii="Times New Roman" w:hAnsi="Times New Roman" w:eastAsia="宋体"/>
          <w:b w:val="0"/>
          <w:sz w:val="24"/>
        </w:rPr>
        <w:t>这一视角也能帮助理解希罗多德叙事中的顾问场景。许多国王身边都有劝诫者、祭司、使者或被询问者，他们提供信息、提出警告或进行反问。德马拉托斯提醒薛西斯斯巴达人的勇气，埃塞俄比亚国王反问波斯习俗，阿尔塔巴努斯尝试理性解释梦境。这些声音构成国王 inquiry 的外部校正机制。国王能否听取这些声音，往往决定其探究能否走向审慎。Christ 的文章虽然重点在国王本身，却也暗示了对话共同体的重要性。</w:t>
      </w:r>
    </w:p>
    <w:p>
      <w:pPr>
        <w:spacing w:line="360" w:lineRule="auto" w:before="0" w:after="60"/>
        <w:ind w:firstLine="480"/>
        <w:jc w:val="both"/>
      </w:pPr>
      <w:r>
        <w:rPr>
          <w:rFonts w:ascii="Times New Roman" w:hAnsi="Times New Roman" w:eastAsia="宋体"/>
          <w:b w:val="0"/>
          <w:sz w:val="24"/>
        </w:rPr>
        <w:t>从这个角度看，希罗多德的历史写作具有强烈的公共性。历史家把多方声音展示给读者，让读者看到同一事件可由多种方式解释。国王常把信息收拢到自身意志中，历史家则把信息开放给共同判断。这样的差异超出简单的道德评判，更是叙事形式本身的差异。Christ 通过国王镜像让这一点变得可见：历史写作的伦理不仅在结论中，也在呈现材料的方式中。</w:t>
      </w:r>
    </w:p>
    <w:p>
      <w:pPr>
        <w:spacing w:line="360" w:lineRule="auto" w:before="180" w:after="120"/>
        <w:ind w:firstLine="0"/>
        <w:jc w:val="center"/>
      </w:pPr>
      <w:r>
        <w:rPr>
          <w:rFonts w:ascii="Times New Roman" w:hAnsi="Times New Roman" w:eastAsia="宋体"/>
          <w:b/>
          <w:sz w:val="24"/>
        </w:rPr>
        <w:t>结语</w:t>
      </w:r>
    </w:p>
    <w:p>
      <w:pPr>
        <w:spacing w:line="360" w:lineRule="auto" w:before="0" w:after="60"/>
        <w:ind w:firstLine="480"/>
        <w:jc w:val="both"/>
      </w:pPr>
      <w:r>
        <w:rPr>
          <w:rFonts w:ascii="Times New Roman" w:hAnsi="Times New Roman" w:eastAsia="宋体"/>
          <w:b w:val="0"/>
          <w:sz w:val="24"/>
        </w:rPr>
        <w:t>总体而言，Christ 1994 是一篇以小见大的希罗多德研究。它选择“探究的国王”这一反复出现的叙事类型，重新解释《历史》中许多熟悉段落，使国王形象、历史方法和帝国批判连成一条线索。文章最值得把握的观点是：希罗多德通过国王求知的成功与失败，反思自己的历史探究。国王拥有调查世界的能力，也最容易让调查屈从于权力、欲望和自我荣耀。</w:t>
      </w:r>
    </w:p>
    <w:p>
      <w:pPr>
        <w:spacing w:line="360" w:lineRule="auto" w:before="0" w:after="60"/>
        <w:ind w:firstLine="480"/>
        <w:jc w:val="both"/>
      </w:pPr>
      <w:r>
        <w:rPr>
          <w:rFonts w:ascii="Times New Roman" w:hAnsi="Times New Roman" w:eastAsia="宋体"/>
          <w:b w:val="0"/>
          <w:sz w:val="24"/>
        </w:rPr>
        <w:t>这篇文章给读者的启发也很直接。阅读《历史》时，我们可以把注意力放在战争胜负和民族风俗之外，继续追问每个知识判断怎样形成。一个数字从哪里来，一条河流如何被解释，一个梦境如何被验证，一种习俗怎样被比较，一个远方民族为何成为征服对象，这些问题都关系到历史叙事的可靠性和伦理性。Christ 让我们看到，希罗多德的 inquiry 是一种关于人如何面对世界、他者和神意的持续训练。</w:t>
      </w:r>
    </w:p>
    <w:p>
      <w:pPr>
        <w:spacing w:line="360" w:lineRule="auto" w:before="0" w:after="60"/>
        <w:ind w:firstLine="480"/>
        <w:jc w:val="both"/>
      </w:pPr>
      <w:r>
        <w:rPr>
          <w:rFonts w:ascii="Times New Roman" w:hAnsi="Times New Roman" w:eastAsia="宋体"/>
          <w:b w:val="0"/>
          <w:sz w:val="24"/>
        </w:rPr>
        <w:t>按期末作业的综述要求来说，Christ 的文章论点集中、材料丰富、层次清楚。作者先提出元历史问题，再沿着观察、测量、探险、实验、神意检验等路径展开论证，最后回到希罗多德自我定位。这样的写法值得学习：它紧扣作者论点组织证据，使摘要、细读和评价形成连续推进。通过这篇文章，希罗多德的国王既是历史事件的发动者，也成为历史认识本身的展示者。</w:t>
      </w:r>
    </w:p>
    <w:p>
      <w:pPr>
        <w:spacing w:line="360" w:lineRule="auto" w:before="180" w:after="120"/>
        <w:ind w:firstLine="0"/>
        <w:jc w:val="center"/>
      </w:pPr>
      <w:r>
        <w:rPr>
          <w:rFonts w:ascii="Times New Roman" w:hAnsi="Times New Roman" w:eastAsia="宋体"/>
          <w:b/>
          <w:sz w:val="24"/>
        </w:rPr>
        <w:t>主要参考文献</w:t>
      </w:r>
    </w:p>
    <w:p>
      <w:pPr>
        <w:spacing w:line="360" w:lineRule="auto" w:before="0" w:after="60"/>
        <w:ind w:firstLine="480"/>
        <w:jc w:val="both"/>
      </w:pPr>
      <w:r>
        <w:rPr>
          <w:rFonts w:ascii="Times New Roman" w:hAnsi="Times New Roman" w:eastAsia="宋体"/>
          <w:b w:val="0"/>
          <w:sz w:val="24"/>
        </w:rPr>
        <w:t>Christ, Matthew R. “Herodotean Kings and Historical Inquiry.” Classical Antiquity 13.2 (1994): 167-202.</w:t>
      </w:r>
    </w:p>
    <w:p>
      <w:pPr>
        <w:spacing w:line="360" w:lineRule="auto" w:before="0" w:after="60"/>
        <w:ind w:firstLine="480"/>
        <w:jc w:val="both"/>
      </w:pPr>
      <w:r>
        <w:rPr>
          <w:rFonts w:ascii="Times New Roman" w:hAnsi="Times New Roman" w:eastAsia="宋体"/>
          <w:b w:val="0"/>
          <w:sz w:val="24"/>
        </w:rPr>
        <w:t>Herodotus. Histories. Translated by A. D. Godley. Loeb Classical Library. Cambridge, MA: Harvard University Press, 1920-1925.</w:t>
      </w:r>
    </w:p>
    <w:p>
      <w:pPr>
        <w:spacing w:line="360" w:lineRule="auto" w:before="0" w:after="60"/>
        <w:ind w:firstLine="480"/>
        <w:jc w:val="both"/>
      </w:pPr>
      <w:r>
        <w:rPr>
          <w:rFonts w:ascii="Times New Roman" w:hAnsi="Times New Roman" w:eastAsia="宋体"/>
          <w:b w:val="0"/>
          <w:sz w:val="24"/>
        </w:rPr>
        <w:t>Pelling, Christopher. Herodotus and the Question Why. Austin: University of Texas Press, 2019.</w:t>
      </w:r>
    </w:p>
    <w:p>
      <w:pPr>
        <w:spacing w:line="360" w:lineRule="auto" w:before="0" w:after="60"/>
        <w:ind w:firstLine="480"/>
        <w:jc w:val="both"/>
      </w:pPr>
      <w:r>
        <w:rPr>
          <w:rFonts w:ascii="Times New Roman" w:hAnsi="Times New Roman" w:eastAsia="宋体"/>
          <w:b w:val="0"/>
          <w:sz w:val="24"/>
        </w:rPr>
        <w:t>Thomas, Rosalind. Herodotus in Context: Ethnography, Science and the Art of Persuasion. Cambridge: Cambridge University Press, 2000.</w:t>
      </w:r>
    </w:p>
    <w:p>
      <w:pPr>
        <w:spacing w:line="360" w:lineRule="auto" w:before="0" w:after="60"/>
        <w:ind w:firstLine="480"/>
        <w:jc w:val="both"/>
      </w:pPr>
      <w:r>
        <w:rPr>
          <w:rFonts w:ascii="Times New Roman" w:hAnsi="Times New Roman" w:eastAsia="宋体"/>
          <w:b w:val="0"/>
          <w:sz w:val="24"/>
        </w:rPr>
        <w:t>Dewald, Carolyn, and John Marincola, eds. The Cambridge Companion to Herodotus. Cambridge: Cambridge University Press, 2006.</w:t>
      </w:r>
    </w:p>
    <w:sectPr>
      <w:type w:val="nextPage"/>
      <w:pgSz w:w="11906" w:h="16838"/>
      <w:pgMar w:left="1587" w:right="158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宋体"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标题样式"/>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索引"/>
    <w:basedOn w:val="Normal"/>
    <w:qFormat/>
    <w:pPr>
      <w:suppressLineNumbers/>
    </w:pPr>
    <w:rPr>
      <w:rFonts w:cs="FreeSans"/>
    </w:rPr>
  </w:style>
  <w:style w:type="paragraph" w:styleId="Style7">
    <w:name w:val="页眉与页脚"/>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paragraph" w:styleId="Style8">
    <w:name w:val="框架内容"/>
    <w:basedOn w:val="Normal"/>
    <w:qFormat/>
    <w:pPr/>
    <w:rPr/>
  </w:style>
  <w:style w:type="numbering" w:styleId="Style9" w:default="1">
    <w:name w:val="无列表"/>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LibreOffice/25.2.6.2$Linux_X86_64 LibreOffice_project/520$Build-2</Application>
  <AppVersion>15.0000</AppVersion>
  <Pages>5</Pages>
  <Words>2593</Words>
  <Characters>2971</Characters>
  <CharactersWithSpaces>3046</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