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2A8B8">
      <w:pPr>
        <w:spacing w:before="1200"/>
        <w:jc w:val="center"/>
      </w:pPr>
      <w:r>
        <w:rPr>
          <w:rFonts w:ascii="黑体" w:hAnsi="黑体" w:eastAsia="黑体"/>
          <w:b/>
          <w:sz w:val="44"/>
        </w:rPr>
        <w:t>实验设计报告</w:t>
      </w:r>
    </w:p>
    <w:p w14:paraId="16249644"/>
    <w:p w14:paraId="24036555">
      <w:pPr>
        <w:jc w:val="center"/>
      </w:pPr>
      <w:r>
        <w:rPr>
          <w:rFonts w:ascii="宋体" w:hAnsi="宋体" w:eastAsia="宋体"/>
          <w:b/>
          <w:sz w:val="28"/>
        </w:rPr>
        <w:t>研究题目：小优惠也能撬动消费？优惠券面额与使用门槛对消费兑现意愿的影响</w:t>
      </w:r>
    </w:p>
    <w:p w14:paraId="67B4E4DE"/>
    <w:p w14:paraId="14FD7188">
      <w:pPr>
        <w:jc w:val="center"/>
      </w:pPr>
      <w:r>
        <w:rPr>
          <w:rFonts w:ascii="宋体" w:hAnsi="宋体" w:eastAsia="宋体"/>
          <w:b/>
          <w:sz w:val="26"/>
        </w:rPr>
        <w:t>小组成员（第6组）：</w:t>
      </w:r>
    </w:p>
    <w:p w14:paraId="2DC6C493">
      <w:pPr>
        <w:jc w:val="center"/>
      </w:pPr>
      <w:r>
        <w:rPr>
          <w:rFonts w:ascii="宋体" w:hAnsi="宋体" w:eastAsia="宋体"/>
          <w:b w:val="0"/>
          <w:sz w:val="24"/>
        </w:rPr>
        <w:t>程乾坤  22307100049</w:t>
      </w:r>
    </w:p>
    <w:p w14:paraId="7675C748">
      <w:pPr>
        <w:jc w:val="center"/>
      </w:pPr>
      <w:r>
        <w:rPr>
          <w:rFonts w:ascii="宋体" w:hAnsi="宋体" w:eastAsia="宋体"/>
          <w:b w:val="0"/>
          <w:sz w:val="24"/>
        </w:rPr>
        <w:t>雷佑宁  22307100006</w:t>
      </w:r>
    </w:p>
    <w:p w14:paraId="0F37D715">
      <w:pPr>
        <w:jc w:val="center"/>
      </w:pPr>
      <w:r>
        <w:rPr>
          <w:rFonts w:ascii="宋体" w:hAnsi="宋体" w:eastAsia="宋体"/>
          <w:b w:val="0"/>
          <w:sz w:val="24"/>
        </w:rPr>
        <w:t>刘欣悦  23307100116</w:t>
      </w:r>
    </w:p>
    <w:p w14:paraId="76C9AAD6">
      <w:pPr>
        <w:jc w:val="center"/>
      </w:pPr>
      <w:r>
        <w:rPr>
          <w:rFonts w:ascii="宋体" w:hAnsi="宋体" w:eastAsia="宋体"/>
          <w:b w:val="0"/>
          <w:sz w:val="24"/>
        </w:rPr>
        <w:t>刘子溱  23307100144</w:t>
      </w:r>
    </w:p>
    <w:p w14:paraId="0BC7BACA">
      <w:pPr>
        <w:jc w:val="center"/>
      </w:pPr>
      <w:r>
        <w:rPr>
          <w:rFonts w:ascii="宋体" w:hAnsi="宋体" w:eastAsia="宋体"/>
          <w:b w:val="0"/>
          <w:sz w:val="24"/>
        </w:rPr>
        <w:t>王鲲淏  22307100011</w:t>
      </w:r>
    </w:p>
    <w:p w14:paraId="39B0AE9C">
      <w:pPr>
        <w:jc w:val="center"/>
      </w:pPr>
      <w:r>
        <w:rPr>
          <w:rFonts w:ascii="宋体" w:hAnsi="宋体" w:eastAsia="宋体"/>
          <w:b w:val="0"/>
          <w:sz w:val="24"/>
        </w:rPr>
        <w:t>章玉树  20301170104</w:t>
      </w:r>
    </w:p>
    <w:p w14:paraId="298AA4FC">
      <w:r>
        <w:br w:type="page"/>
      </w:r>
    </w:p>
    <w:p w14:paraId="1890B510">
      <w:pPr>
        <w:pStyle w:val="3"/>
      </w:pPr>
      <w:r>
        <w:t>一、变量名称及其定义</w:t>
      </w:r>
    </w:p>
    <w:p w14:paraId="290C82BD">
      <w:pPr>
        <w:pStyle w:val="4"/>
      </w:pPr>
      <w:r>
        <w:t>（一）自变量1——优惠券面额（Coupon Denomination）</w:t>
      </w:r>
    </w:p>
    <w:p w14:paraId="174D6240">
      <w:pPr>
        <w:ind w:firstLine="420"/>
      </w:pPr>
      <w:r>
        <w:rPr>
          <w:rFonts w:ascii="宋体" w:hAnsi="宋体" w:eastAsia="宋体"/>
          <w:b w:val="0"/>
          <w:sz w:val="24"/>
        </w:rPr>
        <w:t>优惠券面额是指优惠券上标明的具体减免金额，是消费者感知到的直接经济收益大小的核心指标。在本实验中，它被操作化为消费者在满足条件后可直接减少支付的货币数额（如"满100减10"中的"10元"）。根据交易效用理论（Thaler, 1985），面额代表了促销活动的"回报大小"，直接影响消费者对交易效用（Transaction Utility）的评估。</w:t>
      </w:r>
    </w:p>
    <w:p w14:paraId="496C11CD"/>
    <w:p w14:paraId="0EF58BF9">
      <w:r>
        <w:rPr>
          <w:rFonts w:ascii="宋体" w:hAnsi="宋体" w:eastAsia="宋体"/>
          <w:b/>
          <w:sz w:val="24"/>
        </w:rPr>
        <w:t>文献回顾：</w:t>
      </w:r>
    </w:p>
    <w:p w14:paraId="7706C999">
      <w:pPr>
        <w:ind w:firstLine="420"/>
      </w:pPr>
      <w:r>
        <w:rPr>
          <w:rFonts w:ascii="宋体" w:hAnsi="宋体" w:eastAsia="宋体"/>
          <w:b w:val="0"/>
          <w:sz w:val="24"/>
        </w:rPr>
        <w:t>Thaler（1985）在其心理账户理论的奠基性研究中指出，消费者将不同来源的金钱分配到不同的心理账户中。优惠券带来的折扣可被视作"意外之财"（windfall gain），消费者使用优惠券时的心理成本低于使用常规收入时的心理成本，因此优惠券面额越大，交易效用越高，消费动机越强。</w:t>
      </w:r>
    </w:p>
    <w:p w14:paraId="0B879819">
      <w:pPr>
        <w:ind w:firstLine="420"/>
      </w:pPr>
      <w:r>
        <w:rPr>
          <w:rFonts w:ascii="宋体" w:hAnsi="宋体" w:eastAsia="宋体"/>
          <w:b w:val="0"/>
          <w:sz w:val="24"/>
        </w:rPr>
        <w:t>Jia等（2018）通过1个现场数据和4个实验室实验，系统考察了优惠券面额对消费者支出的影响。研究发现，优惠券面额与消费支出之间呈倒U形关系：中面额优惠券激发最高的消费支出，而低面额和高面额条件下消费支出均较低。这一发现提示面额效应并非简单线性，而是受情境条件调节。</w:t>
      </w:r>
    </w:p>
    <w:p w14:paraId="4EFAD41A">
      <w:pPr>
        <w:ind w:firstLine="420"/>
        <w:rPr>
          <w:rFonts w:ascii="宋体" w:hAnsi="宋体" w:eastAsia="宋体"/>
          <w:b w:val="0"/>
          <w:sz w:val="24"/>
        </w:rPr>
      </w:pPr>
      <w:r>
        <w:rPr>
          <w:rFonts w:ascii="宋体" w:hAnsi="宋体" w:eastAsia="宋体"/>
          <w:b w:val="0"/>
          <w:sz w:val="24"/>
        </w:rPr>
        <w:t>Nayal和Pandey（2020）在数字优惠券兑现意愿的概念化与量表开发研究中，系统识别出优惠券面额是影响消费者兑现意愿的核心前因变量之一，其感知价值对兑现意愿具有稳健的正向预测效应。</w:t>
      </w:r>
    </w:p>
    <w:p w14:paraId="3FC2E8E6">
      <w:pPr>
        <w:ind w:firstLine="420"/>
        <w:rPr>
          <w:rFonts w:ascii="宋体" w:hAnsi="宋体" w:eastAsia="宋体"/>
          <w:b w:val="0"/>
          <w:sz w:val="24"/>
        </w:rPr>
      </w:pPr>
    </w:p>
    <w:p w14:paraId="4FE1453C">
      <w:pPr>
        <w:pStyle w:val="4"/>
      </w:pPr>
      <w:r>
        <w:t>（二）自变量2——使用门槛（Usage Threshold）</w:t>
      </w:r>
    </w:p>
    <w:p w14:paraId="7E9253E2">
      <w:pPr>
        <w:ind w:firstLine="420"/>
      </w:pPr>
      <w:r>
        <w:rPr>
          <w:rFonts w:ascii="宋体" w:hAnsi="宋体" w:eastAsia="宋体"/>
          <w:b w:val="0"/>
          <w:sz w:val="24"/>
        </w:rPr>
        <w:t>使用门槛是指消费者必须满足的最低消费金额或条件，才能激活并使用该优惠券。在本实验中，它被操作化为"满X元可用"中的"X元"数值。门槛本质上是消费者为获取优惠所需付出的最低努力成本，既可作为商家筛选消费者、提升客单价的策略工具（Amornpetchkul et al., 2018），也可能成为阻碍消费者使用优惠券的决策阻力。</w:t>
      </w:r>
    </w:p>
    <w:p w14:paraId="5A5D8532"/>
    <w:p w14:paraId="10608300">
      <w:r>
        <w:rPr>
          <w:rFonts w:ascii="宋体" w:hAnsi="宋体" w:eastAsia="宋体"/>
          <w:b/>
          <w:sz w:val="24"/>
        </w:rPr>
        <w:t>文献回顾：</w:t>
      </w:r>
    </w:p>
    <w:p w14:paraId="7F217820">
      <w:pPr>
        <w:ind w:firstLine="420"/>
      </w:pPr>
      <w:r>
        <w:rPr>
          <w:rFonts w:ascii="宋体" w:hAnsi="宋体" w:eastAsia="宋体"/>
          <w:b w:val="0"/>
          <w:sz w:val="24"/>
        </w:rPr>
        <w:t>Amornpetchkul等（2018）从行为经济学视角研究了条件性促销导致消费者超支的心理机制。研究发现，最低消费门槛会通过沉没成本效应和心理账户机制诱使消费者增加支出，但过高的门槛可能使消费者得出不划算的结论，从而放弃使用优惠券。</w:t>
      </w:r>
    </w:p>
    <w:p w14:paraId="1D99D79C">
      <w:pPr>
        <w:ind w:firstLine="420"/>
      </w:pPr>
      <w:r>
        <w:rPr>
          <w:rFonts w:ascii="宋体" w:hAnsi="宋体" w:eastAsia="宋体"/>
          <w:b w:val="0"/>
          <w:sz w:val="24"/>
        </w:rPr>
        <w:t>Lee和Ariely（2006）提出了购物目标具体性两阶段模型，发现条件性促销的有效性受购物目标具体性的显著调节。当门槛过高、购物目标模糊时，消费者难以将优惠券与具体消费需求匹配，兑现意愿大幅弱化。</w:t>
      </w:r>
    </w:p>
    <w:p w14:paraId="384111A0">
      <w:pPr>
        <w:ind w:firstLine="420"/>
        <w:rPr>
          <w:rFonts w:ascii="宋体" w:hAnsi="宋体" w:eastAsia="宋体"/>
          <w:b w:val="0"/>
          <w:sz w:val="24"/>
        </w:rPr>
      </w:pPr>
      <w:r>
        <w:rPr>
          <w:rFonts w:ascii="宋体" w:hAnsi="宋体" w:eastAsia="宋体"/>
          <w:b w:val="0"/>
          <w:sz w:val="24"/>
        </w:rPr>
        <w:t>Zhang等（2023）采用隐马尔可夫模型考察了最低门槛优惠券的短期与长期效果，发现最低门槛优惠券在兑换期内可提升消费者的购买概率和购买数量，但约束条件带来的心理阻力会削弱部分消费者的使用意愿，门槛高低是决定优惠券吸引力的关键调节变量。</w:t>
      </w:r>
    </w:p>
    <w:p w14:paraId="08C095E5">
      <w:pPr>
        <w:ind w:firstLine="420"/>
        <w:rPr>
          <w:rFonts w:ascii="宋体" w:hAnsi="宋体" w:eastAsia="宋体"/>
          <w:b w:val="0"/>
          <w:sz w:val="24"/>
        </w:rPr>
      </w:pPr>
    </w:p>
    <w:p w14:paraId="3AE69B68">
      <w:pPr>
        <w:pStyle w:val="4"/>
      </w:pPr>
      <w:r>
        <w:t>（三）因变量——消费兑现意愿（Consumption Redemption Intention）</w:t>
      </w:r>
    </w:p>
    <w:p w14:paraId="30A149F9">
      <w:pPr>
        <w:ind w:firstLine="420"/>
      </w:pPr>
      <w:r>
        <w:rPr>
          <w:rFonts w:ascii="宋体" w:hAnsi="宋体" w:eastAsia="宋体"/>
          <w:b w:val="0"/>
          <w:sz w:val="24"/>
        </w:rPr>
        <w:t>消费兑现意愿是指消费者在面对特定优惠券时，产生实际购买行为或前往商家消费的主观概率和倾向程度。在本实验中，它被操作化为被试在模拟情境下对"我愿意使用该优惠券进行消费"等题项的7点Likert量表评分（1 = 非常不同意，7 = 非常同意）。消费兑现意愿综合反映了优惠券对消费决策的驱动效果，是衡量促销有效性的重要因变量（Nayal &amp; Pandey, 2020）。</w:t>
      </w:r>
    </w:p>
    <w:p w14:paraId="77373D42"/>
    <w:p w14:paraId="175B6C20">
      <w:r>
        <w:rPr>
          <w:rFonts w:ascii="宋体" w:hAnsi="宋体" w:eastAsia="宋体"/>
          <w:b/>
          <w:sz w:val="24"/>
        </w:rPr>
        <w:t>文献回顾：</w:t>
      </w:r>
    </w:p>
    <w:p w14:paraId="35542EA2">
      <w:pPr>
        <w:ind w:firstLine="420"/>
      </w:pPr>
      <w:r>
        <w:rPr>
          <w:rFonts w:ascii="宋体" w:hAnsi="宋体" w:eastAsia="宋体"/>
          <w:b w:val="0"/>
          <w:sz w:val="24"/>
        </w:rPr>
        <w:t>Dodds等（1991）将购买意愿定义为消费者购买某种产品的可能性，并开发了被广泛使用的购买意愿测量量表，为后续优惠券兑现意愿量表开发奠定了基础。</w:t>
      </w:r>
    </w:p>
    <w:p w14:paraId="6CFED27C">
      <w:pPr>
        <w:ind w:firstLine="420"/>
      </w:pPr>
      <w:r>
        <w:rPr>
          <w:rFonts w:ascii="宋体" w:hAnsi="宋体" w:eastAsia="宋体"/>
          <w:b w:val="0"/>
          <w:sz w:val="24"/>
        </w:rPr>
        <w:t>Grewal等（1998）区分了获得价值和交易价值，交易价值（即感知到的交易"划算"程度）对购买意愿有显著正向影响，优惠券正是通过提升交易价值来激发消费兑现意愿。</w:t>
      </w:r>
    </w:p>
    <w:p w14:paraId="47A7993D">
      <w:pPr>
        <w:ind w:firstLine="420"/>
      </w:pPr>
      <w:r>
        <w:rPr>
          <w:rFonts w:ascii="宋体" w:hAnsi="宋体" w:eastAsia="宋体"/>
          <w:b w:val="0"/>
          <w:sz w:val="24"/>
        </w:rPr>
        <w:t>Nayal和Pandey（2021）在研究移动优惠券兑现意愿时，建立了moderated moderated-mediation 模型，发现消费者感知努力成本是调节面额效应的关键变量——高努力感知会显著削弱面额的正向推动作用，为门槛调节效应的存在提供了实证基础。</w:t>
      </w:r>
    </w:p>
    <w:p w14:paraId="6153E417">
      <w:r>
        <w:br w:type="page"/>
      </w:r>
    </w:p>
    <w:p w14:paraId="5FA7855E">
      <w:pPr>
        <w:pStyle w:val="3"/>
      </w:pPr>
      <w:r>
        <w:t>二、假设的完整陈述</w:t>
      </w:r>
    </w:p>
    <w:p w14:paraId="36F2BFFF">
      <w:pPr>
        <w:pStyle w:val="4"/>
      </w:pPr>
      <w:r>
        <w:t>（一）H1：优惠券面额正向影响消费者消费兑现意愿</w:t>
      </w:r>
    </w:p>
    <w:p w14:paraId="550F5501">
      <w:pPr>
        <w:ind w:firstLine="420"/>
      </w:pPr>
      <w:r>
        <w:rPr>
          <w:rFonts w:ascii="宋体" w:hAnsi="宋体" w:eastAsia="宋体"/>
          <w:b w:val="0"/>
          <w:sz w:val="24"/>
        </w:rPr>
        <w:t>即优惠券面额越大，消费者的消费兑现意愿越高。高面额优惠券（25元）比低面额优惠券（5元）更能激发消费者的兑现意愿。</w:t>
      </w:r>
    </w:p>
    <w:p w14:paraId="6987DB4A"/>
    <w:p w14:paraId="32972926">
      <w:r>
        <w:rPr>
          <w:rFonts w:ascii="宋体" w:hAnsi="宋体" w:eastAsia="宋体"/>
          <w:b/>
          <w:sz w:val="24"/>
        </w:rPr>
        <w:t>论据1（面额与消费者支出关系——Jia et al., 2018）：</w:t>
      </w:r>
    </w:p>
    <w:p w14:paraId="5F6EE7E4">
      <w:pPr>
        <w:ind w:firstLine="420"/>
      </w:pPr>
      <w:r>
        <w:rPr>
          <w:rFonts w:ascii="宋体" w:hAnsi="宋体" w:eastAsia="宋体"/>
          <w:b w:val="0"/>
          <w:sz w:val="24"/>
        </w:rPr>
        <w:t>Jia等（2018）通过实证研究发现了优惠券面额对消费者支出水平的显著推动作用：在面额未达到极高水平的范围内，面额越大，消费者的实际支出越高，兑现意愿越强。这一发现直接支撑了面额对消费兑现意愿的正向主效应假设，并为本实验选择中等面额水平（5元与25元对比）提供了理论依据。</w:t>
      </w:r>
    </w:p>
    <w:p w14:paraId="77E8A727">
      <w:pPr>
        <w:rPr>
          <w:rFonts w:ascii="宋体" w:hAnsi="宋体" w:eastAsia="宋体"/>
          <w:b/>
          <w:sz w:val="24"/>
        </w:rPr>
      </w:pPr>
    </w:p>
    <w:p w14:paraId="424C301F">
      <w:r>
        <w:rPr>
          <w:rFonts w:ascii="宋体" w:hAnsi="宋体" w:eastAsia="宋体"/>
          <w:b/>
          <w:sz w:val="24"/>
        </w:rPr>
        <w:t>论据2（促销利益一致性框架——Chandon et al., 2000）：</w:t>
      </w:r>
    </w:p>
    <w:p w14:paraId="4B4C48A0">
      <w:pPr>
        <w:ind w:firstLine="420"/>
      </w:pPr>
      <w:r>
        <w:rPr>
          <w:rFonts w:ascii="宋体" w:hAnsi="宋体" w:eastAsia="宋体"/>
          <w:b w:val="0"/>
          <w:sz w:val="24"/>
        </w:rPr>
        <w:t>Chandon等（2000）提出的benefit congruency framework指出，优惠力度（即面额）是促销感知利益最核心的来源。大额面额能够显著提升促销的整体吸引力，增强消费者的功利性和享乐性感知利益，从而增强购买倾向与兑现意愿。该框架确立了面额在促销效果中的基础性驱动地位。</w:t>
      </w:r>
    </w:p>
    <w:p w14:paraId="73BEDEFF">
      <w:pPr>
        <w:rPr>
          <w:rFonts w:ascii="宋体" w:hAnsi="宋体" w:eastAsia="宋体"/>
          <w:b/>
          <w:sz w:val="24"/>
        </w:rPr>
      </w:pPr>
    </w:p>
    <w:p w14:paraId="0A7C9CE3">
      <w:r>
        <w:rPr>
          <w:rFonts w:ascii="宋体" w:hAnsi="宋体" w:eastAsia="宋体"/>
          <w:b/>
          <w:sz w:val="24"/>
        </w:rPr>
        <w:t>论据3（数字优惠券兑现量表证据——Nayal &amp; Pandey, 2020）：</w:t>
      </w:r>
    </w:p>
    <w:p w14:paraId="33D91D2C">
      <w:pPr>
        <w:ind w:firstLine="420"/>
      </w:pPr>
      <w:r>
        <w:rPr>
          <w:rFonts w:ascii="宋体" w:hAnsi="宋体" w:eastAsia="宋体"/>
          <w:b w:val="0"/>
          <w:sz w:val="24"/>
        </w:rPr>
        <w:t>Nayal和Pandey（2020）在数字优惠券兑现意愿的概念化与量表开发研究中，系统识别出优惠券面额（coupon value）是影响消费者兑现意愿的核心前因变量之一，且面额感知价值对兑现意愿具有稳健的正向预测效应。该研究为数字化场景下面额的主效应提供了最新的实证支撑。</w:t>
      </w:r>
    </w:p>
    <w:p w14:paraId="470D6678">
      <w:pPr>
        <w:pStyle w:val="4"/>
      </w:pPr>
      <w:r>
        <w:t>（二）H2：使用门槛负向影响消费者消费兑现意愿</w:t>
      </w:r>
    </w:p>
    <w:p w14:paraId="06521E4E">
      <w:pPr>
        <w:ind w:firstLine="420"/>
      </w:pPr>
      <w:r>
        <w:rPr>
          <w:rFonts w:ascii="宋体" w:hAnsi="宋体" w:eastAsia="宋体"/>
          <w:b w:val="0"/>
          <w:sz w:val="24"/>
        </w:rPr>
        <w:t>即使用门槛越高，消费者兑现意愿越低（无门槛 &gt; 低门槛 &gt; 高门槛）。</w:t>
      </w:r>
    </w:p>
    <w:p w14:paraId="7CE68FA6"/>
    <w:p w14:paraId="2BC902BF">
      <w:r>
        <w:rPr>
          <w:rFonts w:ascii="宋体" w:hAnsi="宋体" w:eastAsia="宋体"/>
          <w:b/>
          <w:sz w:val="24"/>
        </w:rPr>
        <w:t>论据1（约束性优惠券的门槛效应——Zhang et al., 2023）：</w:t>
      </w:r>
    </w:p>
    <w:p w14:paraId="50496DD5">
      <w:pPr>
        <w:ind w:firstLine="420"/>
        <w:rPr>
          <w:rFonts w:ascii="宋体" w:hAnsi="宋体" w:eastAsia="宋体"/>
          <w:b w:val="0"/>
          <w:sz w:val="24"/>
        </w:rPr>
      </w:pPr>
      <w:r>
        <w:rPr>
          <w:rFonts w:ascii="宋体" w:hAnsi="宋体" w:eastAsia="宋体"/>
          <w:b w:val="0"/>
          <w:sz w:val="24"/>
        </w:rPr>
        <w:t>Zhang等（2023）采用隐马尔可夫模型考察了最低门槛优惠券的短期与长期效果，发现门槛约束虽然可在兑换期内提升消费者的购买概率和购买量，但约束条件带来的心理阻力会削弱部分消费者的使用意愿。过高的门槛使消费者感知到过大的额外支出成本，从而降低兑现意愿。</w:t>
      </w:r>
    </w:p>
    <w:p w14:paraId="6044D006">
      <w:pPr>
        <w:ind w:firstLine="420"/>
        <w:rPr>
          <w:rFonts w:ascii="宋体" w:hAnsi="宋体" w:eastAsia="宋体"/>
          <w:b w:val="0"/>
          <w:sz w:val="24"/>
        </w:rPr>
      </w:pPr>
    </w:p>
    <w:p w14:paraId="2C2EF38B">
      <w:r>
        <w:rPr>
          <w:rFonts w:ascii="宋体" w:hAnsi="宋体" w:eastAsia="宋体"/>
          <w:b/>
          <w:sz w:val="24"/>
        </w:rPr>
        <w:t>论据2（条件促销与超额消费的权衡——Amornpetchkul et al., 2018）：</w:t>
      </w:r>
    </w:p>
    <w:p w14:paraId="442EB3D0">
      <w:pPr>
        <w:ind w:firstLine="420"/>
        <w:rPr>
          <w:rFonts w:ascii="宋体" w:hAnsi="宋体" w:eastAsia="宋体"/>
          <w:b w:val="0"/>
          <w:sz w:val="24"/>
        </w:rPr>
      </w:pPr>
      <w:r>
        <w:rPr>
          <w:rFonts w:ascii="宋体" w:hAnsi="宋体" w:eastAsia="宋体"/>
          <w:b w:val="0"/>
          <w:sz w:val="24"/>
        </w:rPr>
        <w:t>Amornpetchkul等（2018）研究了条件促销（如"满X元减Y元"）对消费者行为的影响，发现消费者在面对最低消费要求时会进行"门槛努力—面额收益"的成本收益分析。当门槛要求过高、超出消费者日常消费预算时，促销吸引力显著下降，兑现意愿随之降低。</w:t>
      </w:r>
    </w:p>
    <w:p w14:paraId="523EE0DD">
      <w:pPr>
        <w:ind w:firstLine="420"/>
        <w:rPr>
          <w:rFonts w:ascii="宋体" w:hAnsi="宋体" w:eastAsia="宋体"/>
          <w:b w:val="0"/>
          <w:sz w:val="24"/>
        </w:rPr>
      </w:pPr>
    </w:p>
    <w:p w14:paraId="6D00E20A">
      <w:r>
        <w:rPr>
          <w:rFonts w:ascii="宋体" w:hAnsi="宋体" w:eastAsia="宋体"/>
          <w:b/>
          <w:sz w:val="24"/>
        </w:rPr>
        <w:t>论据3（购物目标具体性的调节作用——Lee &amp; Ariely, 2006）：</w:t>
      </w:r>
    </w:p>
    <w:p w14:paraId="0AD50F0B">
      <w:pPr>
        <w:ind w:firstLine="420"/>
        <w:rPr>
          <w:rFonts w:ascii="宋体" w:hAnsi="宋体" w:eastAsia="宋体"/>
          <w:b w:val="0"/>
          <w:sz w:val="24"/>
        </w:rPr>
      </w:pPr>
      <w:r>
        <w:rPr>
          <w:rFonts w:ascii="宋体" w:hAnsi="宋体" w:eastAsia="宋体"/>
          <w:b w:val="0"/>
          <w:sz w:val="24"/>
        </w:rPr>
        <w:t>Lee和Ariely（2006）对条件促销的研究表明，消费者在使用条件性优惠券时，其决策受购物目标具体性的显著调节。当消费门槛较高、购物目标模糊时，消费者难以将优惠券与具体消费需求匹配，兑现意愿大幅弱化。这从心理机制层面解释了门槛对消费兑现意愿的抑制效应。</w:t>
      </w:r>
    </w:p>
    <w:p w14:paraId="5743AFCB">
      <w:pPr>
        <w:ind w:firstLine="420"/>
        <w:rPr>
          <w:rFonts w:ascii="宋体" w:hAnsi="宋体" w:eastAsia="宋体"/>
          <w:b w:val="0"/>
          <w:sz w:val="24"/>
        </w:rPr>
      </w:pPr>
    </w:p>
    <w:p w14:paraId="1B751F17">
      <w:pPr>
        <w:pStyle w:val="4"/>
      </w:pPr>
      <w:r>
        <w:t>（三）H3：优惠券面额与使用门槛之间存在显著交互作用</w:t>
      </w:r>
    </w:p>
    <w:p w14:paraId="3B011396">
      <w:pPr>
        <w:ind w:firstLine="720" w:firstLineChars="0"/>
      </w:pPr>
      <w:r>
        <w:t>优惠券面额与使用门槛对消费兑现意愿存在显著交互作用。当使用门槛较低时，优惠券面额对消费兑现意愿的正向影响更强；当使用门槛较高时，优惠券面额的正向影响会显著减弱，甚至趋于不显著。</w:t>
      </w:r>
    </w:p>
    <w:p w14:paraId="60A70DF3"/>
    <w:p w14:paraId="1CDF3BE4">
      <w:r>
        <w:rPr>
          <w:rFonts w:ascii="宋体" w:hAnsi="宋体" w:eastAsia="宋体"/>
          <w:b/>
          <w:sz w:val="24"/>
        </w:rPr>
        <w:t>论据1（面额效应的非线性特征——Jia et al., 2018）：</w:t>
      </w:r>
    </w:p>
    <w:p w14:paraId="678F3CFC">
      <w:pPr>
        <w:ind w:firstLine="420"/>
        <w:rPr>
          <w:rFonts w:ascii="宋体" w:hAnsi="宋体" w:eastAsia="宋体"/>
          <w:b w:val="0"/>
          <w:sz w:val="24"/>
        </w:rPr>
      </w:pPr>
      <w:r>
        <w:rPr>
          <w:rFonts w:ascii="宋体" w:hAnsi="宋体" w:eastAsia="宋体"/>
          <w:b w:val="0"/>
          <w:sz w:val="24"/>
        </w:rPr>
        <w:t>Jia等（2018）发现优惠券面额对消费支出的影响并非简单线性，而是呈现倒U型关系。这一发现的核心启示在于：面额效应受其他条件（尤其是消费门槛）的调节。当门槛较低时，面额的正向驱动空间较大；当门槛过高时，即使大额面额也难以产生预期的促进效果，从而形成面额与门槛的交互模式。</w:t>
      </w:r>
    </w:p>
    <w:p w14:paraId="662C46E0">
      <w:pPr>
        <w:ind w:firstLine="420"/>
        <w:rPr>
          <w:rFonts w:ascii="宋体" w:hAnsi="宋体" w:eastAsia="宋体"/>
          <w:b w:val="0"/>
          <w:sz w:val="24"/>
        </w:rPr>
      </w:pPr>
    </w:p>
    <w:p w14:paraId="5CA9183D">
      <w:r>
        <w:rPr>
          <w:rFonts w:ascii="宋体" w:hAnsi="宋体" w:eastAsia="宋体"/>
          <w:b/>
          <w:sz w:val="24"/>
        </w:rPr>
        <w:t>论据2（多重调节中介模型的支持——Nayal &amp; Pandey, 2021）：</w:t>
      </w:r>
    </w:p>
    <w:p w14:paraId="2084A2CF">
      <w:pPr>
        <w:ind w:firstLine="420"/>
        <w:rPr>
          <w:rFonts w:ascii="宋体" w:hAnsi="宋体" w:eastAsia="宋体"/>
          <w:b w:val="0"/>
          <w:sz w:val="24"/>
        </w:rPr>
      </w:pPr>
      <w:r>
        <w:rPr>
          <w:rFonts w:ascii="宋体" w:hAnsi="宋体" w:eastAsia="宋体"/>
          <w:b w:val="0"/>
          <w:sz w:val="24"/>
        </w:rPr>
        <w:t>Nayal和Pandey（2021）在移动优惠券兑现意愿的研究中，建立了一个moderated moderated-mediation 模型，发现优惠券面额对兑现意愿的影响受到多重因素的链式调节。其中消费者的感知努力成本（perceived effort）——即门槛带来的心理成本——是关键的调节变量，高努力感知会显著削弱面额的正向作用。</w:t>
      </w:r>
    </w:p>
    <w:p w14:paraId="435691AB">
      <w:pPr>
        <w:ind w:firstLine="420"/>
        <w:rPr>
          <w:rFonts w:ascii="宋体" w:hAnsi="宋体" w:eastAsia="宋体"/>
          <w:b w:val="0"/>
          <w:sz w:val="24"/>
        </w:rPr>
      </w:pPr>
    </w:p>
    <w:p w14:paraId="0F69D482">
      <w:r>
        <w:rPr>
          <w:rFonts w:ascii="宋体" w:hAnsi="宋体" w:eastAsia="宋体"/>
          <w:b/>
          <w:sz w:val="24"/>
        </w:rPr>
        <w:t>论据3（不同约束类型的差异化效应——Zhang et al., 2023）：</w:t>
      </w:r>
    </w:p>
    <w:p w14:paraId="05B5F1F2">
      <w:pPr>
        <w:ind w:firstLine="420"/>
      </w:pPr>
      <w:r>
        <w:rPr>
          <w:rFonts w:ascii="宋体" w:hAnsi="宋体" w:eastAsia="宋体"/>
          <w:b w:val="0"/>
          <w:sz w:val="24"/>
        </w:rPr>
        <w:t>Zhang等（2023）比较了最低门槛约束与时间约束两类优惠券的效果差异，发现约束类型是调节促销效果的重要因素。不同约束条件对面额效应的调节方向与强度不同，这为本实验中面额与门槛交互效应的预期提供了来自真实消费场景的实证支持：面额与门槛之间存在系统性的交互关系，而非简单的主效应叠加。</w:t>
      </w:r>
      <w:r>
        <w:br w:type="page"/>
      </w:r>
    </w:p>
    <w:p w14:paraId="30932163">
      <w:pPr>
        <w:pStyle w:val="3"/>
      </w:pPr>
      <w:r>
        <w:t>三、模型的图示</w:t>
      </w:r>
    </w:p>
    <w:p w14:paraId="121C78A0">
      <w:pPr>
        <w:ind w:firstLine="420"/>
      </w:pPr>
      <w:r>
        <w:rPr>
          <w:rFonts w:ascii="宋体" w:hAnsi="宋体" w:eastAsia="宋体"/>
          <w:b w:val="0"/>
          <w:sz w:val="24"/>
        </w:rPr>
        <w:t>本实验采用2（面额：低5元 vs. 高25元）× 3（门槛：无门槛 vs. 低门槛 vs. 高门槛）的被试间多因素实验设计，共形成6个实验处理组。研究模型如下图所示：</w:t>
      </w:r>
    </w:p>
    <w:p w14:paraId="5A4AE10F">
      <w:pPr>
        <w:jc w:val="center"/>
      </w:pPr>
      <w:r>
        <w:drawing>
          <wp:inline distT="0" distB="0" distL="0" distR="0">
            <wp:extent cx="5274310" cy="2967990"/>
            <wp:effectExtent l="0" t="0" r="8890" b="3810"/>
            <wp:docPr id="68065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5647"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967990"/>
                    </a:xfrm>
                    <a:prstGeom prst="rect">
                      <a:avLst/>
                    </a:prstGeom>
                    <a:noFill/>
                    <a:ln>
                      <a:noFill/>
                    </a:ln>
                  </pic:spPr>
                </pic:pic>
              </a:graphicData>
            </a:graphic>
          </wp:inline>
        </w:drawing>
      </w:r>
    </w:p>
    <w:p w14:paraId="51E333EC"/>
    <w:p w14:paraId="197E4A46">
      <w:r>
        <w:rPr>
          <w:rFonts w:ascii="宋体" w:hAnsi="宋体" w:eastAsia="宋体"/>
          <w:b/>
          <w:sz w:val="24"/>
        </w:rPr>
        <w:t>假设关系总结：</w:t>
      </w:r>
    </w:p>
    <w:p w14:paraId="38A05126">
      <w:pPr>
        <w:ind w:firstLine="420"/>
      </w:pPr>
      <w:r>
        <w:rPr>
          <w:rFonts w:ascii="宋体" w:hAnsi="宋体" w:eastAsia="宋体"/>
          <w:b w:val="0"/>
          <w:sz w:val="24"/>
        </w:rPr>
        <w:t>H1（面额主效应）：优惠券面额越高，消费兑现意愿越强。</w:t>
      </w:r>
    </w:p>
    <w:p w14:paraId="2164E719">
      <w:pPr>
        <w:ind w:firstLine="420"/>
      </w:pPr>
      <w:r>
        <w:rPr>
          <w:rFonts w:ascii="宋体" w:hAnsi="宋体" w:eastAsia="宋体"/>
          <w:b w:val="0"/>
          <w:sz w:val="24"/>
        </w:rPr>
        <w:t>H2（门槛主效应）：使用门槛越高，消费兑现意愿越低。</w:t>
      </w:r>
    </w:p>
    <w:p w14:paraId="230901C7">
      <w:pPr>
        <w:ind w:firstLine="420"/>
      </w:pPr>
      <w:r>
        <w:rPr>
          <w:rFonts w:ascii="宋体" w:hAnsi="宋体" w:eastAsia="宋体"/>
          <w:b w:val="0"/>
          <w:sz w:val="24"/>
        </w:rPr>
        <w:t>H3（交互效应）：面额与门槛之间存在显著交互作用，高门槛会削弱面额对兑现意愿的正向影响。</w:t>
      </w:r>
    </w:p>
    <w:p w14:paraId="0916DBAA">
      <w:r>
        <w:br w:type="page"/>
      </w:r>
    </w:p>
    <w:p w14:paraId="4D7F15DA">
      <w:pPr>
        <w:pStyle w:val="3"/>
      </w:pPr>
      <w:r>
        <w:t>五、自变量的操控方法和检验方法</w:t>
      </w:r>
    </w:p>
    <w:p w14:paraId="50C9A5E0">
      <w:pPr>
        <w:pStyle w:val="4"/>
      </w:pPr>
      <w:r>
        <w:t>（一）操控设计概述</w:t>
      </w:r>
    </w:p>
    <w:p w14:paraId="48E03CD1">
      <w:pPr>
        <w:ind w:firstLine="420"/>
      </w:pPr>
      <w:r>
        <w:rPr>
          <w:rFonts w:ascii="宋体" w:hAnsi="宋体" w:eastAsia="宋体"/>
          <w:b w:val="0"/>
          <w:sz w:val="24"/>
        </w:rPr>
        <w:t>本实验采用文字情景模拟（Scenario-based Experiment）的方式进行自变量操控。选择情景模拟法的理由如下：（1）可以从外部操控实验因素的水平，保证高内部效度；（2）相对于让被试在真实消费场景中做决策，情景模拟可以标准化实验条件，消除无关变量的干扰；（3）在消费行为研究中，情景模拟法已被广泛采用（Jia et al., 2018; Lee &amp; Ariely, 2006），其生态效度在多个元分析中得到了验证。</w:t>
      </w:r>
    </w:p>
    <w:p w14:paraId="4C8F7358">
      <w:pPr>
        <w:pStyle w:val="4"/>
      </w:pPr>
      <w:r>
        <w:t>（二）实验情景背景（所有组均相同）</w:t>
      </w:r>
    </w:p>
    <w:p w14:paraId="2EE14297">
      <w:pPr>
        <w:ind w:firstLine="420"/>
      </w:pPr>
      <w:r>
        <w:rPr>
          <w:rFonts w:ascii="宋体" w:hAnsi="宋体" w:eastAsia="宋体"/>
          <w:b w:val="0"/>
          <w:sz w:val="24"/>
        </w:rPr>
        <w:t>以下是所有被试在正式阅读优惠券信息前将看到的情景描述文本：</w:t>
      </w:r>
    </w:p>
    <w:p w14:paraId="4049850B"/>
    <w:p w14:paraId="3A366B64">
      <w:r>
        <w:rPr>
          <w:rFonts w:ascii="宋体" w:hAnsi="宋体" w:eastAsia="宋体"/>
          <w:b/>
          <w:sz w:val="24"/>
        </w:rPr>
        <w:t>━━━━━━━━━━ 情景材料【开始】━━━━━━━━━━</w:t>
      </w:r>
    </w:p>
    <w:p w14:paraId="4AC873E0">
      <w:pPr>
        <w:ind w:firstLine="420"/>
      </w:pPr>
      <w:r>
        <w:rPr>
          <w:rFonts w:ascii="宋体" w:hAnsi="宋体" w:eastAsia="宋体"/>
          <w:b w:val="0"/>
          <w:sz w:val="24"/>
        </w:rPr>
        <w:t>请想象以下情景：</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你是一名在校大学生，平时经常购买咖啡或茶饮。某天，你在手机上收到一张来自"悦享咖啡"的电子优惠券。"悦享咖啡"是一家全国连锁的咖啡茶饮品牌（为实验需要虚构，非真实品牌），在学校周边设有门店，支持到店取餐和外送服务。该品牌的定价与瑞幸咖啡、库迪咖啡等常见大学生消费品牌相当：标准饮品（美式、拿铁等）单价约15-25元，轻食（三明治、烘焙等）单价约20-35元。优惠券有效期为7天。</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请仔细阅读下面关于该优惠券的具体信息，并据此回答后续问题。答案无对错之分，请根据你的真实感受作答。</w:t>
      </w:r>
    </w:p>
    <w:p w14:paraId="5E5E9A97">
      <w:r>
        <w:rPr>
          <w:rFonts w:ascii="宋体" w:hAnsi="宋体" w:eastAsia="宋体"/>
          <w:b/>
          <w:sz w:val="24"/>
        </w:rPr>
        <w:t>━━━━━━━━━━ 情景材料【结束】━━━━━━━━━━</w:t>
      </w:r>
    </w:p>
    <w:p w14:paraId="2918E1AD"/>
    <w:p w14:paraId="4E31FDB6">
      <w:pPr>
        <w:pStyle w:val="4"/>
      </w:pPr>
      <w:r>
        <w:t>（三）自变量的具体操控材料</w:t>
      </w:r>
    </w:p>
    <w:p w14:paraId="4DFA1D40">
      <w:pPr>
        <w:ind w:firstLine="420"/>
      </w:pPr>
      <w:r>
        <w:rPr>
          <w:rFonts w:ascii="宋体" w:hAnsi="宋体" w:eastAsia="宋体"/>
          <w:b w:val="0"/>
          <w:sz w:val="24"/>
        </w:rPr>
        <w:t>每组被试在上述共同情景材料的基础上，将看到不同的优惠券信息卡片。优惠券面额和使用门槛的操控通过更改优惠券信息卡片中的关键数字来实现，其余信息保持完全一致。</w:t>
      </w:r>
    </w:p>
    <w:p w14:paraId="72EBA1AE"/>
    <w:p w14:paraId="4136E1EC">
      <w:r>
        <w:rPr>
          <w:rFonts w:ascii="宋体" w:hAnsi="宋体" w:eastAsia="宋体"/>
          <w:b/>
          <w:sz w:val="24"/>
        </w:rPr>
        <w:t>① 优惠券面额的操控</w:t>
      </w:r>
    </w:p>
    <w:p w14:paraId="5BBFB77F">
      <w:r>
        <w:rPr>
          <w:rFonts w:ascii="宋体" w:hAnsi="宋体" w:eastAsia="宋体"/>
          <w:b/>
          <w:sz w:val="22"/>
        </w:rPr>
        <w:t>面额选取依据：</w:t>
      </w:r>
    </w:p>
    <w:p w14:paraId="5B286584">
      <w:pPr>
        <w:numPr>
          <w:ilvl w:val="0"/>
          <w:numId w:val="7"/>
        </w:numPr>
        <w:rPr>
          <w:rFonts w:ascii="宋体" w:hAnsi="宋体" w:eastAsia="宋体"/>
          <w:b w:val="0"/>
          <w:sz w:val="22"/>
        </w:rPr>
      </w:pPr>
      <w:r>
        <w:rPr>
          <w:rFonts w:ascii="宋体" w:hAnsi="宋体" w:eastAsia="宋体"/>
          <w:b w:val="0"/>
          <w:sz w:val="22"/>
        </w:rPr>
        <w:t>低面额5元：对应大学生日常咖啡消费的常见促销力度。在瑞幸咖啡等品牌中，"满30减5"或"5元立减券"是常见券种，被试对其熟悉度高、认知负载低。</w:t>
      </w:r>
    </w:p>
    <w:p w14:paraId="3AD6AABD">
      <w:pPr>
        <w:numPr>
          <w:numId w:val="0"/>
        </w:numPr>
      </w:pPr>
      <w:r>
        <w:rPr>
          <w:rFonts w:ascii="宋体" w:hAnsi="宋体" w:eastAsia="宋体"/>
          <w:b w:val="0"/>
          <w:sz w:val="22"/>
        </w:rPr>
        <w:t>（2）高面额25元：为低面额的5倍，价差足够大以产生显著的心理感知差异，同时仍在"咖啡消费"的合理折扣范围内（25元约等于一杯免费饮品），不会引发质量怀疑。（3）Jia等（2018）的倒U型面额效应研究选择了5美元与25美元作为面额水平，本实验的5元与25元设定与其保持一致的倍数关系，便于跨国研究的间接比较。</w:t>
      </w:r>
    </w:p>
    <w:p w14:paraId="77C92FB7"/>
    <w:p w14:paraId="318B0A6E">
      <w:r>
        <w:rPr>
          <w:rFonts w:ascii="宋体" w:hAnsi="宋体" w:eastAsia="宋体"/>
          <w:b/>
          <w:sz w:val="24"/>
        </w:rPr>
        <w:t>【低面额条件】优惠券信息卡片内容：</w:t>
      </w:r>
    </w:p>
    <w:p w14:paraId="7A51FE2C">
      <w:r>
        <w:rPr>
          <w:rFonts w:ascii="宋体" w:hAnsi="宋体" w:eastAsia="宋体"/>
          <w:b w:val="0"/>
          <w:sz w:val="21"/>
        </w:rPr>
        <w:t xml:space="preserve">  ┌─────────────────────────────┐</w:t>
      </w:r>
    </w:p>
    <w:p w14:paraId="5F462C35">
      <w:r>
        <w:rPr>
          <w:rFonts w:ascii="宋体" w:hAnsi="宋体" w:eastAsia="宋体"/>
          <w:b w:val="0"/>
          <w:sz w:val="21"/>
        </w:rPr>
        <w:t xml:space="preserve">  │  悦享咖啡  〓 电子优惠券          │</w:t>
      </w:r>
    </w:p>
    <w:p w14:paraId="01DEDF30">
      <w:r>
        <w:rPr>
          <w:rFonts w:ascii="宋体" w:hAnsi="宋体" w:eastAsia="宋体"/>
          <w:b w:val="0"/>
          <w:sz w:val="21"/>
        </w:rPr>
        <w:t xml:space="preserve">  │  优惠金额：5元                     │</w:t>
      </w:r>
    </w:p>
    <w:p w14:paraId="340DCCAD">
      <w:r>
        <w:rPr>
          <w:rFonts w:ascii="宋体" w:hAnsi="宋体" w:eastAsia="宋体"/>
          <w:b w:val="0"/>
          <w:sz w:val="21"/>
        </w:rPr>
        <w:t xml:space="preserve">  │  有效期：自领取之日起7天内有效       │</w:t>
      </w:r>
    </w:p>
    <w:p w14:paraId="4F044FA8">
      <w:r>
        <w:rPr>
          <w:rFonts w:ascii="宋体" w:hAnsi="宋体" w:eastAsia="宋体"/>
          <w:b w:val="0"/>
          <w:sz w:val="21"/>
        </w:rPr>
        <w:t xml:space="preserve">  │  适用范围：全店饮品及轻食            │</w:t>
      </w:r>
    </w:p>
    <w:p w14:paraId="0B2681F9">
      <w:r>
        <w:rPr>
          <w:rFonts w:ascii="宋体" w:hAnsi="宋体" w:eastAsia="宋体"/>
          <w:b w:val="0"/>
          <w:sz w:val="21"/>
        </w:rPr>
        <w:t xml:space="preserve">  │  （使用条件见下方说明）              │</w:t>
      </w:r>
    </w:p>
    <w:p w14:paraId="074293FB">
      <w:r>
        <w:rPr>
          <w:rFonts w:ascii="宋体" w:hAnsi="宋体" w:eastAsia="宋体"/>
          <w:b w:val="0"/>
          <w:sz w:val="21"/>
        </w:rPr>
        <w:t xml:space="preserve">  └─────────────────────────────┘</w:t>
      </w:r>
    </w:p>
    <w:p w14:paraId="13AE9B29"/>
    <w:p w14:paraId="523C6D3A">
      <w:r>
        <w:rPr>
          <w:rFonts w:ascii="宋体" w:hAnsi="宋体" w:eastAsia="宋体"/>
          <w:b/>
          <w:sz w:val="24"/>
        </w:rPr>
        <w:t>【高面额条件】优惠券信息卡片内容：</w:t>
      </w:r>
    </w:p>
    <w:p w14:paraId="632B4EFE">
      <w:r>
        <w:rPr>
          <w:rFonts w:ascii="宋体" w:hAnsi="宋体" w:eastAsia="宋体"/>
          <w:b w:val="0"/>
          <w:sz w:val="21"/>
        </w:rPr>
        <w:t xml:space="preserve">  ┌─────────────────────────────┐</w:t>
      </w:r>
    </w:p>
    <w:p w14:paraId="7E03D65D">
      <w:r>
        <w:rPr>
          <w:rFonts w:ascii="宋体" w:hAnsi="宋体" w:eastAsia="宋体"/>
          <w:b w:val="0"/>
          <w:sz w:val="21"/>
        </w:rPr>
        <w:t xml:space="preserve">  │  悦享咖啡  〓 电子优惠券          │</w:t>
      </w:r>
    </w:p>
    <w:p w14:paraId="2F99249B">
      <w:r>
        <w:rPr>
          <w:rFonts w:ascii="宋体" w:hAnsi="宋体" w:eastAsia="宋体"/>
          <w:b w:val="0"/>
          <w:sz w:val="21"/>
        </w:rPr>
        <w:t xml:space="preserve">  │  优惠金额：25元                    │</w:t>
      </w:r>
    </w:p>
    <w:p w14:paraId="51F362FF">
      <w:r>
        <w:rPr>
          <w:rFonts w:ascii="宋体" w:hAnsi="宋体" w:eastAsia="宋体"/>
          <w:b w:val="0"/>
          <w:sz w:val="21"/>
        </w:rPr>
        <w:t xml:space="preserve">  │  有效期：自领取之日起7天内有效       │</w:t>
      </w:r>
    </w:p>
    <w:p w14:paraId="66C01850">
      <w:r>
        <w:rPr>
          <w:rFonts w:ascii="宋体" w:hAnsi="宋体" w:eastAsia="宋体"/>
          <w:b w:val="0"/>
          <w:sz w:val="21"/>
        </w:rPr>
        <w:t xml:space="preserve">  │  适用范围：全店饮品及轻食            │</w:t>
      </w:r>
    </w:p>
    <w:p w14:paraId="7E702FAA">
      <w:r>
        <w:rPr>
          <w:rFonts w:ascii="宋体" w:hAnsi="宋体" w:eastAsia="宋体"/>
          <w:b w:val="0"/>
          <w:sz w:val="21"/>
        </w:rPr>
        <w:t xml:space="preserve">  │  （使用条件见下方说明）              │</w:t>
      </w:r>
    </w:p>
    <w:p w14:paraId="34BDF081">
      <w:r>
        <w:rPr>
          <w:rFonts w:ascii="宋体" w:hAnsi="宋体" w:eastAsia="宋体"/>
          <w:b w:val="0"/>
          <w:sz w:val="21"/>
        </w:rPr>
        <w:t xml:space="preserve">  └─────────────────────────────┘</w:t>
      </w:r>
    </w:p>
    <w:p w14:paraId="4619046D"/>
    <w:p w14:paraId="28AA4ED0">
      <w:r>
        <w:rPr>
          <w:rFonts w:ascii="宋体" w:hAnsi="宋体" w:eastAsia="宋体"/>
          <w:b/>
          <w:sz w:val="24"/>
        </w:rPr>
        <w:t>② 使用门槛的操控</w:t>
      </w:r>
    </w:p>
    <w:p w14:paraId="0D9EF4D4">
      <w:r>
        <w:rPr>
          <w:rFonts w:ascii="宋体" w:hAnsi="宋体" w:eastAsia="宋体"/>
          <w:b/>
          <w:sz w:val="22"/>
        </w:rPr>
        <w:t>门槛选取依据：</w:t>
      </w:r>
    </w:p>
    <w:p w14:paraId="2C2D162A">
      <w:r>
        <w:rPr>
          <w:rFonts w:ascii="宋体" w:hAnsi="宋体" w:eastAsia="宋体"/>
          <w:b w:val="0"/>
          <w:sz w:val="22"/>
        </w:rPr>
        <w:t>（1）无门槛：作为基线条件，对应"立减券""现金券"等免条件优惠券形式。（2）低门槛（满30元）：约等于2杯标准饮品（15元×2），是大学生日常消费的常见金额。在真实商业场景中，"满30减X"是瑞幸、库迪等品牌最常发放的券种。（3）高门槛（满80元）：约等于4-5杯饮品或"2杯饮品+2份轻食"的聚餐消费。对大学生而言，需要特意规划消费场景（如小组讨论、朋友聚会）才能达到，显著超出日常单人消费水平，从而有效制造心理阻力。（4）门槛水平的选择参考了Zhang等（2023）对最低门槛优惠券的研究，该研究中的低/高门槛同样基于目标品类的客单价倍数设定。</w:t>
      </w:r>
    </w:p>
    <w:p w14:paraId="24F3B384"/>
    <w:p w14:paraId="501C0CB2">
      <w:r>
        <w:rPr>
          <w:rFonts w:ascii="宋体" w:hAnsi="宋体" w:eastAsia="宋体"/>
          <w:b/>
          <w:sz w:val="24"/>
        </w:rPr>
        <w:t>【无门槛条件】优惠券使用说明文本：</w:t>
      </w:r>
    </w:p>
    <w:p w14:paraId="32BE4028">
      <w:pPr>
        <w:ind w:firstLine="420"/>
      </w:pPr>
      <w:r>
        <w:rPr>
          <w:rFonts w:ascii="宋体" w:hAnsi="宋体" w:eastAsia="宋体"/>
          <w:b w:val="0"/>
          <w:sz w:val="24"/>
        </w:rPr>
        <w:t>使用条件：无最低消费限制。不限消费金额，结账时出示本券即可直接抵扣5元（/25元）。</w:t>
      </w:r>
    </w:p>
    <w:p w14:paraId="63E6B6A4"/>
    <w:p w14:paraId="02032CF1">
      <w:r>
        <w:rPr>
          <w:rFonts w:ascii="宋体" w:hAnsi="宋体" w:eastAsia="宋体"/>
          <w:b/>
          <w:sz w:val="24"/>
        </w:rPr>
        <w:t>【低门槛条件（满30元）】优惠券使用说明文本：</w:t>
      </w:r>
    </w:p>
    <w:p w14:paraId="0167E940">
      <w:pPr>
        <w:ind w:firstLine="420"/>
      </w:pPr>
      <w:r>
        <w:rPr>
          <w:rFonts w:ascii="宋体" w:hAnsi="宋体" w:eastAsia="宋体"/>
          <w:b w:val="0"/>
          <w:sz w:val="24"/>
        </w:rPr>
        <w:t>使用条件：单笔消费满30元可使用本券。满30元后，结账时出示本券可直接抵扣5元（/25元）。</w:t>
      </w:r>
      <w:r>
        <w:rPr>
          <w:rFonts w:ascii="宋体" w:hAnsi="宋体" w:eastAsia="宋体"/>
          <w:b w:val="0"/>
          <w:sz w:val="24"/>
        </w:rPr>
        <w:br w:type="textWrapping"/>
      </w:r>
      <w:r>
        <w:rPr>
          <w:rFonts w:ascii="宋体" w:hAnsi="宋体" w:eastAsia="宋体"/>
          <w:b w:val="0"/>
          <w:sz w:val="24"/>
        </w:rPr>
        <w:t>（参考：一杯标准饮品约15-25元，满30元约等于2杯饮品。）</w:t>
      </w:r>
    </w:p>
    <w:p w14:paraId="1E22CD1F"/>
    <w:p w14:paraId="15E9184B">
      <w:r>
        <w:rPr>
          <w:rFonts w:ascii="宋体" w:hAnsi="宋体" w:eastAsia="宋体"/>
          <w:b/>
          <w:sz w:val="24"/>
        </w:rPr>
        <w:t>【高门槛条件（满80元）】优惠券使用说明文本：</w:t>
      </w:r>
    </w:p>
    <w:p w14:paraId="26280333">
      <w:pPr>
        <w:ind w:firstLine="420"/>
      </w:pPr>
      <w:r>
        <w:rPr>
          <w:rFonts w:ascii="宋体" w:hAnsi="宋体" w:eastAsia="宋体"/>
          <w:b w:val="0"/>
          <w:sz w:val="24"/>
        </w:rPr>
        <w:t>使用条件：单笔消费满80元可使用本券。满80元后，结账时出示本券可直接抵扣5元（/25元）。</w:t>
      </w:r>
      <w:r>
        <w:rPr>
          <w:rFonts w:ascii="宋体" w:hAnsi="宋体" w:eastAsia="宋体"/>
          <w:b w:val="0"/>
          <w:sz w:val="24"/>
        </w:rPr>
        <w:br w:type="textWrapping"/>
      </w:r>
      <w:r>
        <w:rPr>
          <w:rFonts w:ascii="宋体" w:hAnsi="宋体" w:eastAsia="宋体"/>
          <w:b w:val="0"/>
          <w:sz w:val="24"/>
        </w:rPr>
        <w:t>（参考：一杯标准饮品约15-25元，满80元约等于4-5杯饮品或"饮品+轻食"组合。）</w:t>
      </w:r>
    </w:p>
    <w:p w14:paraId="3BBED27D"/>
    <w:p w14:paraId="58321BDF">
      <w:r>
        <w:rPr>
          <w:rFonts w:ascii="宋体" w:hAnsi="宋体" w:eastAsia="宋体"/>
          <w:b/>
          <w:sz w:val="24"/>
        </w:rPr>
        <w:t>③ 六组实验条件完整对照表</w:t>
      </w:r>
    </w:p>
    <w:p w14:paraId="073D557E">
      <w:pPr>
        <w:ind w:firstLine="420"/>
      </w:pPr>
      <w:r>
        <w:rPr>
          <w:rFonts w:ascii="宋体" w:hAnsi="宋体" w:eastAsia="宋体"/>
          <w:b w:val="0"/>
          <w:sz w:val="24"/>
        </w:rPr>
        <w:t>下表列出了6个实验组所接收的全部操控信息差异：</w:t>
      </w:r>
    </w:p>
    <w:p w14:paraId="1D90250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
        <w:gridCol w:w="1091"/>
        <w:gridCol w:w="1491"/>
        <w:gridCol w:w="2897"/>
        <w:gridCol w:w="2192"/>
      </w:tblGrid>
      <w:tr w14:paraId="1863C346">
        <w:trPr>
          <w:jc w:val="center"/>
        </w:trPr>
        <w:tc>
          <w:tcPr>
            <w:tcW w:w="969" w:type="dxa"/>
          </w:tcPr>
          <w:p w14:paraId="0F1D4DD0">
            <w:pPr>
              <w:jc w:val="left"/>
            </w:pPr>
            <w:r>
              <w:rPr>
                <w:rFonts w:ascii="宋体" w:hAnsi="宋体" w:eastAsia="宋体"/>
                <w:b/>
                <w:sz w:val="20"/>
              </w:rPr>
              <w:t>组别</w:t>
            </w:r>
          </w:p>
        </w:tc>
        <w:tc>
          <w:tcPr>
            <w:tcW w:w="1091" w:type="dxa"/>
          </w:tcPr>
          <w:p w14:paraId="23534394">
            <w:pPr>
              <w:jc w:val="left"/>
            </w:pPr>
            <w:r>
              <w:rPr>
                <w:rFonts w:ascii="宋体" w:hAnsi="宋体" w:eastAsia="宋体"/>
                <w:b/>
                <w:sz w:val="20"/>
              </w:rPr>
              <w:t>面额</w:t>
            </w:r>
          </w:p>
        </w:tc>
        <w:tc>
          <w:tcPr>
            <w:tcW w:w="1491" w:type="dxa"/>
          </w:tcPr>
          <w:p w14:paraId="4FC59EB0">
            <w:pPr>
              <w:jc w:val="left"/>
            </w:pPr>
            <w:r>
              <w:rPr>
                <w:rFonts w:ascii="宋体" w:hAnsi="宋体" w:eastAsia="宋体"/>
                <w:b/>
                <w:sz w:val="20"/>
              </w:rPr>
              <w:t>门槛</w:t>
            </w:r>
          </w:p>
        </w:tc>
        <w:tc>
          <w:tcPr>
            <w:tcW w:w="2897" w:type="dxa"/>
          </w:tcPr>
          <w:p w14:paraId="25D18D6D">
            <w:pPr>
              <w:jc w:val="left"/>
            </w:pPr>
            <w:r>
              <w:rPr>
                <w:rFonts w:ascii="宋体" w:hAnsi="宋体" w:eastAsia="宋体"/>
                <w:b/>
                <w:sz w:val="20"/>
              </w:rPr>
              <w:t>优惠券核心信息</w:t>
            </w:r>
          </w:p>
        </w:tc>
        <w:tc>
          <w:tcPr>
            <w:tcW w:w="2192" w:type="dxa"/>
          </w:tcPr>
          <w:p w14:paraId="74689310">
            <w:pPr>
              <w:jc w:val="left"/>
            </w:pPr>
            <w:r>
              <w:rPr>
                <w:rFonts w:ascii="宋体" w:hAnsi="宋体" w:eastAsia="宋体"/>
                <w:b/>
                <w:sz w:val="20"/>
              </w:rPr>
              <w:t>实际支付示例</w:t>
            </w:r>
            <w:r>
              <w:rPr>
                <w:rFonts w:ascii="宋体" w:hAnsi="宋体" w:eastAsia="宋体"/>
                <w:b/>
                <w:sz w:val="20"/>
              </w:rPr>
              <w:br w:type="textWrapping"/>
            </w:r>
            <w:r>
              <w:rPr>
                <w:rFonts w:ascii="宋体" w:hAnsi="宋体" w:eastAsia="宋体"/>
                <w:b/>
                <w:sz w:val="20"/>
              </w:rPr>
              <w:t>（2杯拿铁≈30元）</w:t>
            </w:r>
          </w:p>
        </w:tc>
      </w:tr>
      <w:tr w14:paraId="4AD0EA41">
        <w:trPr>
          <w:jc w:val="center"/>
        </w:trPr>
        <w:tc>
          <w:tcPr>
            <w:tcW w:w="969" w:type="dxa"/>
          </w:tcPr>
          <w:p w14:paraId="2EDCD1CD">
            <w:pPr>
              <w:jc w:val="left"/>
            </w:pPr>
            <w:r>
              <w:rPr>
                <w:rFonts w:ascii="宋体" w:hAnsi="宋体" w:eastAsia="宋体"/>
                <w:b w:val="0"/>
                <w:sz w:val="20"/>
              </w:rPr>
              <w:t>第1组</w:t>
            </w:r>
            <w:r>
              <w:rPr>
                <w:rFonts w:ascii="宋体" w:hAnsi="宋体" w:eastAsia="宋体"/>
                <w:b w:val="0"/>
                <w:sz w:val="20"/>
              </w:rPr>
              <w:br w:type="textWrapping"/>
            </w:r>
            <w:r>
              <w:rPr>
                <w:rFonts w:ascii="宋体" w:hAnsi="宋体" w:eastAsia="宋体"/>
                <w:b w:val="0"/>
                <w:sz w:val="20"/>
              </w:rPr>
              <w:t>(n=30)</w:t>
            </w:r>
          </w:p>
        </w:tc>
        <w:tc>
          <w:tcPr>
            <w:tcW w:w="1091" w:type="dxa"/>
          </w:tcPr>
          <w:p w14:paraId="455F6153">
            <w:pPr>
              <w:jc w:val="left"/>
            </w:pPr>
            <w:r>
              <w:rPr>
                <w:rFonts w:ascii="宋体" w:hAnsi="宋体" w:eastAsia="宋体"/>
                <w:b w:val="0"/>
                <w:sz w:val="20"/>
              </w:rPr>
              <w:t>低5元</w:t>
            </w:r>
          </w:p>
        </w:tc>
        <w:tc>
          <w:tcPr>
            <w:tcW w:w="1491" w:type="dxa"/>
          </w:tcPr>
          <w:p w14:paraId="12CDAFF1">
            <w:pPr>
              <w:jc w:val="left"/>
            </w:pPr>
            <w:r>
              <w:rPr>
                <w:rFonts w:ascii="宋体" w:hAnsi="宋体" w:eastAsia="宋体"/>
                <w:b w:val="0"/>
                <w:sz w:val="20"/>
              </w:rPr>
              <w:t>无门槛</w:t>
            </w:r>
          </w:p>
        </w:tc>
        <w:tc>
          <w:tcPr>
            <w:tcW w:w="2897" w:type="dxa"/>
          </w:tcPr>
          <w:p w14:paraId="352F76EA">
            <w:pPr>
              <w:jc w:val="left"/>
            </w:pPr>
            <w:r>
              <w:rPr>
                <w:rFonts w:ascii="宋体" w:hAnsi="宋体" w:eastAsia="宋体"/>
                <w:b w:val="0"/>
                <w:sz w:val="20"/>
              </w:rPr>
              <w:t>"5元立减，无最低消费限制"</w:t>
            </w:r>
          </w:p>
        </w:tc>
        <w:tc>
          <w:tcPr>
            <w:tcW w:w="2192" w:type="dxa"/>
          </w:tcPr>
          <w:p w14:paraId="1635A2BB">
            <w:pPr>
              <w:jc w:val="left"/>
            </w:pPr>
            <w:r>
              <w:rPr>
                <w:rFonts w:ascii="宋体" w:hAnsi="宋体" w:eastAsia="宋体"/>
                <w:b w:val="0"/>
                <w:sz w:val="20"/>
              </w:rPr>
              <w:t>支付30-5=25元</w:t>
            </w:r>
            <w:r>
              <w:rPr>
                <w:rFonts w:ascii="宋体" w:hAnsi="宋体" w:eastAsia="宋体"/>
                <w:b w:val="0"/>
                <w:sz w:val="20"/>
              </w:rPr>
              <w:br w:type="textWrapping"/>
            </w:r>
            <w:r>
              <w:rPr>
                <w:rFonts w:ascii="宋体" w:hAnsi="宋体" w:eastAsia="宋体"/>
                <w:b w:val="0"/>
                <w:sz w:val="20"/>
              </w:rPr>
              <w:t>折扣率16.7%</w:t>
            </w:r>
          </w:p>
        </w:tc>
      </w:tr>
      <w:tr w14:paraId="69553640">
        <w:trPr>
          <w:jc w:val="center"/>
        </w:trPr>
        <w:tc>
          <w:tcPr>
            <w:tcW w:w="969" w:type="dxa"/>
          </w:tcPr>
          <w:p w14:paraId="0E2BA542">
            <w:pPr>
              <w:jc w:val="left"/>
            </w:pPr>
            <w:r>
              <w:rPr>
                <w:rFonts w:ascii="宋体" w:hAnsi="宋体" w:eastAsia="宋体"/>
                <w:b w:val="0"/>
                <w:sz w:val="20"/>
              </w:rPr>
              <w:t>第2组</w:t>
            </w:r>
            <w:r>
              <w:rPr>
                <w:rFonts w:ascii="宋体" w:hAnsi="宋体" w:eastAsia="宋体"/>
                <w:b w:val="0"/>
                <w:sz w:val="20"/>
              </w:rPr>
              <w:br w:type="textWrapping"/>
            </w:r>
            <w:r>
              <w:rPr>
                <w:rFonts w:ascii="宋体" w:hAnsi="宋体" w:eastAsia="宋体"/>
                <w:b w:val="0"/>
                <w:sz w:val="20"/>
              </w:rPr>
              <w:t>(n=30)</w:t>
            </w:r>
          </w:p>
        </w:tc>
        <w:tc>
          <w:tcPr>
            <w:tcW w:w="1091" w:type="dxa"/>
          </w:tcPr>
          <w:p w14:paraId="78F8F369">
            <w:pPr>
              <w:jc w:val="left"/>
            </w:pPr>
            <w:r>
              <w:rPr>
                <w:rFonts w:ascii="宋体" w:hAnsi="宋体" w:eastAsia="宋体"/>
                <w:b w:val="0"/>
                <w:sz w:val="20"/>
              </w:rPr>
              <w:t>低5元</w:t>
            </w:r>
          </w:p>
        </w:tc>
        <w:tc>
          <w:tcPr>
            <w:tcW w:w="1491" w:type="dxa"/>
          </w:tcPr>
          <w:p w14:paraId="6060B3B2">
            <w:pPr>
              <w:jc w:val="left"/>
              <w:rPr>
                <w:rFonts w:hint="eastAsia" w:eastAsia="宋体"/>
                <w:lang w:eastAsia="zh-CN"/>
              </w:rPr>
            </w:pPr>
            <w:r>
              <w:rPr>
                <w:rFonts w:ascii="宋体" w:hAnsi="宋体" w:eastAsia="宋体"/>
                <w:b w:val="0"/>
                <w:sz w:val="20"/>
              </w:rPr>
              <w:t>低</w:t>
            </w:r>
            <w:r>
              <w:rPr>
                <w:rFonts w:hint="eastAsia"/>
                <w:b w:val="0"/>
                <w:sz w:val="20"/>
                <w:lang w:eastAsia="zh-CN"/>
              </w:rPr>
              <w:t>（</w:t>
            </w:r>
            <w:r>
              <w:rPr>
                <w:rFonts w:hint="eastAsia"/>
                <w:b w:val="0"/>
                <w:sz w:val="20"/>
                <w:lang w:val="en-US" w:eastAsia="zh-CN"/>
              </w:rPr>
              <w:t>满</w:t>
            </w:r>
            <w:r>
              <w:rPr>
                <w:rFonts w:ascii="宋体" w:hAnsi="宋体" w:eastAsia="宋体"/>
                <w:b w:val="0"/>
                <w:sz w:val="20"/>
              </w:rPr>
              <w:t>30</w:t>
            </w:r>
            <w:r>
              <w:rPr>
                <w:rFonts w:hint="eastAsia"/>
                <w:b w:val="0"/>
                <w:sz w:val="20"/>
                <w:lang w:eastAsia="zh-CN"/>
              </w:rPr>
              <w:t>）</w:t>
            </w:r>
          </w:p>
        </w:tc>
        <w:tc>
          <w:tcPr>
            <w:tcW w:w="2897" w:type="dxa"/>
          </w:tcPr>
          <w:p w14:paraId="62A67474">
            <w:pPr>
              <w:jc w:val="left"/>
            </w:pPr>
            <w:r>
              <w:rPr>
                <w:rFonts w:ascii="宋体" w:hAnsi="宋体" w:eastAsia="宋体"/>
                <w:b w:val="0"/>
                <w:sz w:val="20"/>
              </w:rPr>
              <w:t>"满30元减5元"</w:t>
            </w:r>
          </w:p>
        </w:tc>
        <w:tc>
          <w:tcPr>
            <w:tcW w:w="2192" w:type="dxa"/>
          </w:tcPr>
          <w:p w14:paraId="655AF3F1">
            <w:pPr>
              <w:jc w:val="left"/>
            </w:pPr>
            <w:r>
              <w:rPr>
                <w:rFonts w:ascii="宋体" w:hAnsi="宋体" w:eastAsia="宋体"/>
                <w:b w:val="0"/>
                <w:sz w:val="20"/>
              </w:rPr>
              <w:t>支付30-5=25元</w:t>
            </w:r>
            <w:r>
              <w:rPr>
                <w:rFonts w:ascii="宋体" w:hAnsi="宋体" w:eastAsia="宋体"/>
                <w:b w:val="0"/>
                <w:sz w:val="20"/>
              </w:rPr>
              <w:br w:type="textWrapping"/>
            </w:r>
            <w:r>
              <w:rPr>
                <w:rFonts w:ascii="宋体" w:hAnsi="宋体" w:eastAsia="宋体"/>
                <w:b w:val="0"/>
                <w:sz w:val="20"/>
              </w:rPr>
              <w:t>折扣率16.7%</w:t>
            </w:r>
          </w:p>
        </w:tc>
      </w:tr>
      <w:tr w14:paraId="34FF23F3">
        <w:trPr>
          <w:jc w:val="center"/>
        </w:trPr>
        <w:tc>
          <w:tcPr>
            <w:tcW w:w="969" w:type="dxa"/>
          </w:tcPr>
          <w:p w14:paraId="13B6A1DF">
            <w:pPr>
              <w:jc w:val="left"/>
            </w:pPr>
            <w:r>
              <w:rPr>
                <w:rFonts w:ascii="宋体" w:hAnsi="宋体" w:eastAsia="宋体"/>
                <w:b w:val="0"/>
                <w:sz w:val="20"/>
              </w:rPr>
              <w:t>第3组</w:t>
            </w:r>
            <w:r>
              <w:rPr>
                <w:rFonts w:ascii="宋体" w:hAnsi="宋体" w:eastAsia="宋体"/>
                <w:b w:val="0"/>
                <w:sz w:val="20"/>
              </w:rPr>
              <w:br w:type="textWrapping"/>
            </w:r>
            <w:r>
              <w:rPr>
                <w:rFonts w:ascii="宋体" w:hAnsi="宋体" w:eastAsia="宋体"/>
                <w:b w:val="0"/>
                <w:sz w:val="20"/>
              </w:rPr>
              <w:t>(n=30)</w:t>
            </w:r>
          </w:p>
        </w:tc>
        <w:tc>
          <w:tcPr>
            <w:tcW w:w="1091" w:type="dxa"/>
          </w:tcPr>
          <w:p w14:paraId="664651EA">
            <w:pPr>
              <w:jc w:val="left"/>
            </w:pPr>
            <w:r>
              <w:rPr>
                <w:rFonts w:ascii="宋体" w:hAnsi="宋体" w:eastAsia="宋体"/>
                <w:b w:val="0"/>
                <w:sz w:val="20"/>
              </w:rPr>
              <w:t>低5元</w:t>
            </w:r>
          </w:p>
        </w:tc>
        <w:tc>
          <w:tcPr>
            <w:tcW w:w="1491" w:type="dxa"/>
          </w:tcPr>
          <w:p w14:paraId="72D86BB9">
            <w:pPr>
              <w:jc w:val="left"/>
              <w:rPr>
                <w:rFonts w:hint="eastAsia" w:eastAsia="宋体"/>
                <w:lang w:eastAsia="zh-CN"/>
              </w:rPr>
            </w:pPr>
            <w:r>
              <w:rPr>
                <w:rFonts w:ascii="宋体" w:hAnsi="宋体" w:eastAsia="宋体"/>
                <w:b w:val="0"/>
                <w:sz w:val="20"/>
              </w:rPr>
              <w:t>高</w:t>
            </w:r>
            <w:r>
              <w:rPr>
                <w:rFonts w:hint="eastAsia"/>
                <w:b w:val="0"/>
                <w:sz w:val="20"/>
                <w:lang w:eastAsia="zh-CN"/>
              </w:rPr>
              <w:t>（</w:t>
            </w:r>
            <w:r>
              <w:rPr>
                <w:rFonts w:ascii="宋体" w:hAnsi="宋体" w:eastAsia="宋体"/>
                <w:b w:val="0"/>
                <w:sz w:val="20"/>
              </w:rPr>
              <w:t>满80</w:t>
            </w:r>
            <w:r>
              <w:rPr>
                <w:rFonts w:hint="eastAsia"/>
                <w:b w:val="0"/>
                <w:sz w:val="20"/>
                <w:lang w:eastAsia="zh-CN"/>
              </w:rPr>
              <w:t>）</w:t>
            </w:r>
          </w:p>
        </w:tc>
        <w:tc>
          <w:tcPr>
            <w:tcW w:w="2897" w:type="dxa"/>
          </w:tcPr>
          <w:p w14:paraId="22E4CC7C">
            <w:pPr>
              <w:jc w:val="left"/>
            </w:pPr>
            <w:r>
              <w:rPr>
                <w:rFonts w:ascii="宋体" w:hAnsi="宋体" w:eastAsia="宋体"/>
                <w:b w:val="0"/>
                <w:sz w:val="20"/>
              </w:rPr>
              <w:t>"满80元减5元"</w:t>
            </w:r>
          </w:p>
        </w:tc>
        <w:tc>
          <w:tcPr>
            <w:tcW w:w="2192" w:type="dxa"/>
          </w:tcPr>
          <w:p w14:paraId="790F86B0">
            <w:pPr>
              <w:jc w:val="left"/>
            </w:pPr>
            <w:r>
              <w:rPr>
                <w:rFonts w:ascii="宋体" w:hAnsi="宋体" w:eastAsia="宋体"/>
                <w:b w:val="0"/>
                <w:sz w:val="20"/>
              </w:rPr>
              <w:t>需再消费50元</w:t>
            </w:r>
            <w:r>
              <w:rPr>
                <w:rFonts w:ascii="宋体" w:hAnsi="宋体" w:eastAsia="宋体"/>
                <w:b w:val="0"/>
                <w:sz w:val="20"/>
              </w:rPr>
              <w:br w:type="textWrapping"/>
            </w:r>
            <w:r>
              <w:rPr>
                <w:rFonts w:ascii="宋体" w:hAnsi="宋体" w:eastAsia="宋体"/>
                <w:b w:val="0"/>
                <w:sz w:val="20"/>
              </w:rPr>
              <w:t>折扣率仅6.25%</w:t>
            </w:r>
          </w:p>
        </w:tc>
      </w:tr>
      <w:tr w14:paraId="62EC52F2">
        <w:trPr>
          <w:jc w:val="center"/>
        </w:trPr>
        <w:tc>
          <w:tcPr>
            <w:tcW w:w="969" w:type="dxa"/>
          </w:tcPr>
          <w:p w14:paraId="76FE4001">
            <w:pPr>
              <w:jc w:val="left"/>
            </w:pPr>
            <w:r>
              <w:rPr>
                <w:rFonts w:ascii="宋体" w:hAnsi="宋体" w:eastAsia="宋体"/>
                <w:b w:val="0"/>
                <w:sz w:val="20"/>
              </w:rPr>
              <w:t>第4组</w:t>
            </w:r>
            <w:r>
              <w:rPr>
                <w:rFonts w:ascii="宋体" w:hAnsi="宋体" w:eastAsia="宋体"/>
                <w:b w:val="0"/>
                <w:sz w:val="20"/>
              </w:rPr>
              <w:br w:type="textWrapping"/>
            </w:r>
            <w:r>
              <w:rPr>
                <w:rFonts w:ascii="宋体" w:hAnsi="宋体" w:eastAsia="宋体"/>
                <w:b w:val="0"/>
                <w:sz w:val="20"/>
              </w:rPr>
              <w:t>(n=30)</w:t>
            </w:r>
          </w:p>
        </w:tc>
        <w:tc>
          <w:tcPr>
            <w:tcW w:w="1091" w:type="dxa"/>
          </w:tcPr>
          <w:p w14:paraId="1C36E045">
            <w:pPr>
              <w:jc w:val="left"/>
            </w:pPr>
            <w:r>
              <w:rPr>
                <w:rFonts w:ascii="宋体" w:hAnsi="宋体" w:eastAsia="宋体"/>
                <w:b w:val="0"/>
                <w:sz w:val="20"/>
              </w:rPr>
              <w:t>高25元</w:t>
            </w:r>
          </w:p>
        </w:tc>
        <w:tc>
          <w:tcPr>
            <w:tcW w:w="1491" w:type="dxa"/>
          </w:tcPr>
          <w:p w14:paraId="4873AE61">
            <w:pPr>
              <w:jc w:val="left"/>
            </w:pPr>
            <w:r>
              <w:rPr>
                <w:rFonts w:ascii="宋体" w:hAnsi="宋体" w:eastAsia="宋体"/>
                <w:b w:val="0"/>
                <w:sz w:val="20"/>
              </w:rPr>
              <w:t>无门槛</w:t>
            </w:r>
          </w:p>
        </w:tc>
        <w:tc>
          <w:tcPr>
            <w:tcW w:w="2897" w:type="dxa"/>
          </w:tcPr>
          <w:p w14:paraId="3226C618">
            <w:pPr>
              <w:jc w:val="left"/>
            </w:pPr>
            <w:r>
              <w:rPr>
                <w:rFonts w:ascii="宋体" w:hAnsi="宋体" w:eastAsia="宋体"/>
                <w:b w:val="0"/>
                <w:sz w:val="20"/>
              </w:rPr>
              <w:t>"25元立减，无最低消费限制"</w:t>
            </w:r>
          </w:p>
        </w:tc>
        <w:tc>
          <w:tcPr>
            <w:tcW w:w="2192" w:type="dxa"/>
          </w:tcPr>
          <w:p w14:paraId="1E9A6844">
            <w:pPr>
              <w:jc w:val="left"/>
            </w:pPr>
            <w:r>
              <w:rPr>
                <w:rFonts w:ascii="宋体" w:hAnsi="宋体" w:eastAsia="宋体"/>
                <w:b w:val="0"/>
                <w:sz w:val="20"/>
              </w:rPr>
              <w:t>支付30-25=5元</w:t>
            </w:r>
            <w:r>
              <w:rPr>
                <w:rFonts w:ascii="宋体" w:hAnsi="宋体" w:eastAsia="宋体"/>
                <w:b w:val="0"/>
                <w:sz w:val="20"/>
              </w:rPr>
              <w:br w:type="textWrapping"/>
            </w:r>
            <w:r>
              <w:rPr>
                <w:rFonts w:ascii="宋体" w:hAnsi="宋体" w:eastAsia="宋体"/>
                <w:b w:val="0"/>
                <w:sz w:val="20"/>
              </w:rPr>
              <w:t>折扣率83.3%</w:t>
            </w:r>
          </w:p>
        </w:tc>
      </w:tr>
      <w:tr w14:paraId="49EFDF55">
        <w:trPr>
          <w:jc w:val="center"/>
        </w:trPr>
        <w:tc>
          <w:tcPr>
            <w:tcW w:w="969" w:type="dxa"/>
          </w:tcPr>
          <w:p w14:paraId="4AE4B7D2">
            <w:pPr>
              <w:jc w:val="left"/>
            </w:pPr>
            <w:r>
              <w:rPr>
                <w:rFonts w:ascii="宋体" w:hAnsi="宋体" w:eastAsia="宋体"/>
                <w:b w:val="0"/>
                <w:sz w:val="20"/>
              </w:rPr>
              <w:t>第5组</w:t>
            </w:r>
            <w:r>
              <w:rPr>
                <w:rFonts w:ascii="宋体" w:hAnsi="宋体" w:eastAsia="宋体"/>
                <w:b w:val="0"/>
                <w:sz w:val="20"/>
              </w:rPr>
              <w:br w:type="textWrapping"/>
            </w:r>
            <w:r>
              <w:rPr>
                <w:rFonts w:ascii="宋体" w:hAnsi="宋体" w:eastAsia="宋体"/>
                <w:b w:val="0"/>
                <w:sz w:val="20"/>
              </w:rPr>
              <w:t>(n=30)</w:t>
            </w:r>
          </w:p>
        </w:tc>
        <w:tc>
          <w:tcPr>
            <w:tcW w:w="1091" w:type="dxa"/>
          </w:tcPr>
          <w:p w14:paraId="74C27549">
            <w:pPr>
              <w:jc w:val="left"/>
            </w:pPr>
            <w:r>
              <w:rPr>
                <w:rFonts w:ascii="宋体" w:hAnsi="宋体" w:eastAsia="宋体"/>
                <w:b w:val="0"/>
                <w:sz w:val="20"/>
              </w:rPr>
              <w:t>高25元</w:t>
            </w:r>
          </w:p>
        </w:tc>
        <w:tc>
          <w:tcPr>
            <w:tcW w:w="1491" w:type="dxa"/>
          </w:tcPr>
          <w:p w14:paraId="2F5FEE24">
            <w:pPr>
              <w:jc w:val="left"/>
              <w:rPr>
                <w:rFonts w:hint="eastAsia" w:eastAsia="宋体"/>
                <w:lang w:eastAsia="zh-CN"/>
              </w:rPr>
            </w:pPr>
            <w:r>
              <w:rPr>
                <w:rFonts w:ascii="宋体" w:hAnsi="宋体" w:eastAsia="宋体"/>
                <w:b w:val="0"/>
                <w:sz w:val="20"/>
              </w:rPr>
              <w:t>低</w:t>
            </w:r>
            <w:r>
              <w:rPr>
                <w:rFonts w:hint="eastAsia"/>
                <w:b w:val="0"/>
                <w:sz w:val="20"/>
                <w:lang w:eastAsia="zh-CN"/>
              </w:rPr>
              <w:t>（</w:t>
            </w:r>
            <w:r>
              <w:rPr>
                <w:rFonts w:ascii="宋体" w:hAnsi="宋体" w:eastAsia="宋体"/>
                <w:b w:val="0"/>
                <w:sz w:val="20"/>
              </w:rPr>
              <w:t>满30</w:t>
            </w:r>
            <w:r>
              <w:rPr>
                <w:rFonts w:hint="eastAsia"/>
                <w:b w:val="0"/>
                <w:sz w:val="20"/>
                <w:lang w:eastAsia="zh-CN"/>
              </w:rPr>
              <w:t>）</w:t>
            </w:r>
          </w:p>
        </w:tc>
        <w:tc>
          <w:tcPr>
            <w:tcW w:w="2897" w:type="dxa"/>
          </w:tcPr>
          <w:p w14:paraId="7E233BF4">
            <w:pPr>
              <w:jc w:val="left"/>
            </w:pPr>
            <w:r>
              <w:rPr>
                <w:rFonts w:ascii="宋体" w:hAnsi="宋体" w:eastAsia="宋体"/>
                <w:b w:val="0"/>
                <w:sz w:val="20"/>
              </w:rPr>
              <w:t>"满30元减25元"</w:t>
            </w:r>
          </w:p>
        </w:tc>
        <w:tc>
          <w:tcPr>
            <w:tcW w:w="2192" w:type="dxa"/>
          </w:tcPr>
          <w:p w14:paraId="7AA4108F">
            <w:pPr>
              <w:jc w:val="left"/>
            </w:pPr>
            <w:r>
              <w:rPr>
                <w:rFonts w:ascii="宋体" w:hAnsi="宋体" w:eastAsia="宋体"/>
                <w:b w:val="0"/>
                <w:sz w:val="20"/>
              </w:rPr>
              <w:t>支付30-25=5元</w:t>
            </w:r>
            <w:r>
              <w:rPr>
                <w:rFonts w:ascii="宋体" w:hAnsi="宋体" w:eastAsia="宋体"/>
                <w:b w:val="0"/>
                <w:sz w:val="20"/>
              </w:rPr>
              <w:br w:type="textWrapping"/>
            </w:r>
            <w:r>
              <w:rPr>
                <w:rFonts w:ascii="宋体" w:hAnsi="宋体" w:eastAsia="宋体"/>
                <w:b w:val="0"/>
                <w:sz w:val="20"/>
              </w:rPr>
              <w:t>折扣率83.3%</w:t>
            </w:r>
          </w:p>
        </w:tc>
      </w:tr>
      <w:tr w14:paraId="5D135D6E">
        <w:trPr>
          <w:jc w:val="center"/>
        </w:trPr>
        <w:tc>
          <w:tcPr>
            <w:tcW w:w="969" w:type="dxa"/>
          </w:tcPr>
          <w:p w14:paraId="29E93F59">
            <w:pPr>
              <w:jc w:val="left"/>
            </w:pPr>
            <w:r>
              <w:rPr>
                <w:rFonts w:ascii="宋体" w:hAnsi="宋体" w:eastAsia="宋体"/>
                <w:b w:val="0"/>
                <w:sz w:val="20"/>
              </w:rPr>
              <w:t>第6组</w:t>
            </w:r>
            <w:r>
              <w:rPr>
                <w:rFonts w:ascii="宋体" w:hAnsi="宋体" w:eastAsia="宋体"/>
                <w:b w:val="0"/>
                <w:sz w:val="20"/>
              </w:rPr>
              <w:br w:type="textWrapping"/>
            </w:r>
            <w:r>
              <w:rPr>
                <w:rFonts w:ascii="宋体" w:hAnsi="宋体" w:eastAsia="宋体"/>
                <w:b w:val="0"/>
                <w:sz w:val="20"/>
              </w:rPr>
              <w:t>(n=30)</w:t>
            </w:r>
          </w:p>
        </w:tc>
        <w:tc>
          <w:tcPr>
            <w:tcW w:w="1091" w:type="dxa"/>
          </w:tcPr>
          <w:p w14:paraId="254CAA3A">
            <w:pPr>
              <w:jc w:val="left"/>
            </w:pPr>
            <w:r>
              <w:rPr>
                <w:rFonts w:ascii="宋体" w:hAnsi="宋体" w:eastAsia="宋体"/>
                <w:b w:val="0"/>
                <w:sz w:val="20"/>
              </w:rPr>
              <w:t>高25元</w:t>
            </w:r>
          </w:p>
        </w:tc>
        <w:tc>
          <w:tcPr>
            <w:tcW w:w="1491" w:type="dxa"/>
          </w:tcPr>
          <w:p w14:paraId="6D90B1AC">
            <w:pPr>
              <w:jc w:val="left"/>
              <w:rPr>
                <w:rFonts w:hint="eastAsia" w:eastAsia="宋体"/>
                <w:lang w:eastAsia="zh-CN"/>
              </w:rPr>
            </w:pPr>
            <w:r>
              <w:rPr>
                <w:rFonts w:ascii="宋体" w:hAnsi="宋体" w:eastAsia="宋体"/>
                <w:b w:val="0"/>
                <w:sz w:val="20"/>
              </w:rPr>
              <w:t>高</w:t>
            </w:r>
            <w:r>
              <w:rPr>
                <w:rFonts w:hint="eastAsia"/>
                <w:b w:val="0"/>
                <w:sz w:val="20"/>
                <w:lang w:eastAsia="zh-CN"/>
              </w:rPr>
              <w:t>（</w:t>
            </w:r>
            <w:r>
              <w:rPr>
                <w:rFonts w:ascii="宋体" w:hAnsi="宋体" w:eastAsia="宋体"/>
                <w:b w:val="0"/>
                <w:sz w:val="20"/>
              </w:rPr>
              <w:t>满80</w:t>
            </w:r>
            <w:r>
              <w:rPr>
                <w:rFonts w:hint="eastAsia"/>
                <w:b w:val="0"/>
                <w:sz w:val="20"/>
                <w:lang w:eastAsia="zh-CN"/>
              </w:rPr>
              <w:t>）</w:t>
            </w:r>
          </w:p>
        </w:tc>
        <w:tc>
          <w:tcPr>
            <w:tcW w:w="2897" w:type="dxa"/>
          </w:tcPr>
          <w:p w14:paraId="37F6B463">
            <w:pPr>
              <w:jc w:val="left"/>
            </w:pPr>
            <w:r>
              <w:rPr>
                <w:rFonts w:ascii="宋体" w:hAnsi="宋体" w:eastAsia="宋体"/>
                <w:b w:val="0"/>
                <w:sz w:val="20"/>
              </w:rPr>
              <w:t>"满80元减25元"</w:t>
            </w:r>
          </w:p>
        </w:tc>
        <w:tc>
          <w:tcPr>
            <w:tcW w:w="2192" w:type="dxa"/>
          </w:tcPr>
          <w:p w14:paraId="050C7BB6">
            <w:pPr>
              <w:jc w:val="left"/>
            </w:pPr>
            <w:r>
              <w:rPr>
                <w:rFonts w:ascii="宋体" w:hAnsi="宋体" w:eastAsia="宋体"/>
                <w:b w:val="0"/>
                <w:sz w:val="20"/>
              </w:rPr>
              <w:t>支付80-25=55元</w:t>
            </w:r>
            <w:r>
              <w:rPr>
                <w:rFonts w:ascii="宋体" w:hAnsi="宋体" w:eastAsia="宋体"/>
                <w:b w:val="0"/>
                <w:sz w:val="20"/>
              </w:rPr>
              <w:br w:type="textWrapping"/>
            </w:r>
            <w:r>
              <w:rPr>
                <w:rFonts w:ascii="宋体" w:hAnsi="宋体" w:eastAsia="宋体"/>
                <w:b w:val="0"/>
                <w:sz w:val="20"/>
              </w:rPr>
              <w:t>折扣率31.3%</w:t>
            </w:r>
          </w:p>
        </w:tc>
      </w:tr>
    </w:tbl>
    <w:p w14:paraId="754C2FFD"/>
    <w:p w14:paraId="65D4BCA0">
      <w:pPr>
        <w:pStyle w:val="4"/>
      </w:pPr>
      <w:r>
        <w:t>（四）操控材料的预测试与优化</w:t>
      </w:r>
    </w:p>
    <w:p w14:paraId="5F9D7242">
      <w:pPr>
        <w:ind w:firstLine="420"/>
      </w:pPr>
      <w:r>
        <w:rPr>
          <w:rFonts w:ascii="宋体" w:hAnsi="宋体" w:eastAsia="宋体"/>
          <w:b w:val="0"/>
          <w:sz w:val="24"/>
        </w:rPr>
        <w:t>在正式实验之前，需对操控材料进行预测试（Pilot Test），以确保实验材料能够有效区分各自变量的不同水平，且被试对情景材料的理解与研究者意图一致。预测试的具体步骤如下：</w:t>
      </w:r>
    </w:p>
    <w:p w14:paraId="2754DCEA">
      <w:r>
        <w:rPr>
          <w:rFonts w:ascii="宋体" w:hAnsi="宋体" w:eastAsia="宋体"/>
          <w:b w:val="0"/>
          <w:sz w:val="24"/>
        </w:rPr>
        <w:t>（1）招募15-20名不参与正式实验的大学生，随机分配至6个实验组（每组2-4人）。</w:t>
      </w:r>
      <w:r>
        <w:rPr>
          <w:rFonts w:ascii="宋体" w:hAnsi="宋体" w:eastAsia="宋体"/>
          <w:b w:val="0"/>
          <w:sz w:val="24"/>
        </w:rPr>
        <w:br w:type="textWrapping"/>
      </w:r>
      <w:r>
        <w:rPr>
          <w:rFonts w:ascii="宋体" w:hAnsi="宋体" w:eastAsia="宋体"/>
          <w:b w:val="0"/>
          <w:sz w:val="24"/>
        </w:rPr>
        <w:t>（2）被试阅读对应组别的完整实验材料（情景材料+优惠券信息卡片+使用说明）。</w:t>
      </w:r>
      <w:r>
        <w:rPr>
          <w:rFonts w:ascii="宋体" w:hAnsi="宋体" w:eastAsia="宋体"/>
          <w:b w:val="0"/>
          <w:sz w:val="24"/>
        </w:rPr>
        <w:br w:type="textWrapping"/>
      </w:r>
      <w:r>
        <w:rPr>
          <w:rFonts w:ascii="宋体" w:hAnsi="宋体" w:eastAsia="宋体"/>
          <w:b w:val="0"/>
          <w:sz w:val="24"/>
        </w:rPr>
        <w:t>（3）被试回答操控检验题（面额识别、门槛识别），并填写对情景材料的理解度和真实感评分。</w:t>
      </w:r>
      <w:r>
        <w:rPr>
          <w:rFonts w:ascii="宋体" w:hAnsi="宋体" w:eastAsia="宋体"/>
          <w:b w:val="0"/>
          <w:sz w:val="24"/>
        </w:rPr>
        <w:br w:type="textWrapping"/>
      </w:r>
      <w:r>
        <w:rPr>
          <w:rFonts w:ascii="宋体" w:hAnsi="宋体" w:eastAsia="宋体"/>
          <w:b w:val="0"/>
          <w:sz w:val="24"/>
        </w:rPr>
        <w:t>（4）收集被试对优惠券信息卡片措辞的反馈（如"是否有任何表述让你感到困惑？"）。</w:t>
      </w:r>
      <w:r>
        <w:rPr>
          <w:rFonts w:ascii="宋体" w:hAnsi="宋体" w:eastAsia="宋体"/>
          <w:b w:val="0"/>
          <w:sz w:val="24"/>
        </w:rPr>
        <w:br w:type="textWrapping"/>
      </w:r>
      <w:r>
        <w:rPr>
          <w:rFonts w:ascii="宋体" w:hAnsi="宋体" w:eastAsia="宋体"/>
          <w:b w:val="0"/>
          <w:sz w:val="24"/>
        </w:rPr>
        <w:t>（5）检验结果标准：面额操控正确率 ≥ 90%，门槛操控正确率 ≥ 85%，情景真实感 ≥ 5分（7点量表）。</w:t>
      </w:r>
      <w:r>
        <w:rPr>
          <w:rFonts w:ascii="宋体" w:hAnsi="宋体" w:eastAsia="宋体"/>
          <w:b w:val="0"/>
          <w:sz w:val="24"/>
        </w:rPr>
        <w:br w:type="textWrapping"/>
      </w:r>
      <w:r>
        <w:rPr>
          <w:rFonts w:ascii="宋体" w:hAnsi="宋体" w:eastAsia="宋体"/>
          <w:b w:val="0"/>
          <w:sz w:val="24"/>
        </w:rPr>
        <w:t>（6）若某项不符合标准，根据被试反馈修正文字表述后重新进行预测试，直至达标。</w:t>
      </w:r>
    </w:p>
    <w:p w14:paraId="44DEDD61"/>
    <w:p w14:paraId="5718650C">
      <w:pPr>
        <w:pStyle w:val="4"/>
      </w:pPr>
      <w:r>
        <w:t>（五）操控检验方法</w:t>
      </w:r>
    </w:p>
    <w:p w14:paraId="418058E8">
      <w:pPr>
        <w:ind w:firstLine="420"/>
      </w:pPr>
      <w:r>
        <w:rPr>
          <w:rFonts w:ascii="宋体" w:hAnsi="宋体" w:eastAsia="宋体"/>
          <w:b w:val="0"/>
          <w:sz w:val="24"/>
        </w:rPr>
        <w:t>操控检验题项安排在因变量测量之后、人口统计学信息之前，以避免操控检验题项本身对被试的因变量回答产生提示效应（即避免"需求特征"问题）。所有操控检验题均为单选题，设置"我不确定"选项以避免被试猜测。</w:t>
      </w:r>
    </w:p>
    <w:p w14:paraId="67EA5340"/>
    <w:p w14:paraId="304DFB53">
      <w:r>
        <w:rPr>
          <w:rFonts w:ascii="宋体" w:hAnsi="宋体" w:eastAsia="宋体"/>
          <w:b/>
          <w:sz w:val="24"/>
        </w:rPr>
        <w:t>① 面额操控检验题</w:t>
      </w:r>
    </w:p>
    <w:p w14:paraId="41D0F2EB">
      <w:r>
        <w:rPr>
          <w:rFonts w:ascii="宋体" w:hAnsi="宋体" w:eastAsia="宋体"/>
          <w:b w:val="0"/>
          <w:sz w:val="22"/>
        </w:rPr>
        <w:t>题项文本：</w:t>
      </w:r>
    </w:p>
    <w:p w14:paraId="186AEA0D">
      <w:pPr>
        <w:ind w:firstLine="420"/>
      </w:pPr>
      <w:r>
        <w:rPr>
          <w:rFonts w:ascii="宋体" w:hAnsi="宋体" w:eastAsia="宋体"/>
          <w:b w:val="0"/>
          <w:sz w:val="24"/>
        </w:rPr>
        <w:t>"请问，您刚才看到的悦享咖啡优惠券的优惠金额是多少？"</w:t>
      </w:r>
      <w:r>
        <w:rPr>
          <w:rFonts w:ascii="宋体" w:hAnsi="宋体" w:eastAsia="宋体"/>
          <w:b w:val="0"/>
          <w:sz w:val="24"/>
        </w:rPr>
        <w:br w:type="textWrapping"/>
      </w:r>
      <w:r>
        <w:rPr>
          <w:rFonts w:ascii="宋体" w:hAnsi="宋体" w:eastAsia="宋体"/>
          <w:b w:val="0"/>
          <w:sz w:val="24"/>
        </w:rPr>
        <w:t>选项：A. 5元　　B. 25元　　C. 50元　　D. 我不确定</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检验方法：对面额高低两组被试的选择进行卡方检验（2×4列联表）。若低面额组被试选择"5元"的比例显著高于高面额组，且高面额组选择"25元"的比例显著高于低面额组，则面额操控成功。预期正确识别率 ≥ 90%。</w:t>
      </w:r>
    </w:p>
    <w:p w14:paraId="355EB77A"/>
    <w:p w14:paraId="55F77FBD">
      <w:r>
        <w:rPr>
          <w:rFonts w:ascii="宋体" w:hAnsi="宋体" w:eastAsia="宋体"/>
          <w:b/>
          <w:sz w:val="24"/>
        </w:rPr>
        <w:t>② 使用门槛操控检验题</w:t>
      </w:r>
    </w:p>
    <w:p w14:paraId="24B92E1E">
      <w:r>
        <w:rPr>
          <w:rFonts w:ascii="宋体" w:hAnsi="宋体" w:eastAsia="宋体"/>
          <w:b w:val="0"/>
          <w:sz w:val="22"/>
        </w:rPr>
        <w:t>题项文本：</w:t>
      </w:r>
    </w:p>
    <w:p w14:paraId="3361A3AC">
      <w:pPr>
        <w:ind w:firstLine="420"/>
      </w:pPr>
      <w:r>
        <w:rPr>
          <w:rFonts w:ascii="宋体" w:hAnsi="宋体" w:eastAsia="宋体"/>
          <w:b w:val="0"/>
          <w:sz w:val="24"/>
        </w:rPr>
        <w:t>"请问，您刚才看到的悦享咖啡优惠券的使用条件是什么？"</w:t>
      </w:r>
      <w:r>
        <w:rPr>
          <w:rFonts w:ascii="宋体" w:hAnsi="宋体" w:eastAsia="宋体"/>
          <w:b w:val="0"/>
          <w:sz w:val="24"/>
        </w:rPr>
        <w:br w:type="textWrapping"/>
      </w:r>
      <w:r>
        <w:rPr>
          <w:rFonts w:ascii="宋体" w:hAnsi="宋体" w:eastAsia="宋体"/>
          <w:b w:val="0"/>
          <w:sz w:val="24"/>
        </w:rPr>
        <w:t>选项：A. 无最低消费限制，任意金额可使用　　B. 单笔消费满30元可使用　　C. 单笔消费满80元可使用　　D. 我不确定</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检验方法：对三组门槛条件下被试的选择进行卡方检验（3×4列联表）。若各门槛组被试选择对应选项的比例显著高于其他选项，则门槛操控成功。预期正确识别率 ≥ 85%。</w:t>
      </w:r>
    </w:p>
    <w:p w14:paraId="4ADEA713"/>
    <w:p w14:paraId="6906DD05">
      <w:r>
        <w:rPr>
          <w:rFonts w:ascii="宋体" w:hAnsi="宋体" w:eastAsia="宋体"/>
          <w:b/>
          <w:sz w:val="24"/>
        </w:rPr>
        <w:t>③ 情景沉浸感与理解度检验（新增）</w:t>
      </w:r>
    </w:p>
    <w:p w14:paraId="18277AA9">
      <w:pPr>
        <w:ind w:firstLine="420"/>
      </w:pPr>
      <w:r>
        <w:rPr>
          <w:rFonts w:ascii="宋体" w:hAnsi="宋体" w:eastAsia="宋体"/>
          <w:b w:val="0"/>
          <w:sz w:val="24"/>
        </w:rPr>
        <w:t>除识别检验外，增设两道连续型操控检验题，以评估被试是否认真阅读并理解了情景材料：</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题项1（情景真实感）："刚才描述的情景（收到一张咖啡品牌优惠券）让我觉得贴近真实生活。"</w:t>
      </w:r>
      <w:r>
        <w:rPr>
          <w:rFonts w:ascii="宋体" w:hAnsi="宋体" w:eastAsia="宋体"/>
          <w:b w:val="0"/>
          <w:sz w:val="24"/>
        </w:rPr>
        <w:br w:type="textWrapping"/>
      </w:r>
      <w:r>
        <w:rPr>
          <w:rFonts w:ascii="宋体" w:hAnsi="宋体" w:eastAsia="宋体"/>
          <w:b w:val="0"/>
          <w:sz w:val="24"/>
        </w:rPr>
        <w:t>（1=非常不同意，7=非常同意）。预期平均分 ≥ 5.0。</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题项2（信息理解度）："我清楚地知道这张优惠券的面额和使用条件。"</w:t>
      </w:r>
      <w:r>
        <w:rPr>
          <w:rFonts w:ascii="宋体" w:hAnsi="宋体" w:eastAsia="宋体"/>
          <w:b w:val="0"/>
          <w:sz w:val="24"/>
        </w:rPr>
        <w:br w:type="textWrapping"/>
      </w:r>
      <w:r>
        <w:rPr>
          <w:rFonts w:ascii="宋体" w:hAnsi="宋体" w:eastAsia="宋体"/>
          <w:b w:val="0"/>
          <w:sz w:val="24"/>
        </w:rPr>
        <w:t>（1=非常不同意，7=非常同意）。预期平均分 ≥ 6.0。</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检验方法：对两组/三组被试在连续题项上的得分进行独立样本t检验（面额）或单因素ANOVA（门槛），预期各组间无显著差异（即各组被试对情景的理解程度一致，排除"某些组因材料复杂而理解不清"的替代解释）。</w:t>
      </w:r>
    </w:p>
    <w:p w14:paraId="27DF194C"/>
    <w:p w14:paraId="555E8564">
      <w:r>
        <w:rPr>
          <w:rFonts w:ascii="宋体" w:hAnsi="宋体" w:eastAsia="宋体"/>
          <w:b/>
          <w:sz w:val="24"/>
        </w:rPr>
        <w:t>④ 操控失败的处理预案</w:t>
      </w:r>
    </w:p>
    <w:p w14:paraId="3CEE75CF">
      <w:pPr>
        <w:ind w:firstLine="420"/>
      </w:pPr>
      <w:r>
        <w:rPr>
          <w:rFonts w:ascii="宋体" w:hAnsi="宋体" w:eastAsia="宋体"/>
          <w:b w:val="0"/>
          <w:sz w:val="24"/>
        </w:rPr>
        <w:t>若正式实验中某个变量的操控正确率低于80%，该变量在数据分析中将被标记为"操控存疑"，并在讨论部分作为局限性报告。此外：（1）若面额操控检验正确率不足，分析时需将未能正确识别面额的被试作为敏感性分析的排除对象，比较排除前后的结果是否一致；（2）若门槛操控检验正确率不足，需检查是否正确设置了实验平台的随机分组功能，并考虑在后续实验中增加视觉突出度（如加粗字体、添加高亮色块等）来提高被试对门槛信息的注意。</w:t>
      </w:r>
    </w:p>
    <w:p w14:paraId="60BA4621">
      <w:r>
        <w:br w:type="page"/>
      </w:r>
    </w:p>
    <w:p w14:paraId="571823A2">
      <w:pPr>
        <w:pStyle w:val="3"/>
      </w:pPr>
      <w:r>
        <w:t>六、实验流程设计</w:t>
      </w:r>
    </w:p>
    <w:p w14:paraId="6B3AA07A">
      <w:pPr>
        <w:pStyle w:val="4"/>
      </w:pPr>
      <w:r>
        <w:t>（一）被试的获取</w:t>
      </w:r>
    </w:p>
    <w:p w14:paraId="58B89BA0">
      <w:r>
        <w:rPr>
          <w:rFonts w:ascii="宋体" w:hAnsi="宋体" w:eastAsia="宋体"/>
          <w:b/>
          <w:sz w:val="24"/>
        </w:rPr>
        <w:t>① 目标总体与抽样框</w:t>
      </w:r>
    </w:p>
    <w:p w14:paraId="2D0D31CF">
      <w:pPr>
        <w:ind w:firstLine="420"/>
      </w:pPr>
      <w:r>
        <w:rPr>
          <w:rFonts w:ascii="宋体" w:hAnsi="宋体" w:eastAsia="宋体"/>
          <w:b w:val="0"/>
          <w:sz w:val="24"/>
        </w:rPr>
        <w:t>本研究的目标总体为在校大学生。抽样框为研究者所在高校的本科生和研究生群体。选择大学生样本的理由如下：（1）同质性优势——大学生在年龄、教育水平、消费能力等方面具有较高同质性，有利于控制人口统计学变量对实验结果的混淆影响，提高内部效度；（2）理解能力与配合度——大学生受教育程度较高，能够准确理解情景材料和问卷题项的含义；（3）生态效度——大学生是咖啡/茶饮消费的主力群体之一，对品牌优惠券具有丰富的使用经验，情景材料与他们的日常生活高度契合。</w:t>
      </w:r>
    </w:p>
    <w:p w14:paraId="1BD95FED">
      <w:r>
        <w:rPr>
          <w:rFonts w:ascii="宋体" w:hAnsi="宋体" w:eastAsia="宋体"/>
          <w:b/>
          <w:sz w:val="24"/>
        </w:rPr>
        <w:t>② 样本量计算依据</w:t>
      </w:r>
    </w:p>
    <w:p w14:paraId="284B7482">
      <w:pPr>
        <w:ind w:firstLine="420"/>
      </w:pPr>
      <w:r>
        <w:rPr>
          <w:rFonts w:ascii="宋体" w:hAnsi="宋体" w:eastAsia="宋体"/>
          <w:b w:val="0"/>
          <w:sz w:val="24"/>
        </w:rPr>
        <w:t>本实验为2（面额）× 3（门槛）的被试间多因素设计，共6个实验处理组。样本量的确定依据如下：</w:t>
      </w:r>
      <w:r>
        <w:rPr>
          <w:rFonts w:ascii="宋体" w:hAnsi="宋体" w:eastAsia="宋体"/>
          <w:b w:val="0"/>
          <w:sz w:val="24"/>
        </w:rPr>
        <w:br w:type="textWrapping"/>
      </w:r>
      <w:r>
        <w:rPr>
          <w:rFonts w:ascii="宋体" w:hAnsi="宋体" w:eastAsia="宋体"/>
          <w:b w:val="0"/>
          <w:sz w:val="24"/>
        </w:rPr>
        <w:t>（1）G*Power先验功效分析：设定效应量f = 0.25（中等偏小，参考Jia et al., 2018报告的ηp²换算），α = 0.05，Power = 0.80，双因素被试间ANOVA所需最小总样本量为158人。</w:t>
      </w:r>
      <w:r>
        <w:rPr>
          <w:rFonts w:ascii="宋体" w:hAnsi="宋体" w:eastAsia="宋体"/>
          <w:b w:val="0"/>
          <w:sz w:val="24"/>
        </w:rPr>
        <w:br w:type="textWrapping"/>
      </w:r>
      <w:r>
        <w:rPr>
          <w:rFonts w:ascii="宋体" w:hAnsi="宋体" w:eastAsia="宋体"/>
          <w:b w:val="0"/>
          <w:sz w:val="24"/>
        </w:rPr>
        <w:t>（2）考虑到线上问卷可能产生15%的无效数据（注意力检查失败、操控检验失败等），实际所需最小样本量约为158 / 0.85 ≈ 186人。</w:t>
      </w:r>
      <w:r>
        <w:rPr>
          <w:rFonts w:ascii="宋体" w:hAnsi="宋体" w:eastAsia="宋体"/>
          <w:b w:val="0"/>
          <w:sz w:val="24"/>
        </w:rPr>
        <w:br w:type="textWrapping"/>
      </w:r>
      <w:r>
        <w:rPr>
          <w:rFonts w:ascii="宋体" w:hAnsi="宋体" w:eastAsia="宋体"/>
          <w:b w:val="0"/>
          <w:sz w:val="24"/>
        </w:rPr>
        <w:t>（3）为保证6组人数均衡，最终计划每组招募30人，共180人。在180人条件下，实际Power约为0.84，能够以较高把握检测到中等效应量的交互效应。</w:t>
      </w:r>
    </w:p>
    <w:p w14:paraId="6B40132F">
      <w:r>
        <w:rPr>
          <w:rFonts w:ascii="宋体" w:hAnsi="宋体" w:eastAsia="宋体"/>
          <w:b/>
          <w:sz w:val="24"/>
        </w:rPr>
        <w:t>③ 招募渠道与策略</w:t>
      </w:r>
    </w:p>
    <w:p w14:paraId="3C597D6D">
      <w:r>
        <w:rPr>
          <w:rFonts w:ascii="宋体" w:hAnsi="宋体" w:eastAsia="宋体"/>
          <w:b w:val="0"/>
          <w:sz w:val="24"/>
        </w:rPr>
        <w:t>（1）线上渠道：通过校园微信群、朋友圈、班级群等社交平台发布实验招募信息。</w:t>
      </w:r>
      <w:r>
        <w:rPr>
          <w:rFonts w:ascii="宋体" w:hAnsi="宋体" w:eastAsia="宋体"/>
          <w:b w:val="0"/>
          <w:sz w:val="24"/>
        </w:rPr>
        <w:br w:type="textWrapping"/>
      </w:r>
      <w:r>
        <w:rPr>
          <w:rFonts w:ascii="宋体" w:hAnsi="宋体" w:eastAsia="宋体"/>
          <w:b w:val="0"/>
          <w:sz w:val="24"/>
        </w:rPr>
        <w:t>（2）线下渠道：在校园食堂、图书馆、教学楼张贴实验招募海报（附二维码链接）。</w:t>
      </w:r>
      <w:r>
        <w:rPr>
          <w:rFonts w:ascii="宋体" w:hAnsi="宋体" w:eastAsia="宋体"/>
          <w:b w:val="0"/>
          <w:sz w:val="24"/>
        </w:rPr>
        <w:br w:type="textWrapping"/>
      </w:r>
      <w:r>
        <w:rPr>
          <w:rFonts w:ascii="宋体" w:hAnsi="宋体" w:eastAsia="宋体"/>
          <w:b w:val="0"/>
          <w:sz w:val="24"/>
        </w:rPr>
        <w:t>（3）招募文案策略：采用"虚假目的陈述"（Cover Story），招募信息以"关于大学生咖啡消费体验的简短问卷调研"为标题，避免提及"优惠券面额""使用门槛"等实验关键词，以防止被试在参与前形成预期（即避免需求特征效应）。</w:t>
      </w:r>
      <w:r>
        <w:rPr>
          <w:rFonts w:ascii="宋体" w:hAnsi="宋体" w:eastAsia="宋体"/>
          <w:b w:val="0"/>
          <w:sz w:val="24"/>
        </w:rPr>
        <w:br w:type="textWrapping"/>
      </w:r>
      <w:r>
        <w:rPr>
          <w:rFonts w:ascii="宋体" w:hAnsi="宋体" w:eastAsia="宋体"/>
          <w:b w:val="0"/>
          <w:sz w:val="24"/>
        </w:rPr>
        <w:t>（4）招募信息中明确告知：问卷填写时间约5-8分钟，数据匿名处理，仅用于学术研究。</w:t>
      </w:r>
    </w:p>
    <w:p w14:paraId="76C1A4DF">
      <w:r>
        <w:rPr>
          <w:rFonts w:ascii="宋体" w:hAnsi="宋体" w:eastAsia="宋体"/>
          <w:b/>
          <w:sz w:val="24"/>
        </w:rPr>
        <w:t>④ 筛选标准（纳入与排除）</w:t>
      </w:r>
    </w:p>
    <w:p w14:paraId="6E1E7ADF">
      <w:pPr>
        <w:ind w:firstLine="420"/>
      </w:pPr>
      <w:r>
        <w:rPr>
          <w:rFonts w:ascii="宋体" w:hAnsi="宋体" w:eastAsia="宋体"/>
          <w:b w:val="0"/>
          <w:sz w:val="24"/>
        </w:rPr>
        <w:t>纳入标准：（1）在校本科生或研究生；（2）年龄18-28岁；（3）过去一个月内至少购买过1次咖啡或茶饮类产品；（4）持有或使用过至少1种优惠券。</w:t>
      </w:r>
      <w:r>
        <w:rPr>
          <w:rFonts w:ascii="宋体" w:hAnsi="宋体" w:eastAsia="宋体"/>
          <w:b w:val="0"/>
          <w:sz w:val="24"/>
        </w:rPr>
        <w:br w:type="textWrapping"/>
      </w:r>
      <w:r>
        <w:rPr>
          <w:rFonts w:ascii="宋体" w:hAnsi="宋体" w:eastAsia="宋体"/>
          <w:b w:val="0"/>
          <w:sz w:val="24"/>
        </w:rPr>
        <w:t>排除标准：（1）参与过本实验预测试的被试；（2）在注意力检查题中回答错误的被试；（3）问卷完成时间低于2分钟（明显未认真阅读材料）或被试自报的填答认真度 &lt; 4（7点量表）；（4）在开放式反馈中明确表示"没有认真作答"的被试。</w:t>
      </w:r>
      <w:r>
        <w:rPr>
          <w:rFonts w:ascii="宋体" w:hAnsi="宋体" w:eastAsia="宋体"/>
          <w:b w:val="0"/>
          <w:sz w:val="24"/>
        </w:rPr>
        <w:br w:type="textWrapping"/>
      </w:r>
      <w:r>
        <w:rPr>
          <w:rFonts w:ascii="宋体" w:hAnsi="宋体" w:eastAsia="宋体"/>
          <w:b w:val="0"/>
          <w:sz w:val="24"/>
        </w:rPr>
        <w:t>筛选通过筛选题实现：在问卷首页设置2道筛选问项——"过去一个月，你是否购买过咖啡或茶饮？"（是/否）和"你是否曾使用过任何形式的优惠券？"（是/否）。凡有一项选择"否"者，将被引导至问卷结束页面，不参与后续实验。</w:t>
      </w:r>
    </w:p>
    <w:p w14:paraId="6859080C">
      <w:r>
        <w:rPr>
          <w:rFonts w:ascii="宋体" w:hAnsi="宋体" w:eastAsia="宋体"/>
          <w:b/>
          <w:sz w:val="24"/>
        </w:rPr>
        <w:t>⑤ 被试补偿方案</w:t>
      </w:r>
    </w:p>
    <w:p w14:paraId="5F2F2B65">
      <w:pPr>
        <w:rPr>
          <w:rFonts w:ascii="宋体" w:hAnsi="宋体" w:eastAsia="宋体"/>
          <w:b w:val="0"/>
          <w:sz w:val="24"/>
        </w:rPr>
      </w:pPr>
      <w:r>
        <w:rPr>
          <w:rFonts w:hint="eastAsia"/>
          <w:b w:val="0"/>
          <w:sz w:val="24"/>
          <w:lang w:eastAsia="zh-CN"/>
        </w:rPr>
        <w:t>（</w:t>
      </w:r>
      <w:r>
        <w:rPr>
          <w:rFonts w:ascii="宋体" w:hAnsi="宋体" w:eastAsia="宋体"/>
          <w:b w:val="0"/>
          <w:sz w:val="24"/>
        </w:rPr>
        <w:t>1）每位完成全部问卷的被试将获得5元微信红包或等值学分/志愿时数（根据招募渠道确定）。</w:t>
      </w:r>
    </w:p>
    <w:p w14:paraId="466E76E8">
      <w:r>
        <w:rPr>
          <w:rFonts w:ascii="宋体" w:hAnsi="宋体" w:eastAsia="宋体"/>
          <w:b w:val="0"/>
          <w:sz w:val="24"/>
        </w:rPr>
        <w:t>（2）为激励被试认真作答，设置额外的"认真作答奖励"：在注意力检查题中回答正确且填答认真度自评 ≥ 5分的被试，额外获得2元奖励或参与抽奖资格。（3）被试补偿信息在招募文案中仅说明"完成问卷可获得报酬"，不透露具体金额以避免补偿本身成为影响消费心理的额外变量。</w:t>
      </w:r>
    </w:p>
    <w:p w14:paraId="0AB080F4">
      <w:r>
        <w:rPr>
          <w:rFonts w:ascii="宋体" w:hAnsi="宋体" w:eastAsia="宋体"/>
          <w:b/>
          <w:sz w:val="24"/>
        </w:rPr>
        <w:t>⑥ 被试知情同意与伦理审查</w:t>
      </w:r>
    </w:p>
    <w:p w14:paraId="257F7CDC">
      <w:r>
        <w:rPr>
          <w:rFonts w:ascii="宋体" w:hAnsi="宋体" w:eastAsia="宋体"/>
          <w:b w:val="0"/>
          <w:sz w:val="24"/>
        </w:rPr>
        <w:t>（1）在问卷正式开始前，被试需阅读并勾选知情同意书。</w:t>
      </w:r>
      <w:r>
        <w:rPr>
          <w:rFonts w:ascii="宋体" w:hAnsi="宋体" w:eastAsia="宋体"/>
          <w:b w:val="0"/>
          <w:sz w:val="24"/>
        </w:rPr>
        <w:br w:type="textWrapping"/>
      </w:r>
      <w:r>
        <w:rPr>
          <w:rFonts w:ascii="宋体" w:hAnsi="宋体" w:eastAsia="宋体"/>
          <w:b w:val="0"/>
          <w:sz w:val="24"/>
        </w:rPr>
        <w:t>（2）知情同意书需说明：①研究目的（使用广义描述："了解大学生对咖啡消费的态度"）；②自愿参与原则；③随时退出的权利（退出不影响补偿获取）；④数据匿名处理与保密承诺；⑤研究者的联系方式。</w:t>
      </w:r>
      <w:r>
        <w:rPr>
          <w:rFonts w:ascii="宋体" w:hAnsi="宋体" w:eastAsia="宋体"/>
          <w:b w:val="0"/>
          <w:sz w:val="24"/>
        </w:rPr>
        <w:br w:type="textWrapping"/>
      </w:r>
      <w:r>
        <w:rPr>
          <w:rFonts w:ascii="宋体" w:hAnsi="宋体" w:eastAsia="宋体"/>
          <w:b w:val="0"/>
          <w:sz w:val="24"/>
        </w:rPr>
        <w:t>（3）在问卷结束后，呈现事后解说（Debriefing）页面，向被试揭示研究的真实目的（即考察优惠券面额与门槛对消费意愿的交互效应），并说明此前"虚假目的陈述"的必要性。被试有权在此阶段要求撤回其数据。</w:t>
      </w:r>
    </w:p>
    <w:p w14:paraId="4988BFAF"/>
    <w:p w14:paraId="35A1772C">
      <w:pPr>
        <w:pStyle w:val="4"/>
      </w:pPr>
      <w:r>
        <w:t>（二）问卷和问项</w:t>
      </w:r>
    </w:p>
    <w:p w14:paraId="52EBF04D">
      <w:r>
        <w:rPr>
          <w:rFonts w:ascii="宋体" w:hAnsi="宋体" w:eastAsia="宋体"/>
          <w:b/>
          <w:sz w:val="24"/>
        </w:rPr>
        <w:t>① 问卷总体结构</w:t>
      </w:r>
    </w:p>
    <w:p w14:paraId="5A54037C">
      <w:pPr>
        <w:ind w:firstLine="420"/>
      </w:pPr>
      <w:r>
        <w:rPr>
          <w:rFonts w:ascii="宋体" w:hAnsi="宋体" w:eastAsia="宋体"/>
          <w:b w:val="0"/>
          <w:sz w:val="24"/>
        </w:rPr>
        <w:t>整份问卷由7个模块组成，被试依次完成：筛选问项 → 知情同意 → 情景材料阅读 → 消费兑现意愿测量（因变量）→ 混淆变量测量 → 操控检验 → 人口统计学信息 → 事后解说。各模块的顺序经过精心设计以保证实验的内部效度。</w:t>
      </w:r>
    </w:p>
    <w:p w14:paraId="58FC5FE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2000"/>
        <w:gridCol w:w="2315"/>
        <w:gridCol w:w="1519"/>
        <w:gridCol w:w="1728"/>
      </w:tblGrid>
      <w:tr w14:paraId="67E59320">
        <w:trPr>
          <w:jc w:val="center"/>
        </w:trPr>
        <w:tc>
          <w:tcPr>
            <w:tcW w:w="1078" w:type="dxa"/>
          </w:tcPr>
          <w:p w14:paraId="106171B3">
            <w:pPr>
              <w:jc w:val="left"/>
            </w:pPr>
            <w:r>
              <w:rPr>
                <w:rFonts w:ascii="宋体" w:hAnsi="宋体" w:eastAsia="宋体"/>
                <w:b/>
                <w:sz w:val="20"/>
              </w:rPr>
              <w:t>模块序号</w:t>
            </w:r>
          </w:p>
        </w:tc>
        <w:tc>
          <w:tcPr>
            <w:tcW w:w="2000" w:type="dxa"/>
          </w:tcPr>
          <w:p w14:paraId="6C8F708F">
            <w:pPr>
              <w:jc w:val="left"/>
            </w:pPr>
            <w:r>
              <w:rPr>
                <w:rFonts w:ascii="宋体" w:hAnsi="宋体" w:eastAsia="宋体"/>
                <w:b/>
                <w:sz w:val="20"/>
              </w:rPr>
              <w:t>模块名称</w:t>
            </w:r>
          </w:p>
        </w:tc>
        <w:tc>
          <w:tcPr>
            <w:tcW w:w="2315" w:type="dxa"/>
          </w:tcPr>
          <w:p w14:paraId="2ED7A069">
            <w:pPr>
              <w:jc w:val="left"/>
            </w:pPr>
            <w:r>
              <w:rPr>
                <w:rFonts w:ascii="宋体" w:hAnsi="宋体" w:eastAsia="宋体"/>
                <w:b/>
                <w:sz w:val="20"/>
              </w:rPr>
              <w:t>题项数量</w:t>
            </w:r>
          </w:p>
        </w:tc>
        <w:tc>
          <w:tcPr>
            <w:tcW w:w="1519" w:type="dxa"/>
          </w:tcPr>
          <w:p w14:paraId="1DEAFC68">
            <w:pPr>
              <w:jc w:val="left"/>
            </w:pPr>
            <w:r>
              <w:rPr>
                <w:rFonts w:ascii="宋体" w:hAnsi="宋体" w:eastAsia="宋体"/>
                <w:b/>
                <w:sz w:val="20"/>
              </w:rPr>
              <w:t>题型</w:t>
            </w:r>
          </w:p>
        </w:tc>
        <w:tc>
          <w:tcPr>
            <w:tcW w:w="1728" w:type="dxa"/>
          </w:tcPr>
          <w:p w14:paraId="2DA7F062">
            <w:pPr>
              <w:jc w:val="left"/>
            </w:pPr>
            <w:r>
              <w:rPr>
                <w:rFonts w:ascii="宋体" w:hAnsi="宋体" w:eastAsia="宋体"/>
                <w:b/>
                <w:sz w:val="20"/>
              </w:rPr>
              <w:t>预计用时</w:t>
            </w:r>
          </w:p>
        </w:tc>
      </w:tr>
      <w:tr w14:paraId="7FFA61A4">
        <w:trPr>
          <w:jc w:val="center"/>
        </w:trPr>
        <w:tc>
          <w:tcPr>
            <w:tcW w:w="1078" w:type="dxa"/>
          </w:tcPr>
          <w:p w14:paraId="105AA30F">
            <w:pPr>
              <w:jc w:val="left"/>
            </w:pPr>
            <w:r>
              <w:rPr>
                <w:rFonts w:ascii="宋体" w:hAnsi="宋体" w:eastAsia="宋体"/>
                <w:b w:val="0"/>
                <w:sz w:val="20"/>
              </w:rPr>
              <w:t>1</w:t>
            </w:r>
          </w:p>
        </w:tc>
        <w:tc>
          <w:tcPr>
            <w:tcW w:w="2000" w:type="dxa"/>
          </w:tcPr>
          <w:p w14:paraId="42F28786">
            <w:pPr>
              <w:jc w:val="left"/>
            </w:pPr>
            <w:r>
              <w:rPr>
                <w:rFonts w:ascii="宋体" w:hAnsi="宋体" w:eastAsia="宋体"/>
                <w:b w:val="0"/>
                <w:sz w:val="20"/>
              </w:rPr>
              <w:t>筛选问项</w:t>
            </w:r>
          </w:p>
        </w:tc>
        <w:tc>
          <w:tcPr>
            <w:tcW w:w="2315" w:type="dxa"/>
          </w:tcPr>
          <w:p w14:paraId="6A40B9B0">
            <w:pPr>
              <w:jc w:val="left"/>
            </w:pPr>
            <w:r>
              <w:rPr>
                <w:rFonts w:ascii="宋体" w:hAnsi="宋体" w:eastAsia="宋体"/>
                <w:b w:val="0"/>
                <w:sz w:val="20"/>
              </w:rPr>
              <w:t>2题</w:t>
            </w:r>
          </w:p>
        </w:tc>
        <w:tc>
          <w:tcPr>
            <w:tcW w:w="1519" w:type="dxa"/>
          </w:tcPr>
          <w:p w14:paraId="721498CD">
            <w:pPr>
              <w:jc w:val="left"/>
            </w:pPr>
            <w:r>
              <w:rPr>
                <w:rFonts w:ascii="宋体" w:hAnsi="宋体" w:eastAsia="宋体"/>
                <w:b w:val="0"/>
                <w:sz w:val="20"/>
              </w:rPr>
              <w:t>是非题</w:t>
            </w:r>
          </w:p>
        </w:tc>
        <w:tc>
          <w:tcPr>
            <w:tcW w:w="1728" w:type="dxa"/>
          </w:tcPr>
          <w:p w14:paraId="4BF261FF">
            <w:pPr>
              <w:jc w:val="left"/>
            </w:pPr>
            <w:r>
              <w:rPr>
                <w:rFonts w:ascii="宋体" w:hAnsi="宋体" w:eastAsia="宋体"/>
                <w:b w:val="0"/>
                <w:sz w:val="20"/>
              </w:rPr>
              <w:t>30秒</w:t>
            </w:r>
          </w:p>
        </w:tc>
      </w:tr>
      <w:tr w14:paraId="487C1579">
        <w:trPr>
          <w:jc w:val="center"/>
        </w:trPr>
        <w:tc>
          <w:tcPr>
            <w:tcW w:w="1078" w:type="dxa"/>
          </w:tcPr>
          <w:p w14:paraId="4C15CF54">
            <w:pPr>
              <w:jc w:val="left"/>
            </w:pPr>
            <w:r>
              <w:rPr>
                <w:rFonts w:ascii="宋体" w:hAnsi="宋体" w:eastAsia="宋体"/>
                <w:b w:val="0"/>
                <w:sz w:val="20"/>
              </w:rPr>
              <w:t>2</w:t>
            </w:r>
          </w:p>
        </w:tc>
        <w:tc>
          <w:tcPr>
            <w:tcW w:w="2000" w:type="dxa"/>
          </w:tcPr>
          <w:p w14:paraId="03E407B1">
            <w:pPr>
              <w:jc w:val="left"/>
            </w:pPr>
            <w:r>
              <w:rPr>
                <w:rFonts w:ascii="宋体" w:hAnsi="宋体" w:eastAsia="宋体"/>
                <w:b w:val="0"/>
                <w:sz w:val="20"/>
              </w:rPr>
              <w:t>知情同意</w:t>
            </w:r>
          </w:p>
        </w:tc>
        <w:tc>
          <w:tcPr>
            <w:tcW w:w="2315" w:type="dxa"/>
          </w:tcPr>
          <w:p w14:paraId="48123E4C">
            <w:pPr>
              <w:jc w:val="left"/>
            </w:pPr>
            <w:r>
              <w:rPr>
                <w:rFonts w:ascii="宋体" w:hAnsi="宋体" w:eastAsia="宋体"/>
                <w:b w:val="0"/>
                <w:sz w:val="20"/>
              </w:rPr>
              <w:t>1页</w:t>
            </w:r>
          </w:p>
        </w:tc>
        <w:tc>
          <w:tcPr>
            <w:tcW w:w="1519" w:type="dxa"/>
          </w:tcPr>
          <w:p w14:paraId="419BC031">
            <w:pPr>
              <w:jc w:val="left"/>
            </w:pPr>
            <w:r>
              <w:rPr>
                <w:rFonts w:ascii="宋体" w:hAnsi="宋体" w:eastAsia="宋体"/>
                <w:b w:val="0"/>
                <w:sz w:val="20"/>
              </w:rPr>
              <w:t>阅读+勾选</w:t>
            </w:r>
          </w:p>
        </w:tc>
        <w:tc>
          <w:tcPr>
            <w:tcW w:w="1728" w:type="dxa"/>
          </w:tcPr>
          <w:p w14:paraId="52A22C3B">
            <w:pPr>
              <w:jc w:val="left"/>
            </w:pPr>
            <w:r>
              <w:rPr>
                <w:rFonts w:ascii="宋体" w:hAnsi="宋体" w:eastAsia="宋体"/>
                <w:b w:val="0"/>
                <w:sz w:val="20"/>
              </w:rPr>
              <w:t>30秒</w:t>
            </w:r>
          </w:p>
        </w:tc>
      </w:tr>
      <w:tr w14:paraId="15A33DED">
        <w:trPr>
          <w:jc w:val="center"/>
        </w:trPr>
        <w:tc>
          <w:tcPr>
            <w:tcW w:w="1078" w:type="dxa"/>
          </w:tcPr>
          <w:p w14:paraId="43FB56A0">
            <w:pPr>
              <w:jc w:val="left"/>
            </w:pPr>
            <w:r>
              <w:rPr>
                <w:rFonts w:ascii="宋体" w:hAnsi="宋体" w:eastAsia="宋体"/>
                <w:b w:val="0"/>
                <w:sz w:val="20"/>
              </w:rPr>
              <w:t>3</w:t>
            </w:r>
          </w:p>
        </w:tc>
        <w:tc>
          <w:tcPr>
            <w:tcW w:w="2000" w:type="dxa"/>
          </w:tcPr>
          <w:p w14:paraId="6B205E06">
            <w:pPr>
              <w:jc w:val="left"/>
            </w:pPr>
            <w:r>
              <w:rPr>
                <w:rFonts w:ascii="宋体" w:hAnsi="宋体" w:eastAsia="宋体"/>
                <w:b w:val="0"/>
                <w:sz w:val="20"/>
              </w:rPr>
              <w:t>情景材料</w:t>
            </w:r>
          </w:p>
        </w:tc>
        <w:tc>
          <w:tcPr>
            <w:tcW w:w="2315" w:type="dxa"/>
          </w:tcPr>
          <w:p w14:paraId="305CDE10">
            <w:pPr>
              <w:jc w:val="left"/>
            </w:pPr>
            <w:r>
              <w:rPr>
                <w:rFonts w:ascii="宋体" w:hAnsi="宋体" w:eastAsia="宋体"/>
                <w:b w:val="0"/>
                <w:sz w:val="20"/>
              </w:rPr>
              <w:t>1页</w:t>
            </w:r>
          </w:p>
        </w:tc>
        <w:tc>
          <w:tcPr>
            <w:tcW w:w="1519" w:type="dxa"/>
          </w:tcPr>
          <w:p w14:paraId="55326878">
            <w:pPr>
              <w:jc w:val="left"/>
            </w:pPr>
            <w:r>
              <w:rPr>
                <w:rFonts w:ascii="宋体" w:hAnsi="宋体" w:eastAsia="宋体"/>
                <w:b w:val="0"/>
                <w:sz w:val="20"/>
              </w:rPr>
              <w:t>文字阅读</w:t>
            </w:r>
          </w:p>
        </w:tc>
        <w:tc>
          <w:tcPr>
            <w:tcW w:w="1728" w:type="dxa"/>
          </w:tcPr>
          <w:p w14:paraId="308B29E8">
            <w:pPr>
              <w:jc w:val="left"/>
            </w:pPr>
            <w:r>
              <w:rPr>
                <w:rFonts w:ascii="宋体" w:hAnsi="宋体" w:eastAsia="宋体"/>
                <w:b w:val="0"/>
                <w:sz w:val="20"/>
              </w:rPr>
              <w:t>60-90秒</w:t>
            </w:r>
          </w:p>
        </w:tc>
      </w:tr>
      <w:tr w14:paraId="1B4BA163">
        <w:trPr>
          <w:jc w:val="center"/>
        </w:trPr>
        <w:tc>
          <w:tcPr>
            <w:tcW w:w="1078" w:type="dxa"/>
          </w:tcPr>
          <w:p w14:paraId="09A74586">
            <w:pPr>
              <w:jc w:val="left"/>
            </w:pPr>
            <w:r>
              <w:rPr>
                <w:rFonts w:ascii="宋体" w:hAnsi="宋体" w:eastAsia="宋体"/>
                <w:b w:val="0"/>
                <w:sz w:val="20"/>
              </w:rPr>
              <w:t>4</w:t>
            </w:r>
          </w:p>
        </w:tc>
        <w:tc>
          <w:tcPr>
            <w:tcW w:w="2000" w:type="dxa"/>
          </w:tcPr>
          <w:p w14:paraId="0F8E1468">
            <w:pPr>
              <w:jc w:val="left"/>
            </w:pPr>
            <w:r>
              <w:rPr>
                <w:rFonts w:ascii="宋体" w:hAnsi="宋体" w:eastAsia="宋体"/>
                <w:b w:val="0"/>
                <w:sz w:val="20"/>
              </w:rPr>
              <w:t>因变量测量（CRI）</w:t>
            </w:r>
          </w:p>
        </w:tc>
        <w:tc>
          <w:tcPr>
            <w:tcW w:w="2315" w:type="dxa"/>
          </w:tcPr>
          <w:p w14:paraId="093A4507">
            <w:pPr>
              <w:jc w:val="left"/>
            </w:pPr>
            <w:r>
              <w:rPr>
                <w:rFonts w:ascii="宋体" w:hAnsi="宋体" w:eastAsia="宋体"/>
                <w:b w:val="0"/>
                <w:sz w:val="20"/>
              </w:rPr>
              <w:t>6题（含1注意力）</w:t>
            </w:r>
          </w:p>
        </w:tc>
        <w:tc>
          <w:tcPr>
            <w:tcW w:w="1519" w:type="dxa"/>
          </w:tcPr>
          <w:p w14:paraId="553DF75C">
            <w:pPr>
              <w:jc w:val="left"/>
            </w:pPr>
            <w:r>
              <w:rPr>
                <w:rFonts w:ascii="宋体" w:hAnsi="宋体" w:eastAsia="宋体"/>
                <w:b w:val="0"/>
                <w:sz w:val="20"/>
              </w:rPr>
              <w:t>7点Likert</w:t>
            </w:r>
          </w:p>
        </w:tc>
        <w:tc>
          <w:tcPr>
            <w:tcW w:w="1728" w:type="dxa"/>
          </w:tcPr>
          <w:p w14:paraId="253785EF">
            <w:pPr>
              <w:jc w:val="left"/>
            </w:pPr>
            <w:r>
              <w:rPr>
                <w:rFonts w:ascii="宋体" w:hAnsi="宋体" w:eastAsia="宋体"/>
                <w:b w:val="0"/>
                <w:sz w:val="20"/>
              </w:rPr>
              <w:t>90秒</w:t>
            </w:r>
          </w:p>
        </w:tc>
      </w:tr>
      <w:tr w14:paraId="14078E27">
        <w:trPr>
          <w:jc w:val="center"/>
        </w:trPr>
        <w:tc>
          <w:tcPr>
            <w:tcW w:w="1078" w:type="dxa"/>
          </w:tcPr>
          <w:p w14:paraId="1FC3C00E">
            <w:pPr>
              <w:jc w:val="left"/>
            </w:pPr>
            <w:r>
              <w:rPr>
                <w:rFonts w:ascii="宋体" w:hAnsi="宋体" w:eastAsia="宋体"/>
                <w:b w:val="0"/>
                <w:sz w:val="20"/>
              </w:rPr>
              <w:t>5</w:t>
            </w:r>
          </w:p>
        </w:tc>
        <w:tc>
          <w:tcPr>
            <w:tcW w:w="2000" w:type="dxa"/>
          </w:tcPr>
          <w:p w14:paraId="2C4F4243">
            <w:pPr>
              <w:jc w:val="left"/>
            </w:pPr>
            <w:r>
              <w:rPr>
                <w:rFonts w:ascii="宋体" w:hAnsi="宋体" w:eastAsia="宋体"/>
                <w:b w:val="0"/>
                <w:sz w:val="20"/>
              </w:rPr>
              <w:t>混淆变量测量</w:t>
            </w:r>
          </w:p>
        </w:tc>
        <w:tc>
          <w:tcPr>
            <w:tcW w:w="2315" w:type="dxa"/>
          </w:tcPr>
          <w:p w14:paraId="75C8390A">
            <w:pPr>
              <w:jc w:val="left"/>
            </w:pPr>
            <w:r>
              <w:rPr>
                <w:rFonts w:ascii="宋体" w:hAnsi="宋体" w:eastAsia="宋体"/>
                <w:b w:val="0"/>
                <w:sz w:val="20"/>
              </w:rPr>
              <w:t>5题</w:t>
            </w:r>
          </w:p>
        </w:tc>
        <w:tc>
          <w:tcPr>
            <w:tcW w:w="1519" w:type="dxa"/>
          </w:tcPr>
          <w:p w14:paraId="7A9EBF12">
            <w:pPr>
              <w:jc w:val="left"/>
            </w:pPr>
            <w:r>
              <w:rPr>
                <w:rFonts w:ascii="宋体" w:hAnsi="宋体" w:eastAsia="宋体"/>
                <w:b w:val="0"/>
                <w:sz w:val="20"/>
              </w:rPr>
              <w:t>7点Likert</w:t>
            </w:r>
          </w:p>
        </w:tc>
        <w:tc>
          <w:tcPr>
            <w:tcW w:w="1728" w:type="dxa"/>
          </w:tcPr>
          <w:p w14:paraId="2BE9FFA5">
            <w:pPr>
              <w:jc w:val="left"/>
            </w:pPr>
            <w:r>
              <w:rPr>
                <w:rFonts w:ascii="宋体" w:hAnsi="宋体" w:eastAsia="宋体"/>
                <w:b w:val="0"/>
                <w:sz w:val="20"/>
              </w:rPr>
              <w:t>60秒</w:t>
            </w:r>
          </w:p>
        </w:tc>
      </w:tr>
      <w:tr w14:paraId="5821A3AE">
        <w:trPr>
          <w:jc w:val="center"/>
        </w:trPr>
        <w:tc>
          <w:tcPr>
            <w:tcW w:w="1078" w:type="dxa"/>
          </w:tcPr>
          <w:p w14:paraId="7494C58F">
            <w:pPr>
              <w:jc w:val="left"/>
            </w:pPr>
            <w:r>
              <w:rPr>
                <w:rFonts w:ascii="宋体" w:hAnsi="宋体" w:eastAsia="宋体"/>
                <w:b w:val="0"/>
                <w:sz w:val="20"/>
              </w:rPr>
              <w:t>6</w:t>
            </w:r>
          </w:p>
        </w:tc>
        <w:tc>
          <w:tcPr>
            <w:tcW w:w="2000" w:type="dxa"/>
          </w:tcPr>
          <w:p w14:paraId="4B59ECDA">
            <w:pPr>
              <w:jc w:val="left"/>
            </w:pPr>
            <w:r>
              <w:rPr>
                <w:rFonts w:ascii="宋体" w:hAnsi="宋体" w:eastAsia="宋体"/>
                <w:b w:val="0"/>
                <w:sz w:val="20"/>
              </w:rPr>
              <w:t>操控检验</w:t>
            </w:r>
          </w:p>
        </w:tc>
        <w:tc>
          <w:tcPr>
            <w:tcW w:w="2315" w:type="dxa"/>
          </w:tcPr>
          <w:p w14:paraId="1C1D7C9E">
            <w:pPr>
              <w:jc w:val="left"/>
            </w:pPr>
            <w:r>
              <w:rPr>
                <w:rFonts w:ascii="宋体" w:hAnsi="宋体" w:eastAsia="宋体"/>
                <w:b w:val="0"/>
                <w:sz w:val="20"/>
              </w:rPr>
              <w:t>4题</w:t>
            </w:r>
          </w:p>
        </w:tc>
        <w:tc>
          <w:tcPr>
            <w:tcW w:w="1519" w:type="dxa"/>
          </w:tcPr>
          <w:p w14:paraId="79B006E3">
            <w:pPr>
              <w:jc w:val="left"/>
            </w:pPr>
            <w:r>
              <w:rPr>
                <w:rFonts w:ascii="宋体" w:hAnsi="宋体" w:eastAsia="宋体"/>
                <w:b w:val="0"/>
                <w:sz w:val="20"/>
              </w:rPr>
              <w:t>单选+Likert</w:t>
            </w:r>
          </w:p>
        </w:tc>
        <w:tc>
          <w:tcPr>
            <w:tcW w:w="1728" w:type="dxa"/>
          </w:tcPr>
          <w:p w14:paraId="5786BC24">
            <w:pPr>
              <w:jc w:val="left"/>
            </w:pPr>
            <w:r>
              <w:rPr>
                <w:rFonts w:ascii="宋体" w:hAnsi="宋体" w:eastAsia="宋体"/>
                <w:b w:val="0"/>
                <w:sz w:val="20"/>
              </w:rPr>
              <w:t>60秒</w:t>
            </w:r>
          </w:p>
        </w:tc>
      </w:tr>
      <w:tr w14:paraId="05A9D0FB">
        <w:trPr>
          <w:jc w:val="center"/>
        </w:trPr>
        <w:tc>
          <w:tcPr>
            <w:tcW w:w="1078" w:type="dxa"/>
          </w:tcPr>
          <w:p w14:paraId="05A1B74D">
            <w:pPr>
              <w:jc w:val="left"/>
            </w:pPr>
            <w:r>
              <w:rPr>
                <w:rFonts w:ascii="宋体" w:hAnsi="宋体" w:eastAsia="宋体"/>
                <w:b w:val="0"/>
                <w:sz w:val="20"/>
              </w:rPr>
              <w:t>7</w:t>
            </w:r>
          </w:p>
        </w:tc>
        <w:tc>
          <w:tcPr>
            <w:tcW w:w="2000" w:type="dxa"/>
          </w:tcPr>
          <w:p w14:paraId="59A686E0">
            <w:pPr>
              <w:jc w:val="left"/>
            </w:pPr>
            <w:r>
              <w:rPr>
                <w:rFonts w:ascii="宋体" w:hAnsi="宋体" w:eastAsia="宋体"/>
                <w:b w:val="0"/>
                <w:sz w:val="20"/>
              </w:rPr>
              <w:t>人口统计+事后解说</w:t>
            </w:r>
          </w:p>
        </w:tc>
        <w:tc>
          <w:tcPr>
            <w:tcW w:w="2315" w:type="dxa"/>
          </w:tcPr>
          <w:p w14:paraId="1BD0DFDF">
            <w:pPr>
              <w:jc w:val="left"/>
            </w:pPr>
            <w:r>
              <w:rPr>
                <w:rFonts w:ascii="宋体" w:hAnsi="宋体" w:eastAsia="宋体"/>
                <w:b w:val="0"/>
                <w:sz w:val="20"/>
              </w:rPr>
              <w:t>5题+解说页</w:t>
            </w:r>
          </w:p>
        </w:tc>
        <w:tc>
          <w:tcPr>
            <w:tcW w:w="1519" w:type="dxa"/>
          </w:tcPr>
          <w:p w14:paraId="2B6CDDDC">
            <w:pPr>
              <w:jc w:val="left"/>
            </w:pPr>
            <w:r>
              <w:rPr>
                <w:rFonts w:ascii="宋体" w:hAnsi="宋体" w:eastAsia="宋体"/>
                <w:b w:val="0"/>
                <w:sz w:val="20"/>
              </w:rPr>
              <w:t>选择+阅读</w:t>
            </w:r>
          </w:p>
        </w:tc>
        <w:tc>
          <w:tcPr>
            <w:tcW w:w="1728" w:type="dxa"/>
          </w:tcPr>
          <w:p w14:paraId="7529E412">
            <w:pPr>
              <w:jc w:val="left"/>
            </w:pPr>
            <w:r>
              <w:rPr>
                <w:rFonts w:ascii="宋体" w:hAnsi="宋体" w:eastAsia="宋体"/>
                <w:b w:val="0"/>
                <w:sz w:val="20"/>
              </w:rPr>
              <w:t>60秒</w:t>
            </w:r>
          </w:p>
        </w:tc>
      </w:tr>
    </w:tbl>
    <w:p w14:paraId="2054FE26"/>
    <w:p w14:paraId="00CD3DDD">
      <w:r>
        <w:rPr>
          <w:rFonts w:ascii="宋体" w:hAnsi="宋体" w:eastAsia="宋体"/>
          <w:b/>
          <w:sz w:val="24"/>
        </w:rPr>
        <w:t>② 因变量测量：消费兑现意愿（CRI）量表</w:t>
      </w:r>
    </w:p>
    <w:p w14:paraId="73E1C3FC">
      <w:pPr>
        <w:ind w:firstLine="420"/>
      </w:pPr>
      <w:r>
        <w:rPr>
          <w:rFonts w:ascii="宋体" w:hAnsi="宋体" w:eastAsia="宋体"/>
          <w:b w:val="0"/>
          <w:sz w:val="24"/>
        </w:rPr>
        <w:t>以下量表整合了Dodds et al. (1991)的购买意愿量表、Grewal et al. (1998)的交易价值感知题项，以及Nayal &amp; Pandey (2020)对数字优惠券兑现意愿的专门维度，并针对"悦享咖啡"情景进行了语言调整。所有题项均采用7点Likert量表（1=非常不同意，7=非常同意），以CRI1-CRI5的均值作为消费兑现意愿得分。</w:t>
      </w:r>
    </w:p>
    <w:p w14:paraId="2399713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1224"/>
        <w:gridCol w:w="4691"/>
        <w:gridCol w:w="1998"/>
      </w:tblGrid>
      <w:tr w14:paraId="0D8F36EA">
        <w:trPr>
          <w:jc w:val="center"/>
        </w:trPr>
        <w:tc>
          <w:tcPr>
            <w:tcW w:w="727" w:type="dxa"/>
          </w:tcPr>
          <w:p w14:paraId="2582B63B">
            <w:pPr>
              <w:jc w:val="left"/>
            </w:pPr>
            <w:r>
              <w:rPr>
                <w:rFonts w:ascii="宋体" w:hAnsi="宋体" w:eastAsia="宋体"/>
                <w:b/>
                <w:sz w:val="20"/>
              </w:rPr>
              <w:t>编号</w:t>
            </w:r>
          </w:p>
        </w:tc>
        <w:tc>
          <w:tcPr>
            <w:tcW w:w="1224" w:type="dxa"/>
          </w:tcPr>
          <w:p w14:paraId="1A8D48C5">
            <w:pPr>
              <w:jc w:val="left"/>
            </w:pPr>
            <w:r>
              <w:rPr>
                <w:rFonts w:ascii="宋体" w:hAnsi="宋体" w:eastAsia="宋体"/>
                <w:b/>
                <w:sz w:val="20"/>
              </w:rPr>
              <w:t>维度</w:t>
            </w:r>
          </w:p>
        </w:tc>
        <w:tc>
          <w:tcPr>
            <w:tcW w:w="4691" w:type="dxa"/>
          </w:tcPr>
          <w:p w14:paraId="0B89B1F5">
            <w:pPr>
              <w:jc w:val="left"/>
            </w:pPr>
            <w:r>
              <w:rPr>
                <w:rFonts w:ascii="宋体" w:hAnsi="宋体" w:eastAsia="宋体"/>
                <w:b/>
                <w:sz w:val="20"/>
              </w:rPr>
              <w:t>题项内容</w:t>
            </w:r>
          </w:p>
        </w:tc>
        <w:tc>
          <w:tcPr>
            <w:tcW w:w="1998" w:type="dxa"/>
          </w:tcPr>
          <w:p w14:paraId="426F257C">
            <w:pPr>
              <w:jc w:val="left"/>
            </w:pPr>
            <w:r>
              <w:rPr>
                <w:rFonts w:ascii="宋体" w:hAnsi="宋体" w:eastAsia="宋体"/>
                <w:b/>
                <w:sz w:val="20"/>
              </w:rPr>
              <w:t>来源</w:t>
            </w:r>
          </w:p>
        </w:tc>
      </w:tr>
      <w:tr w14:paraId="7FCA604D">
        <w:trPr>
          <w:jc w:val="center"/>
        </w:trPr>
        <w:tc>
          <w:tcPr>
            <w:tcW w:w="727" w:type="dxa"/>
          </w:tcPr>
          <w:p w14:paraId="76445A71">
            <w:pPr>
              <w:jc w:val="left"/>
            </w:pPr>
            <w:r>
              <w:rPr>
                <w:rFonts w:ascii="宋体" w:hAnsi="宋体" w:eastAsia="宋体"/>
                <w:b w:val="0"/>
                <w:sz w:val="20"/>
              </w:rPr>
              <w:t>CRI1</w:t>
            </w:r>
          </w:p>
        </w:tc>
        <w:tc>
          <w:tcPr>
            <w:tcW w:w="1224" w:type="dxa"/>
          </w:tcPr>
          <w:p w14:paraId="4E6155C7">
            <w:pPr>
              <w:jc w:val="left"/>
            </w:pPr>
            <w:r>
              <w:rPr>
                <w:rFonts w:ascii="宋体" w:hAnsi="宋体" w:eastAsia="宋体"/>
                <w:b w:val="0"/>
                <w:sz w:val="20"/>
              </w:rPr>
              <w:t>兑现意向</w:t>
            </w:r>
          </w:p>
        </w:tc>
        <w:tc>
          <w:tcPr>
            <w:tcW w:w="4691" w:type="dxa"/>
          </w:tcPr>
          <w:p w14:paraId="56B3E2D1">
            <w:pPr>
              <w:jc w:val="left"/>
            </w:pPr>
            <w:r>
              <w:rPr>
                <w:rFonts w:ascii="宋体" w:hAnsi="宋体" w:eastAsia="宋体"/>
                <w:b w:val="0"/>
                <w:sz w:val="20"/>
              </w:rPr>
              <w:t>我会在有效期内使用这张悦享咖啡的优惠券。</w:t>
            </w:r>
          </w:p>
        </w:tc>
        <w:tc>
          <w:tcPr>
            <w:tcW w:w="1998" w:type="dxa"/>
          </w:tcPr>
          <w:p w14:paraId="2AB226F2">
            <w:pPr>
              <w:jc w:val="left"/>
            </w:pPr>
            <w:r>
              <w:rPr>
                <w:rFonts w:ascii="宋体" w:hAnsi="宋体" w:eastAsia="宋体"/>
                <w:b w:val="0"/>
                <w:sz w:val="20"/>
              </w:rPr>
              <w:t>Dodds et al. (1991)</w:t>
            </w:r>
          </w:p>
        </w:tc>
      </w:tr>
      <w:tr w14:paraId="295E61CA">
        <w:trPr>
          <w:jc w:val="center"/>
        </w:trPr>
        <w:tc>
          <w:tcPr>
            <w:tcW w:w="727" w:type="dxa"/>
          </w:tcPr>
          <w:p w14:paraId="3BF4AF6D">
            <w:pPr>
              <w:jc w:val="left"/>
            </w:pPr>
            <w:r>
              <w:rPr>
                <w:rFonts w:ascii="宋体" w:hAnsi="宋体" w:eastAsia="宋体"/>
                <w:b w:val="0"/>
                <w:sz w:val="20"/>
              </w:rPr>
              <w:t>CRI2</w:t>
            </w:r>
          </w:p>
        </w:tc>
        <w:tc>
          <w:tcPr>
            <w:tcW w:w="1224" w:type="dxa"/>
          </w:tcPr>
          <w:p w14:paraId="15A6994B">
            <w:pPr>
              <w:jc w:val="left"/>
            </w:pPr>
            <w:r>
              <w:rPr>
                <w:rFonts w:ascii="宋体" w:hAnsi="宋体" w:eastAsia="宋体"/>
                <w:b w:val="0"/>
                <w:sz w:val="20"/>
              </w:rPr>
              <w:t>行为努力</w:t>
            </w:r>
          </w:p>
        </w:tc>
        <w:tc>
          <w:tcPr>
            <w:tcW w:w="4691" w:type="dxa"/>
          </w:tcPr>
          <w:p w14:paraId="0BEA4C7B">
            <w:pPr>
              <w:jc w:val="left"/>
            </w:pPr>
            <w:r>
              <w:rPr>
                <w:rFonts w:ascii="宋体" w:hAnsi="宋体" w:eastAsia="宋体"/>
                <w:b w:val="0"/>
                <w:sz w:val="20"/>
              </w:rPr>
              <w:t>我愿意为了使用这张优惠券而专门前往悦享咖啡消费。</w:t>
            </w:r>
          </w:p>
        </w:tc>
        <w:tc>
          <w:tcPr>
            <w:tcW w:w="1998" w:type="dxa"/>
          </w:tcPr>
          <w:p w14:paraId="5511D7C0">
            <w:pPr>
              <w:jc w:val="left"/>
            </w:pPr>
            <w:r>
              <w:rPr>
                <w:rFonts w:ascii="宋体" w:hAnsi="宋体" w:eastAsia="宋体"/>
                <w:b w:val="0"/>
                <w:sz w:val="20"/>
              </w:rPr>
              <w:t>改编自 Dodds et al. (1991)</w:t>
            </w:r>
          </w:p>
        </w:tc>
      </w:tr>
      <w:tr w14:paraId="50D42E54">
        <w:trPr>
          <w:jc w:val="center"/>
        </w:trPr>
        <w:tc>
          <w:tcPr>
            <w:tcW w:w="727" w:type="dxa"/>
          </w:tcPr>
          <w:p w14:paraId="70E38994">
            <w:pPr>
              <w:jc w:val="left"/>
            </w:pPr>
            <w:r>
              <w:rPr>
                <w:rFonts w:ascii="宋体" w:hAnsi="宋体" w:eastAsia="宋体"/>
                <w:b w:val="0"/>
                <w:sz w:val="20"/>
              </w:rPr>
              <w:t>CRI3</w:t>
            </w:r>
          </w:p>
        </w:tc>
        <w:tc>
          <w:tcPr>
            <w:tcW w:w="1224" w:type="dxa"/>
          </w:tcPr>
          <w:p w14:paraId="3696E3C8">
            <w:pPr>
              <w:jc w:val="left"/>
            </w:pPr>
            <w:r>
              <w:rPr>
                <w:rFonts w:ascii="宋体" w:hAnsi="宋体" w:eastAsia="宋体"/>
                <w:b w:val="0"/>
                <w:sz w:val="20"/>
              </w:rPr>
              <w:t>价值判断</w:t>
            </w:r>
          </w:p>
        </w:tc>
        <w:tc>
          <w:tcPr>
            <w:tcW w:w="4691" w:type="dxa"/>
          </w:tcPr>
          <w:p w14:paraId="22961B42">
            <w:pPr>
              <w:jc w:val="left"/>
            </w:pPr>
            <w:r>
              <w:rPr>
                <w:rFonts w:ascii="宋体" w:hAnsi="宋体" w:eastAsia="宋体"/>
                <w:b w:val="0"/>
                <w:sz w:val="20"/>
              </w:rPr>
              <w:t>考虑到优惠券的条件，我认为使用它是值得的。</w:t>
            </w:r>
          </w:p>
        </w:tc>
        <w:tc>
          <w:tcPr>
            <w:tcW w:w="1998" w:type="dxa"/>
          </w:tcPr>
          <w:p w14:paraId="074D07C1">
            <w:pPr>
              <w:jc w:val="left"/>
            </w:pPr>
            <w:r>
              <w:rPr>
                <w:rFonts w:ascii="宋体" w:hAnsi="宋体" w:eastAsia="宋体"/>
                <w:b w:val="0"/>
                <w:sz w:val="20"/>
              </w:rPr>
              <w:t>Grewal et al. (1998)</w:t>
            </w:r>
          </w:p>
        </w:tc>
      </w:tr>
      <w:tr w14:paraId="0368EA48">
        <w:trPr>
          <w:jc w:val="center"/>
        </w:trPr>
        <w:tc>
          <w:tcPr>
            <w:tcW w:w="727" w:type="dxa"/>
          </w:tcPr>
          <w:p w14:paraId="07037462">
            <w:pPr>
              <w:jc w:val="left"/>
            </w:pPr>
            <w:r>
              <w:rPr>
                <w:rFonts w:ascii="宋体" w:hAnsi="宋体" w:eastAsia="宋体"/>
                <w:b w:val="0"/>
                <w:sz w:val="20"/>
              </w:rPr>
              <w:t>CRI4</w:t>
            </w:r>
          </w:p>
        </w:tc>
        <w:tc>
          <w:tcPr>
            <w:tcW w:w="1224" w:type="dxa"/>
          </w:tcPr>
          <w:p w14:paraId="7324A5A7">
            <w:pPr>
              <w:jc w:val="left"/>
            </w:pPr>
            <w:r>
              <w:rPr>
                <w:rFonts w:ascii="宋体" w:hAnsi="宋体" w:eastAsia="宋体"/>
                <w:b w:val="0"/>
                <w:sz w:val="20"/>
              </w:rPr>
              <w:t>自发性</w:t>
            </w:r>
          </w:p>
        </w:tc>
        <w:tc>
          <w:tcPr>
            <w:tcW w:w="4691" w:type="dxa"/>
          </w:tcPr>
          <w:p w14:paraId="31733946">
            <w:pPr>
              <w:jc w:val="left"/>
            </w:pPr>
            <w:r>
              <w:rPr>
                <w:rFonts w:ascii="宋体" w:hAnsi="宋体" w:eastAsia="宋体"/>
                <w:b w:val="0"/>
                <w:sz w:val="20"/>
              </w:rPr>
              <w:t>即使原本没有计划购买咖啡/茶饮，获得这张优惠券后我可能会考虑去消费。</w:t>
            </w:r>
          </w:p>
        </w:tc>
        <w:tc>
          <w:tcPr>
            <w:tcW w:w="1998" w:type="dxa"/>
          </w:tcPr>
          <w:p w14:paraId="41D0BED8">
            <w:pPr>
              <w:jc w:val="left"/>
            </w:pPr>
            <w:r>
              <w:rPr>
                <w:rFonts w:ascii="宋体" w:hAnsi="宋体" w:eastAsia="宋体"/>
                <w:b w:val="0"/>
                <w:sz w:val="20"/>
              </w:rPr>
              <w:t>Nayal &amp; Pandey (2020)；</w:t>
            </w:r>
            <w:r>
              <w:rPr>
                <w:rFonts w:ascii="宋体" w:hAnsi="宋体" w:eastAsia="宋体"/>
                <w:b w:val="0"/>
                <w:sz w:val="20"/>
              </w:rPr>
              <w:br w:type="textWrapping"/>
            </w:r>
            <w:r>
              <w:rPr>
                <w:rFonts w:ascii="宋体" w:hAnsi="宋体" w:eastAsia="宋体"/>
                <w:b w:val="0"/>
                <w:sz w:val="20"/>
              </w:rPr>
              <w:t>自行设计情景适配</w:t>
            </w:r>
          </w:p>
        </w:tc>
      </w:tr>
      <w:tr w14:paraId="276AC471">
        <w:trPr>
          <w:jc w:val="center"/>
        </w:trPr>
        <w:tc>
          <w:tcPr>
            <w:tcW w:w="727" w:type="dxa"/>
          </w:tcPr>
          <w:p w14:paraId="3B896A79">
            <w:pPr>
              <w:jc w:val="left"/>
            </w:pPr>
            <w:r>
              <w:rPr>
                <w:rFonts w:ascii="宋体" w:hAnsi="宋体" w:eastAsia="宋体"/>
                <w:b w:val="0"/>
                <w:sz w:val="20"/>
              </w:rPr>
              <w:t>CRI5</w:t>
            </w:r>
          </w:p>
        </w:tc>
        <w:tc>
          <w:tcPr>
            <w:tcW w:w="1224" w:type="dxa"/>
          </w:tcPr>
          <w:p w14:paraId="4E9451FB">
            <w:pPr>
              <w:jc w:val="left"/>
            </w:pPr>
            <w:r>
              <w:rPr>
                <w:rFonts w:ascii="宋体" w:hAnsi="宋体" w:eastAsia="宋体"/>
                <w:b w:val="0"/>
                <w:sz w:val="20"/>
              </w:rPr>
              <w:t>吸引力比较</w:t>
            </w:r>
          </w:p>
        </w:tc>
        <w:tc>
          <w:tcPr>
            <w:tcW w:w="4691" w:type="dxa"/>
          </w:tcPr>
          <w:p w14:paraId="2515A4B2">
            <w:pPr>
              <w:jc w:val="left"/>
            </w:pPr>
            <w:r>
              <w:rPr>
                <w:rFonts w:ascii="宋体" w:hAnsi="宋体" w:eastAsia="宋体"/>
                <w:b w:val="0"/>
                <w:sz w:val="20"/>
              </w:rPr>
              <w:t>与其他促销方式相比，这张优惠券对我有吸引力。</w:t>
            </w:r>
          </w:p>
        </w:tc>
        <w:tc>
          <w:tcPr>
            <w:tcW w:w="1998" w:type="dxa"/>
          </w:tcPr>
          <w:p w14:paraId="5E2CDD04">
            <w:pPr>
              <w:jc w:val="left"/>
            </w:pPr>
            <w:r>
              <w:rPr>
                <w:rFonts w:ascii="宋体" w:hAnsi="宋体" w:eastAsia="宋体"/>
                <w:b w:val="0"/>
                <w:sz w:val="20"/>
              </w:rPr>
              <w:t>Chandon et al. (2000)</w:t>
            </w:r>
          </w:p>
        </w:tc>
      </w:tr>
    </w:tbl>
    <w:p w14:paraId="1FF4EB88"/>
    <w:p w14:paraId="0F98F21A">
      <w:pPr>
        <w:ind w:firstLine="420"/>
      </w:pPr>
      <w:r>
        <w:rPr>
          <w:rFonts w:ascii="宋体" w:hAnsi="宋体" w:eastAsia="宋体"/>
          <w:b w:val="0"/>
          <w:sz w:val="24"/>
        </w:rPr>
        <w:t>量表信效度依据：Dodds等（1991）原始量表Cronbach's α = 0.92；Nayal和Pandey（2020）开发的数字优惠券兑现量表Cronbach's α = 0.89。本实验预期CRI的Cronbach's α ≥ 0.85。</w:t>
      </w:r>
      <w:r>
        <w:rPr>
          <w:rFonts w:ascii="宋体" w:hAnsi="宋体" w:eastAsia="宋体"/>
          <w:b w:val="0"/>
          <w:sz w:val="24"/>
        </w:rPr>
        <w:br w:type="textWrapping"/>
      </w:r>
      <w:r>
        <w:rPr>
          <w:rFonts w:ascii="宋体" w:hAnsi="宋体" w:eastAsia="宋体"/>
          <w:b w:val="0"/>
          <w:sz w:val="24"/>
        </w:rPr>
        <w:t>效度方面，CRI1-CRI5覆盖了兑现意向（CRI1）、行为努力（CRI2）、价值判断（CRI3）、自发性（CRI4）和吸引力比较（CRI5）五个维度，内容效度经由预测试评估。</w:t>
      </w:r>
    </w:p>
    <w:p w14:paraId="1B115E83"/>
    <w:p w14:paraId="7B97AF6A">
      <w:r>
        <w:rPr>
          <w:rFonts w:ascii="宋体" w:hAnsi="宋体" w:eastAsia="宋体"/>
          <w:b/>
          <w:sz w:val="24"/>
        </w:rPr>
        <w:t>③ 注意力检查题</w:t>
      </w:r>
    </w:p>
    <w:p w14:paraId="250A6721">
      <w:pPr>
        <w:ind w:firstLine="420"/>
      </w:pPr>
      <w:r>
        <w:rPr>
          <w:rFonts w:ascii="宋体" w:hAnsi="宋体" w:eastAsia="宋体"/>
          <w:b w:val="0"/>
          <w:sz w:val="24"/>
        </w:rPr>
        <w:t>在CRI量表第3题（CRI3）和第4题（CRI4）之间插入一道注意力检查题：</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"本题为注意力检测题，请直接选择「4（一般）」。"</w:t>
      </w:r>
      <w:r>
        <w:rPr>
          <w:rFonts w:ascii="宋体" w:hAnsi="宋体" w:eastAsia="宋体"/>
          <w:b w:val="0"/>
          <w:sz w:val="24"/>
        </w:rPr>
        <w:br w:type="textWrapping"/>
      </w:r>
      <w:r>
        <w:rPr>
          <w:rFonts w:ascii="宋体" w:hAnsi="宋体" w:eastAsia="宋体"/>
          <w:b w:val="0"/>
          <w:sz w:val="24"/>
        </w:rPr>
        <w:t>（1=非常不同意，7=非常同意）</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正确回答应为4。选择非4的被试数据在正式分析中被标记为"注意力检查失败"，从主分析中剔除。剔除后进行敏感性分析，比较包含与排除这部分被试时的结果差异。</w:t>
      </w:r>
    </w:p>
    <w:p w14:paraId="0DE69F2E"/>
    <w:p w14:paraId="2F36081B">
      <w:r>
        <w:rPr>
          <w:rFonts w:ascii="宋体" w:hAnsi="宋体" w:eastAsia="宋体"/>
          <w:b/>
          <w:sz w:val="24"/>
        </w:rPr>
        <w:t>④ 混淆变量测量（新增——控制潜在干扰因素）</w:t>
      </w:r>
    </w:p>
    <w:p w14:paraId="078017FB">
      <w:pPr>
        <w:ind w:firstLine="420"/>
      </w:pPr>
      <w:r>
        <w:rPr>
          <w:rFonts w:ascii="宋体" w:hAnsi="宋体" w:eastAsia="宋体"/>
          <w:b w:val="0"/>
          <w:sz w:val="24"/>
        </w:rPr>
        <w:t>为了排除可能干扰实验结果的混淆因素，在因变量测量之后、操控检验之前，插入以下5个混淆变量题项（均采用7点Likert量表）：</w:t>
      </w:r>
    </w:p>
    <w:p w14:paraId="7B6B3BC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134"/>
        <w:gridCol w:w="3668"/>
        <w:gridCol w:w="2160"/>
      </w:tblGrid>
      <w:tr w14:paraId="60BDA53F">
        <w:trPr>
          <w:jc w:val="center"/>
        </w:trPr>
        <w:tc>
          <w:tcPr>
            <w:tcW w:w="678" w:type="dxa"/>
          </w:tcPr>
          <w:p w14:paraId="4CD25CF4">
            <w:pPr>
              <w:jc w:val="left"/>
            </w:pPr>
            <w:r>
              <w:rPr>
                <w:rFonts w:ascii="宋体" w:hAnsi="宋体" w:eastAsia="宋体"/>
                <w:b/>
                <w:sz w:val="20"/>
              </w:rPr>
              <w:t>编号</w:t>
            </w:r>
          </w:p>
        </w:tc>
        <w:tc>
          <w:tcPr>
            <w:tcW w:w="2134" w:type="dxa"/>
          </w:tcPr>
          <w:p w14:paraId="2AF24A06">
            <w:pPr>
              <w:jc w:val="left"/>
            </w:pPr>
            <w:r>
              <w:rPr>
                <w:rFonts w:ascii="宋体" w:hAnsi="宋体" w:eastAsia="宋体"/>
                <w:b/>
                <w:sz w:val="20"/>
              </w:rPr>
              <w:t>变量名称</w:t>
            </w:r>
          </w:p>
        </w:tc>
        <w:tc>
          <w:tcPr>
            <w:tcW w:w="3668" w:type="dxa"/>
          </w:tcPr>
          <w:p w14:paraId="0DB95C96">
            <w:pPr>
              <w:jc w:val="left"/>
            </w:pPr>
            <w:r>
              <w:rPr>
                <w:rFonts w:ascii="宋体" w:hAnsi="宋体" w:eastAsia="宋体"/>
                <w:b/>
                <w:sz w:val="20"/>
              </w:rPr>
              <w:t>题项内容</w:t>
            </w:r>
          </w:p>
        </w:tc>
        <w:tc>
          <w:tcPr>
            <w:tcW w:w="2160" w:type="dxa"/>
          </w:tcPr>
          <w:p w14:paraId="41281DAD">
            <w:pPr>
              <w:jc w:val="left"/>
            </w:pPr>
            <w:r>
              <w:rPr>
                <w:rFonts w:ascii="宋体" w:hAnsi="宋体" w:eastAsia="宋体"/>
                <w:b/>
                <w:sz w:val="20"/>
              </w:rPr>
              <w:t>控制原因</w:t>
            </w:r>
          </w:p>
        </w:tc>
      </w:tr>
      <w:tr w14:paraId="684273B6">
        <w:trPr>
          <w:jc w:val="center"/>
        </w:trPr>
        <w:tc>
          <w:tcPr>
            <w:tcW w:w="678" w:type="dxa"/>
          </w:tcPr>
          <w:p w14:paraId="2DFB4603">
            <w:pPr>
              <w:jc w:val="left"/>
            </w:pPr>
            <w:r>
              <w:rPr>
                <w:rFonts w:ascii="宋体" w:hAnsi="宋体" w:eastAsia="宋体"/>
                <w:b w:val="0"/>
                <w:sz w:val="20"/>
              </w:rPr>
              <w:t>CV1</w:t>
            </w:r>
          </w:p>
        </w:tc>
        <w:tc>
          <w:tcPr>
            <w:tcW w:w="2134" w:type="dxa"/>
          </w:tcPr>
          <w:p w14:paraId="311ECE04">
            <w:pPr>
              <w:jc w:val="left"/>
            </w:pPr>
            <w:r>
              <w:rPr>
                <w:rFonts w:ascii="宋体" w:hAnsi="宋体" w:eastAsia="宋体"/>
                <w:b w:val="0"/>
                <w:sz w:val="20"/>
              </w:rPr>
              <w:t>优惠券倾向性</w:t>
            </w:r>
            <w:r>
              <w:rPr>
                <w:rFonts w:ascii="宋体" w:hAnsi="宋体" w:eastAsia="宋体"/>
                <w:b w:val="0"/>
                <w:sz w:val="20"/>
              </w:rPr>
              <w:br w:type="textWrapping"/>
            </w:r>
            <w:r>
              <w:rPr>
                <w:rFonts w:ascii="宋体" w:hAnsi="宋体" w:eastAsia="宋体"/>
                <w:b w:val="0"/>
                <w:sz w:val="20"/>
              </w:rPr>
              <w:t>（Coupon Proneness）</w:t>
            </w:r>
          </w:p>
        </w:tc>
        <w:tc>
          <w:tcPr>
            <w:tcW w:w="3668" w:type="dxa"/>
          </w:tcPr>
          <w:p w14:paraId="58A95582">
            <w:pPr>
              <w:jc w:val="left"/>
            </w:pPr>
            <w:r>
              <w:rPr>
                <w:rFonts w:ascii="宋体" w:hAnsi="宋体" w:eastAsia="宋体"/>
                <w:b w:val="0"/>
                <w:sz w:val="20"/>
              </w:rPr>
              <w:t>"我平时看到优惠券就想领取使用。"</w:t>
            </w:r>
          </w:p>
        </w:tc>
        <w:tc>
          <w:tcPr>
            <w:tcW w:w="2160" w:type="dxa"/>
          </w:tcPr>
          <w:p w14:paraId="6BAA54BF">
            <w:pPr>
              <w:jc w:val="left"/>
            </w:pPr>
            <w:r>
              <w:rPr>
                <w:rFonts w:ascii="宋体" w:hAnsi="宋体" w:eastAsia="宋体"/>
                <w:b w:val="0"/>
                <w:sz w:val="20"/>
              </w:rPr>
              <w:t>排除"天生爱用券"个体差异对结果的混淆</w:t>
            </w:r>
          </w:p>
        </w:tc>
      </w:tr>
      <w:tr w14:paraId="7299C3C0">
        <w:trPr>
          <w:jc w:val="center"/>
        </w:trPr>
        <w:tc>
          <w:tcPr>
            <w:tcW w:w="678" w:type="dxa"/>
          </w:tcPr>
          <w:p w14:paraId="70E8BB44">
            <w:pPr>
              <w:jc w:val="left"/>
            </w:pPr>
            <w:r>
              <w:rPr>
                <w:rFonts w:ascii="宋体" w:hAnsi="宋体" w:eastAsia="宋体"/>
                <w:b w:val="0"/>
                <w:sz w:val="20"/>
              </w:rPr>
              <w:t>CV2</w:t>
            </w:r>
          </w:p>
        </w:tc>
        <w:tc>
          <w:tcPr>
            <w:tcW w:w="2134" w:type="dxa"/>
          </w:tcPr>
          <w:p w14:paraId="3B2C9E20">
            <w:pPr>
              <w:jc w:val="left"/>
            </w:pPr>
            <w:r>
              <w:rPr>
                <w:rFonts w:ascii="宋体" w:hAnsi="宋体" w:eastAsia="宋体"/>
                <w:b w:val="0"/>
                <w:sz w:val="20"/>
              </w:rPr>
              <w:t>价格敏感度</w:t>
            </w:r>
          </w:p>
        </w:tc>
        <w:tc>
          <w:tcPr>
            <w:tcW w:w="3668" w:type="dxa"/>
          </w:tcPr>
          <w:p w14:paraId="3A0586A0">
            <w:pPr>
              <w:jc w:val="left"/>
            </w:pPr>
            <w:r>
              <w:rPr>
                <w:rFonts w:ascii="宋体" w:hAnsi="宋体" w:eastAsia="宋体"/>
                <w:b w:val="0"/>
                <w:sz w:val="20"/>
              </w:rPr>
              <w:t>"购买咖啡/茶饮时，价格是我最重要的考虑因素。"</w:t>
            </w:r>
          </w:p>
        </w:tc>
        <w:tc>
          <w:tcPr>
            <w:tcW w:w="2160" w:type="dxa"/>
          </w:tcPr>
          <w:p w14:paraId="7880322F">
            <w:pPr>
              <w:jc w:val="left"/>
            </w:pPr>
            <w:r>
              <w:rPr>
                <w:rFonts w:ascii="宋体" w:hAnsi="宋体" w:eastAsia="宋体"/>
                <w:b w:val="0"/>
                <w:sz w:val="20"/>
              </w:rPr>
              <w:t>排除价格敏感度差异对优惠券感知的影响</w:t>
            </w:r>
          </w:p>
        </w:tc>
      </w:tr>
      <w:tr w14:paraId="77B0D2F1">
        <w:trPr>
          <w:jc w:val="center"/>
        </w:trPr>
        <w:tc>
          <w:tcPr>
            <w:tcW w:w="678" w:type="dxa"/>
          </w:tcPr>
          <w:p w14:paraId="526A4A25">
            <w:pPr>
              <w:jc w:val="left"/>
            </w:pPr>
            <w:r>
              <w:rPr>
                <w:rFonts w:ascii="宋体" w:hAnsi="宋体" w:eastAsia="宋体"/>
                <w:b w:val="0"/>
                <w:sz w:val="20"/>
              </w:rPr>
              <w:t>CV3</w:t>
            </w:r>
          </w:p>
        </w:tc>
        <w:tc>
          <w:tcPr>
            <w:tcW w:w="2134" w:type="dxa"/>
          </w:tcPr>
          <w:p w14:paraId="0BC77272">
            <w:pPr>
              <w:jc w:val="left"/>
            </w:pPr>
            <w:r>
              <w:rPr>
                <w:rFonts w:ascii="宋体" w:hAnsi="宋体" w:eastAsia="宋体"/>
                <w:b w:val="0"/>
                <w:sz w:val="20"/>
              </w:rPr>
              <w:t>当前情绪状态</w:t>
            </w:r>
          </w:p>
        </w:tc>
        <w:tc>
          <w:tcPr>
            <w:tcW w:w="3668" w:type="dxa"/>
          </w:tcPr>
          <w:p w14:paraId="55DEBBCD">
            <w:pPr>
              <w:jc w:val="left"/>
            </w:pPr>
            <w:r>
              <w:rPr>
                <w:rFonts w:ascii="宋体" w:hAnsi="宋体" w:eastAsia="宋体"/>
                <w:b w:val="0"/>
                <w:sz w:val="20"/>
              </w:rPr>
              <w:t>"填写问卷的此刻，我感到心情愉快。"</w:t>
            </w:r>
          </w:p>
        </w:tc>
        <w:tc>
          <w:tcPr>
            <w:tcW w:w="2160" w:type="dxa"/>
          </w:tcPr>
          <w:p w14:paraId="65FD1AB7">
            <w:pPr>
              <w:jc w:val="left"/>
            </w:pPr>
            <w:r>
              <w:rPr>
                <w:rFonts w:ascii="宋体" w:hAnsi="宋体" w:eastAsia="宋体"/>
                <w:b w:val="0"/>
                <w:sz w:val="20"/>
              </w:rPr>
              <w:t>排除情绪对Likert评分的系统性偏差</w:t>
            </w:r>
          </w:p>
        </w:tc>
      </w:tr>
      <w:tr w14:paraId="1D58D5D1">
        <w:trPr>
          <w:jc w:val="center"/>
        </w:trPr>
        <w:tc>
          <w:tcPr>
            <w:tcW w:w="678" w:type="dxa"/>
          </w:tcPr>
          <w:p w14:paraId="3334408B">
            <w:pPr>
              <w:jc w:val="left"/>
            </w:pPr>
            <w:r>
              <w:rPr>
                <w:rFonts w:ascii="宋体" w:hAnsi="宋体" w:eastAsia="宋体"/>
                <w:b w:val="0"/>
                <w:sz w:val="20"/>
              </w:rPr>
              <w:t>CV4</w:t>
            </w:r>
          </w:p>
        </w:tc>
        <w:tc>
          <w:tcPr>
            <w:tcW w:w="2134" w:type="dxa"/>
          </w:tcPr>
          <w:p w14:paraId="23B21B20">
            <w:pPr>
              <w:jc w:val="left"/>
            </w:pPr>
            <w:r>
              <w:rPr>
                <w:rFonts w:ascii="宋体" w:hAnsi="宋体" w:eastAsia="宋体"/>
                <w:b w:val="0"/>
                <w:sz w:val="20"/>
              </w:rPr>
              <w:t>品牌偏好</w:t>
            </w:r>
          </w:p>
        </w:tc>
        <w:tc>
          <w:tcPr>
            <w:tcW w:w="3668" w:type="dxa"/>
          </w:tcPr>
          <w:p w14:paraId="6AC0A8F0">
            <w:pPr>
              <w:jc w:val="left"/>
            </w:pPr>
            <w:r>
              <w:rPr>
                <w:rFonts w:ascii="宋体" w:hAnsi="宋体" w:eastAsia="宋体"/>
                <w:b w:val="0"/>
                <w:sz w:val="20"/>
              </w:rPr>
              <w:t>"我对瑞幸、库迪等咖啡品牌没有明显的偏好差异。"</w:t>
            </w:r>
          </w:p>
        </w:tc>
        <w:tc>
          <w:tcPr>
            <w:tcW w:w="2160" w:type="dxa"/>
          </w:tcPr>
          <w:p w14:paraId="70E38036">
            <w:pPr>
              <w:jc w:val="left"/>
            </w:pPr>
            <w:r>
              <w:rPr>
                <w:rFonts w:ascii="宋体" w:hAnsi="宋体" w:eastAsia="宋体"/>
                <w:b w:val="0"/>
                <w:sz w:val="20"/>
              </w:rPr>
              <w:t>排除品牌偏好对虚拟品牌情景的干扰</w:t>
            </w:r>
          </w:p>
        </w:tc>
      </w:tr>
      <w:tr w14:paraId="64032BDF">
        <w:trPr>
          <w:jc w:val="center"/>
        </w:trPr>
        <w:tc>
          <w:tcPr>
            <w:tcW w:w="678" w:type="dxa"/>
          </w:tcPr>
          <w:p w14:paraId="13EFA457">
            <w:pPr>
              <w:jc w:val="left"/>
            </w:pPr>
            <w:r>
              <w:rPr>
                <w:rFonts w:ascii="宋体" w:hAnsi="宋体" w:eastAsia="宋体"/>
                <w:b w:val="0"/>
                <w:sz w:val="20"/>
              </w:rPr>
              <w:t>CV5</w:t>
            </w:r>
          </w:p>
        </w:tc>
        <w:tc>
          <w:tcPr>
            <w:tcW w:w="2134" w:type="dxa"/>
          </w:tcPr>
          <w:p w14:paraId="2E2BD58B">
            <w:pPr>
              <w:jc w:val="left"/>
            </w:pPr>
            <w:r>
              <w:rPr>
                <w:rFonts w:ascii="宋体" w:hAnsi="宋体" w:eastAsia="宋体"/>
                <w:b w:val="0"/>
                <w:sz w:val="20"/>
              </w:rPr>
              <w:t>填答认真度</w:t>
            </w:r>
          </w:p>
        </w:tc>
        <w:tc>
          <w:tcPr>
            <w:tcW w:w="3668" w:type="dxa"/>
          </w:tcPr>
          <w:p w14:paraId="78331D62">
            <w:pPr>
              <w:jc w:val="left"/>
            </w:pPr>
            <w:r>
              <w:rPr>
                <w:rFonts w:ascii="宋体" w:hAnsi="宋体" w:eastAsia="宋体"/>
                <w:b w:val="0"/>
                <w:sz w:val="20"/>
              </w:rPr>
              <w:t>"我认真阅读了所有材料并如实回答了问题。"</w:t>
            </w:r>
          </w:p>
        </w:tc>
        <w:tc>
          <w:tcPr>
            <w:tcW w:w="2160" w:type="dxa"/>
          </w:tcPr>
          <w:p w14:paraId="10722D37">
            <w:pPr>
              <w:jc w:val="left"/>
            </w:pPr>
            <w:r>
              <w:rPr>
                <w:rFonts w:ascii="宋体" w:hAnsi="宋体" w:eastAsia="宋体"/>
                <w:b w:val="0"/>
                <w:sz w:val="20"/>
              </w:rPr>
              <w:t>自评数据质量，辅助数据筛选</w:t>
            </w:r>
          </w:p>
        </w:tc>
      </w:tr>
    </w:tbl>
    <w:p w14:paraId="3F97FBD2"/>
    <w:p w14:paraId="11ACEBAD">
      <w:pPr>
        <w:ind w:firstLine="420"/>
      </w:pPr>
      <w:r>
        <w:rPr>
          <w:rFonts w:ascii="宋体" w:hAnsi="宋体" w:eastAsia="宋体"/>
          <w:b w:val="0"/>
          <w:sz w:val="24"/>
        </w:rPr>
        <w:t>混淆变量在数据分析中作为协变量（Covariate）纳入ANCOVA分析。若某混淆变量与因变量显著相关，则报告校正后的结果，以提高统计结论的准确性。</w:t>
      </w:r>
    </w:p>
    <w:p w14:paraId="2BFE138C"/>
    <w:p w14:paraId="25681A8D">
      <w:r>
        <w:rPr>
          <w:rFonts w:ascii="宋体" w:hAnsi="宋体" w:eastAsia="宋体"/>
          <w:b/>
          <w:sz w:val="24"/>
        </w:rPr>
        <w:t>⑤ 操控检验题</w:t>
      </w:r>
    </w:p>
    <w:p w14:paraId="1F216C34">
      <w:pPr>
        <w:ind w:firstLine="480" w:firstLineChars="200"/>
      </w:pPr>
      <w:r>
        <w:rPr>
          <w:rFonts w:ascii="宋体" w:hAnsi="宋体" w:eastAsia="宋体"/>
          <w:b w:val="0"/>
          <w:sz w:val="24"/>
        </w:rPr>
        <w:t>内容详见本报告"五、自变量的操控方法和检验方法"部分。共4题：面额识别（单选）、门槛识别（单选）、情景真实感（Likert）、信息理解度（Likert）。</w:t>
      </w:r>
    </w:p>
    <w:p w14:paraId="2F0E4921"/>
    <w:p w14:paraId="6F22E1BC">
      <w:r>
        <w:rPr>
          <w:rFonts w:ascii="宋体" w:hAnsi="宋体" w:eastAsia="宋体"/>
          <w:b/>
          <w:sz w:val="24"/>
        </w:rPr>
        <w:t>⑥ 人口统计学信息</w:t>
      </w:r>
    </w:p>
    <w:p w14:paraId="5D81EA81">
      <w:r>
        <w:rPr>
          <w:rFonts w:ascii="宋体" w:hAnsi="宋体" w:eastAsia="宋体"/>
          <w:b w:val="0"/>
          <w:sz w:val="24"/>
        </w:rPr>
        <w:t>- 性别（男 / 女 / 不愿透露）</w:t>
      </w:r>
      <w:r>
        <w:rPr>
          <w:rFonts w:ascii="宋体" w:hAnsi="宋体" w:eastAsia="宋体"/>
          <w:b w:val="0"/>
          <w:sz w:val="24"/>
        </w:rPr>
        <w:br w:type="textWrapping"/>
      </w:r>
      <w:r>
        <w:rPr>
          <w:rFonts w:ascii="宋体" w:hAnsi="宋体" w:eastAsia="宋体"/>
          <w:b w:val="0"/>
          <w:sz w:val="24"/>
        </w:rPr>
        <w:t>- 年级（大一 / 大二 / 大三 / 大四 / 研究生）</w:t>
      </w:r>
      <w:r>
        <w:rPr>
          <w:rFonts w:ascii="宋体" w:hAnsi="宋体" w:eastAsia="宋体"/>
          <w:b w:val="0"/>
          <w:sz w:val="24"/>
        </w:rPr>
        <w:br w:type="textWrapping"/>
      </w:r>
      <w:r>
        <w:rPr>
          <w:rFonts w:ascii="宋体" w:hAnsi="宋体" w:eastAsia="宋体"/>
          <w:b w:val="0"/>
          <w:sz w:val="24"/>
        </w:rPr>
        <w:t>- 月均可支配金额（1000元以下 / 1000-2000元 / 2000-3000元 / 3000元以上）</w:t>
      </w:r>
      <w:r>
        <w:rPr>
          <w:rFonts w:ascii="宋体" w:hAnsi="宋体" w:eastAsia="宋体"/>
          <w:b w:val="0"/>
          <w:sz w:val="24"/>
        </w:rPr>
        <w:br w:type="textWrapping"/>
      </w:r>
      <w:r>
        <w:rPr>
          <w:rFonts w:ascii="宋体" w:hAnsi="宋体" w:eastAsia="宋体"/>
          <w:b w:val="0"/>
          <w:sz w:val="24"/>
        </w:rPr>
        <w:t>- 过去一个月咖啡/茶饮消费频率（0-1次 / 2-4次 / 5-8次 / 9次以上）</w:t>
      </w:r>
      <w:r>
        <w:rPr>
          <w:rFonts w:ascii="宋体" w:hAnsi="宋体" w:eastAsia="宋体"/>
          <w:b w:val="0"/>
          <w:sz w:val="24"/>
        </w:rPr>
        <w:br w:type="textWrapping"/>
      </w:r>
      <w:r>
        <w:rPr>
          <w:rFonts w:ascii="宋体" w:hAnsi="宋体" w:eastAsia="宋体"/>
          <w:b w:val="0"/>
          <w:sz w:val="24"/>
        </w:rPr>
        <w:t>- 过去一个月使用优惠券的频率（0次 / 1-2次 / 3-5次 / 6次以上）</w:t>
      </w:r>
    </w:p>
    <w:p w14:paraId="4E10AE6F"/>
    <w:p w14:paraId="3BA2BBF3">
      <w:r>
        <w:rPr>
          <w:rFonts w:ascii="宋体" w:hAnsi="宋体" w:eastAsia="宋体"/>
          <w:b/>
          <w:sz w:val="24"/>
        </w:rPr>
        <w:t>⑦ 开放式反馈题（可选）</w:t>
      </w:r>
    </w:p>
    <w:p w14:paraId="758BFAD3">
      <w:pPr>
        <w:ind w:firstLine="480" w:firstLineChars="200"/>
      </w:pPr>
      <w:r>
        <w:rPr>
          <w:rFonts w:ascii="宋体" w:hAnsi="宋体" w:eastAsia="宋体"/>
          <w:b w:val="0"/>
          <w:sz w:val="24"/>
        </w:rPr>
        <w:t>"如果您对本问卷有任何疑问、意见或想补充的内容，请在此处填写。（选填）"</w:t>
      </w:r>
      <w:r>
        <w:rPr>
          <w:rFonts w:ascii="宋体" w:hAnsi="宋体" w:eastAsia="宋体"/>
          <w:b w:val="0"/>
          <w:sz w:val="24"/>
        </w:rPr>
        <w:br w:type="textWrapping"/>
      </w:r>
      <w:r>
        <w:rPr>
          <w:rFonts w:ascii="宋体" w:hAnsi="宋体" w:eastAsia="宋体"/>
          <w:b w:val="0"/>
          <w:sz w:val="24"/>
        </w:rPr>
        <w:t>该题项帮助研究者识别可能存在问题的数据（如被试明确表示"我随便填的"），并为后续实验改进提供反馈依据。</w:t>
      </w:r>
    </w:p>
    <w:p w14:paraId="173CB556"/>
    <w:p w14:paraId="56870A9D">
      <w:pPr>
        <w:pStyle w:val="4"/>
      </w:pPr>
      <w:r>
        <w:t>（三）实验的具体流程</w:t>
      </w:r>
    </w:p>
    <w:p w14:paraId="3D822EC1">
      <w:r>
        <w:rPr>
          <w:rFonts w:ascii="宋体" w:hAnsi="宋体" w:eastAsia="宋体"/>
          <w:b/>
          <w:sz w:val="24"/>
        </w:rPr>
        <w:t>① 实验总体流程图</w:t>
      </w:r>
    </w:p>
    <w:p w14:paraId="38D7F836">
      <w:pPr>
        <w:ind w:firstLine="420"/>
      </w:pPr>
      <w:r>
        <w:rPr>
          <w:rFonts w:ascii="宋体" w:hAnsi="宋体" w:eastAsia="宋体"/>
          <w:b w:val="0"/>
          <w:sz w:val="24"/>
        </w:rPr>
        <w:t>整个实验在线上问卷平台（如问卷星、Credamo见数等）完成。被试通过招募链接/二维码进入问卷页面后，按照以下固定顺序完成所有模块。线上平台通过随机分组功能自动分配被试至6个实验组之一，研究者不在场，全程无人工干预。</w:t>
      </w:r>
    </w:p>
    <w:p w14:paraId="1BB3CDFE"/>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1141"/>
        <w:gridCol w:w="4250"/>
        <w:gridCol w:w="2160"/>
      </w:tblGrid>
      <w:tr w14:paraId="13654D92">
        <w:trPr>
          <w:jc w:val="center"/>
        </w:trPr>
        <w:tc>
          <w:tcPr>
            <w:tcW w:w="1089" w:type="dxa"/>
          </w:tcPr>
          <w:p w14:paraId="1908D04F">
            <w:pPr>
              <w:jc w:val="left"/>
            </w:pPr>
            <w:r>
              <w:rPr>
                <w:rFonts w:ascii="宋体" w:hAnsi="宋体" w:eastAsia="宋体"/>
                <w:b/>
                <w:sz w:val="20"/>
              </w:rPr>
              <w:t>阶段</w:t>
            </w:r>
          </w:p>
        </w:tc>
        <w:tc>
          <w:tcPr>
            <w:tcW w:w="1141" w:type="dxa"/>
          </w:tcPr>
          <w:p w14:paraId="0249F4D5">
            <w:pPr>
              <w:jc w:val="left"/>
            </w:pPr>
            <w:r>
              <w:rPr>
                <w:rFonts w:ascii="宋体" w:hAnsi="宋体" w:eastAsia="宋体"/>
                <w:b/>
                <w:sz w:val="20"/>
              </w:rPr>
              <w:t>步骤</w:t>
            </w:r>
          </w:p>
        </w:tc>
        <w:tc>
          <w:tcPr>
            <w:tcW w:w="4250" w:type="dxa"/>
          </w:tcPr>
          <w:p w14:paraId="199EBCA6">
            <w:pPr>
              <w:jc w:val="left"/>
            </w:pPr>
            <w:r>
              <w:rPr>
                <w:rFonts w:ascii="宋体" w:hAnsi="宋体" w:eastAsia="宋体"/>
                <w:b/>
                <w:sz w:val="20"/>
              </w:rPr>
              <w:t>具体操作</w:t>
            </w:r>
          </w:p>
        </w:tc>
        <w:tc>
          <w:tcPr>
            <w:tcW w:w="2160" w:type="dxa"/>
          </w:tcPr>
          <w:p w14:paraId="4871117A">
            <w:pPr>
              <w:jc w:val="left"/>
            </w:pPr>
            <w:r>
              <w:rPr>
                <w:rFonts w:ascii="宋体" w:hAnsi="宋体" w:eastAsia="宋体"/>
                <w:b/>
                <w:sz w:val="20"/>
              </w:rPr>
              <w:t>关键控制点</w:t>
            </w:r>
          </w:p>
        </w:tc>
      </w:tr>
      <w:tr w14:paraId="643F0457">
        <w:trPr>
          <w:jc w:val="center"/>
        </w:trPr>
        <w:tc>
          <w:tcPr>
            <w:tcW w:w="1089" w:type="dxa"/>
          </w:tcPr>
          <w:p w14:paraId="06764AA5">
            <w:pPr>
              <w:jc w:val="left"/>
            </w:pPr>
            <w:r>
              <w:rPr>
                <w:rFonts w:ascii="宋体" w:hAnsi="宋体" w:eastAsia="宋体"/>
                <w:b w:val="0"/>
                <w:sz w:val="20"/>
              </w:rPr>
              <w:t>准备阶段</w:t>
            </w:r>
          </w:p>
        </w:tc>
        <w:tc>
          <w:tcPr>
            <w:tcW w:w="1141" w:type="dxa"/>
          </w:tcPr>
          <w:p w14:paraId="336C573A">
            <w:pPr>
              <w:jc w:val="left"/>
            </w:pPr>
            <w:r>
              <w:rPr>
                <w:rFonts w:ascii="宋体" w:hAnsi="宋体" w:eastAsia="宋体"/>
                <w:b w:val="0"/>
                <w:sz w:val="20"/>
              </w:rPr>
              <w:t>步骤0</w:t>
            </w:r>
            <w:r>
              <w:rPr>
                <w:rFonts w:ascii="宋体" w:hAnsi="宋体" w:eastAsia="宋体"/>
                <w:b w:val="0"/>
                <w:sz w:val="20"/>
              </w:rPr>
              <w:br w:type="textWrapping"/>
            </w:r>
            <w:r>
              <w:rPr>
                <w:rFonts w:ascii="宋体" w:hAnsi="宋体" w:eastAsia="宋体"/>
                <w:b w:val="0"/>
                <w:sz w:val="20"/>
              </w:rPr>
              <w:t>平台设置</w:t>
            </w:r>
          </w:p>
        </w:tc>
        <w:tc>
          <w:tcPr>
            <w:tcW w:w="4250" w:type="dxa"/>
          </w:tcPr>
          <w:p w14:paraId="25F0A2A0">
            <w:pPr>
              <w:jc w:val="left"/>
            </w:pPr>
            <w:r>
              <w:rPr>
                <w:rFonts w:ascii="宋体" w:hAnsi="宋体" w:eastAsia="宋体"/>
                <w:b w:val="0"/>
                <w:sz w:val="20"/>
              </w:rPr>
              <w:t>在问卷平台中预设6个版本的问卷（6组仅优惠券信息卡片不同），启用随机分组功能，设置每组上限30人。设置作答时间限制（最短2分钟，最长30分钟），启用IP去重功能。</w:t>
            </w:r>
          </w:p>
        </w:tc>
        <w:tc>
          <w:tcPr>
            <w:tcW w:w="2160" w:type="dxa"/>
          </w:tcPr>
          <w:p w14:paraId="0B51C616">
            <w:pPr>
              <w:jc w:val="left"/>
            </w:pPr>
            <w:r>
              <w:rPr>
                <w:rFonts w:ascii="宋体" w:hAnsi="宋体" w:eastAsia="宋体"/>
                <w:b w:val="0"/>
                <w:sz w:val="20"/>
              </w:rPr>
              <w:t>随机分组确保各组在人口统计变量上的分布均衡；IP去重防止同一被试多次参与</w:t>
            </w:r>
          </w:p>
        </w:tc>
      </w:tr>
      <w:tr w14:paraId="5DA295A7">
        <w:trPr>
          <w:jc w:val="center"/>
        </w:trPr>
        <w:tc>
          <w:tcPr>
            <w:tcW w:w="1089" w:type="dxa"/>
          </w:tcPr>
          <w:p w14:paraId="1C4E6805">
            <w:pPr>
              <w:jc w:val="left"/>
            </w:pPr>
            <w:r>
              <w:rPr>
                <w:rFonts w:ascii="宋体" w:hAnsi="宋体" w:eastAsia="宋体"/>
                <w:b w:val="0"/>
                <w:sz w:val="20"/>
              </w:rPr>
              <w:t>招募阶段</w:t>
            </w:r>
          </w:p>
        </w:tc>
        <w:tc>
          <w:tcPr>
            <w:tcW w:w="1141" w:type="dxa"/>
          </w:tcPr>
          <w:p w14:paraId="37FAB7B9">
            <w:pPr>
              <w:jc w:val="left"/>
            </w:pPr>
            <w:r>
              <w:rPr>
                <w:rFonts w:ascii="宋体" w:hAnsi="宋体" w:eastAsia="宋体"/>
                <w:b w:val="0"/>
                <w:sz w:val="20"/>
              </w:rPr>
              <w:t>步骤1</w:t>
            </w:r>
            <w:r>
              <w:rPr>
                <w:rFonts w:ascii="宋体" w:hAnsi="宋体" w:eastAsia="宋体"/>
                <w:b w:val="0"/>
                <w:sz w:val="20"/>
              </w:rPr>
              <w:br w:type="textWrapping"/>
            </w:r>
            <w:r>
              <w:rPr>
                <w:rFonts w:ascii="宋体" w:hAnsi="宋体" w:eastAsia="宋体"/>
                <w:b w:val="0"/>
                <w:sz w:val="20"/>
              </w:rPr>
              <w:t>被试招募</w:t>
            </w:r>
          </w:p>
        </w:tc>
        <w:tc>
          <w:tcPr>
            <w:tcW w:w="4250" w:type="dxa"/>
          </w:tcPr>
          <w:p w14:paraId="2967232A">
            <w:pPr>
              <w:jc w:val="left"/>
            </w:pPr>
            <w:r>
              <w:rPr>
                <w:rFonts w:ascii="宋体" w:hAnsi="宋体" w:eastAsia="宋体"/>
                <w:b w:val="0"/>
                <w:sz w:val="20"/>
              </w:rPr>
              <w:t>通过社交平台和线下海报发布招募信息，标题为"大学生咖啡消费体验调研"。招募信息中不透露实验操控变量。被试通过链接/二维码自主进入问卷。</w:t>
            </w:r>
          </w:p>
        </w:tc>
        <w:tc>
          <w:tcPr>
            <w:tcW w:w="2160" w:type="dxa"/>
          </w:tcPr>
          <w:p w14:paraId="7FFD5BE7">
            <w:pPr>
              <w:jc w:val="left"/>
            </w:pPr>
            <w:r>
              <w:rPr>
                <w:rFonts w:ascii="宋体" w:hAnsi="宋体" w:eastAsia="宋体"/>
                <w:b w:val="0"/>
                <w:sz w:val="20"/>
              </w:rPr>
              <w:t>虚假目的陈述避免需求特征效应；自主进入避免主试期望效应</w:t>
            </w:r>
          </w:p>
        </w:tc>
      </w:tr>
      <w:tr w14:paraId="75472B3A">
        <w:trPr>
          <w:jc w:val="center"/>
        </w:trPr>
        <w:tc>
          <w:tcPr>
            <w:tcW w:w="1089" w:type="dxa"/>
          </w:tcPr>
          <w:p w14:paraId="652B4068">
            <w:pPr>
              <w:jc w:val="left"/>
            </w:pPr>
            <w:r>
              <w:rPr>
                <w:rFonts w:ascii="宋体" w:hAnsi="宋体" w:eastAsia="宋体"/>
                <w:b w:val="0"/>
                <w:sz w:val="20"/>
              </w:rPr>
              <w:t>筛选阶段</w:t>
            </w:r>
          </w:p>
        </w:tc>
        <w:tc>
          <w:tcPr>
            <w:tcW w:w="1141" w:type="dxa"/>
          </w:tcPr>
          <w:p w14:paraId="53B83AC7">
            <w:pPr>
              <w:jc w:val="left"/>
            </w:pPr>
            <w:r>
              <w:rPr>
                <w:rFonts w:ascii="宋体" w:hAnsi="宋体" w:eastAsia="宋体"/>
                <w:b w:val="0"/>
                <w:sz w:val="20"/>
              </w:rPr>
              <w:t>步骤2</w:t>
            </w:r>
            <w:r>
              <w:rPr>
                <w:rFonts w:ascii="宋体" w:hAnsi="宋体" w:eastAsia="宋体"/>
                <w:b w:val="0"/>
                <w:sz w:val="20"/>
              </w:rPr>
              <w:br w:type="textWrapping"/>
            </w:r>
            <w:r>
              <w:rPr>
                <w:rFonts w:ascii="宋体" w:hAnsi="宋体" w:eastAsia="宋体"/>
                <w:b w:val="0"/>
                <w:sz w:val="20"/>
              </w:rPr>
              <w:t>筛选问项</w:t>
            </w:r>
          </w:p>
        </w:tc>
        <w:tc>
          <w:tcPr>
            <w:tcW w:w="4250" w:type="dxa"/>
          </w:tcPr>
          <w:p w14:paraId="37071FF3">
            <w:pPr>
              <w:jc w:val="left"/>
            </w:pPr>
            <w:r>
              <w:rPr>
                <w:rFonts w:ascii="宋体" w:hAnsi="宋体" w:eastAsia="宋体"/>
                <w:b w:val="0"/>
                <w:sz w:val="20"/>
              </w:rPr>
              <w:t>被试进入问卷后，首先回答2道筛选问项（是否购买过咖啡茶饮、是否使用过优惠券）。任一题项回答"否"者自动跳转至"感谢参与"页面。</w:t>
            </w:r>
          </w:p>
        </w:tc>
        <w:tc>
          <w:tcPr>
            <w:tcW w:w="2160" w:type="dxa"/>
          </w:tcPr>
          <w:p w14:paraId="52EAF00E">
            <w:pPr>
              <w:jc w:val="left"/>
            </w:pPr>
            <w:r>
              <w:rPr>
                <w:rFonts w:ascii="宋体" w:hAnsi="宋体" w:eastAsia="宋体"/>
                <w:b w:val="0"/>
                <w:sz w:val="20"/>
              </w:rPr>
              <w:t>确保被试为目标人群，提高情景材料的生态效度</w:t>
            </w:r>
          </w:p>
        </w:tc>
      </w:tr>
      <w:tr w14:paraId="0F8C712D">
        <w:trPr>
          <w:jc w:val="center"/>
        </w:trPr>
        <w:tc>
          <w:tcPr>
            <w:tcW w:w="1089" w:type="dxa"/>
          </w:tcPr>
          <w:p w14:paraId="22379DCE">
            <w:pPr>
              <w:jc w:val="left"/>
            </w:pPr>
            <w:r>
              <w:rPr>
                <w:rFonts w:ascii="宋体" w:hAnsi="宋体" w:eastAsia="宋体"/>
                <w:b w:val="0"/>
                <w:sz w:val="20"/>
              </w:rPr>
              <w:t>伦理阶段</w:t>
            </w:r>
          </w:p>
        </w:tc>
        <w:tc>
          <w:tcPr>
            <w:tcW w:w="1141" w:type="dxa"/>
          </w:tcPr>
          <w:p w14:paraId="6F101502">
            <w:pPr>
              <w:jc w:val="left"/>
            </w:pPr>
            <w:r>
              <w:rPr>
                <w:rFonts w:ascii="宋体" w:hAnsi="宋体" w:eastAsia="宋体"/>
                <w:b w:val="0"/>
                <w:sz w:val="20"/>
              </w:rPr>
              <w:t>步骤3</w:t>
            </w:r>
            <w:r>
              <w:rPr>
                <w:rFonts w:ascii="宋体" w:hAnsi="宋体" w:eastAsia="宋体"/>
                <w:b w:val="0"/>
                <w:sz w:val="20"/>
              </w:rPr>
              <w:br w:type="textWrapping"/>
            </w:r>
            <w:r>
              <w:rPr>
                <w:rFonts w:ascii="宋体" w:hAnsi="宋体" w:eastAsia="宋体"/>
                <w:b w:val="0"/>
                <w:sz w:val="20"/>
              </w:rPr>
              <w:t>知情同意</w:t>
            </w:r>
          </w:p>
        </w:tc>
        <w:tc>
          <w:tcPr>
            <w:tcW w:w="4250" w:type="dxa"/>
          </w:tcPr>
          <w:p w14:paraId="246AD695">
            <w:pPr>
              <w:jc w:val="left"/>
            </w:pPr>
            <w:r>
              <w:rPr>
                <w:rFonts w:ascii="宋体" w:hAnsi="宋体" w:eastAsia="宋体"/>
                <w:b w:val="0"/>
                <w:sz w:val="20"/>
              </w:rPr>
              <w:t>筛选通过的被试阅读知情同意书，内容包括研究目的（广义描述）、自愿原则、退出权利、数据保密承诺。被试勾选"我已阅读并同意"后进入正式实验。</w:t>
            </w:r>
          </w:p>
        </w:tc>
        <w:tc>
          <w:tcPr>
            <w:tcW w:w="2160" w:type="dxa"/>
          </w:tcPr>
          <w:p w14:paraId="4C80417A">
            <w:pPr>
              <w:jc w:val="left"/>
            </w:pPr>
            <w:r>
              <w:rPr>
                <w:rFonts w:ascii="宋体" w:hAnsi="宋体" w:eastAsia="宋体"/>
                <w:b w:val="0"/>
                <w:sz w:val="20"/>
              </w:rPr>
              <w:t>符合学术研究伦理要求；被试明确知晓自己的权利</w:t>
            </w:r>
          </w:p>
        </w:tc>
      </w:tr>
      <w:tr w14:paraId="708F40D7">
        <w:trPr>
          <w:jc w:val="center"/>
        </w:trPr>
        <w:tc>
          <w:tcPr>
            <w:tcW w:w="1089" w:type="dxa"/>
          </w:tcPr>
          <w:p w14:paraId="24BC0C2E">
            <w:pPr>
              <w:jc w:val="left"/>
            </w:pPr>
            <w:r>
              <w:rPr>
                <w:rFonts w:ascii="宋体" w:hAnsi="宋体" w:eastAsia="宋体"/>
                <w:b w:val="0"/>
                <w:sz w:val="20"/>
              </w:rPr>
              <w:t>阅读阶段</w:t>
            </w:r>
          </w:p>
        </w:tc>
        <w:tc>
          <w:tcPr>
            <w:tcW w:w="1141" w:type="dxa"/>
          </w:tcPr>
          <w:p w14:paraId="6DEFA75D">
            <w:pPr>
              <w:jc w:val="left"/>
            </w:pPr>
            <w:r>
              <w:rPr>
                <w:rFonts w:ascii="宋体" w:hAnsi="宋体" w:eastAsia="宋体"/>
                <w:b w:val="0"/>
                <w:sz w:val="20"/>
              </w:rPr>
              <w:t>步骤4</w:t>
            </w:r>
            <w:r>
              <w:rPr>
                <w:rFonts w:ascii="宋体" w:hAnsi="宋体" w:eastAsia="宋体"/>
                <w:b w:val="0"/>
                <w:sz w:val="20"/>
              </w:rPr>
              <w:br w:type="textWrapping"/>
            </w:r>
            <w:r>
              <w:rPr>
                <w:rFonts w:ascii="宋体" w:hAnsi="宋体" w:eastAsia="宋体"/>
                <w:b w:val="0"/>
                <w:sz w:val="20"/>
              </w:rPr>
              <w:t>情景材料呈现</w:t>
            </w:r>
          </w:p>
        </w:tc>
        <w:tc>
          <w:tcPr>
            <w:tcW w:w="4250" w:type="dxa"/>
          </w:tcPr>
          <w:p w14:paraId="07EA1656">
            <w:pPr>
              <w:jc w:val="left"/>
            </w:pPr>
            <w:r>
              <w:rPr>
                <w:rFonts w:ascii="宋体" w:hAnsi="宋体" w:eastAsia="宋体"/>
                <w:b w:val="0"/>
                <w:sz w:val="20"/>
              </w:rPr>
              <w:t>系统展示统一的情景材料（悦享咖啡介绍+价格区间+品牌说明），随后展示对应组的优惠券信息卡片（面额+门槛）。页面底部设置"下一步"按钮，需至少停留30秒后方可点击。</w:t>
            </w:r>
          </w:p>
        </w:tc>
        <w:tc>
          <w:tcPr>
            <w:tcW w:w="2160" w:type="dxa"/>
          </w:tcPr>
          <w:p w14:paraId="14164015">
            <w:pPr>
              <w:jc w:val="left"/>
            </w:pPr>
            <w:r>
              <w:rPr>
                <w:rFonts w:ascii="宋体" w:hAnsi="宋体" w:eastAsia="宋体"/>
                <w:b w:val="0"/>
                <w:sz w:val="20"/>
              </w:rPr>
              <w:t>停留时间要求确保被试充分阅读材料；各组仅在优惠券卡片信息上存在差异</w:t>
            </w:r>
          </w:p>
        </w:tc>
      </w:tr>
      <w:tr w14:paraId="6BEC3BD7">
        <w:trPr>
          <w:jc w:val="center"/>
        </w:trPr>
        <w:tc>
          <w:tcPr>
            <w:tcW w:w="1089" w:type="dxa"/>
          </w:tcPr>
          <w:p w14:paraId="14BEA868">
            <w:pPr>
              <w:jc w:val="left"/>
            </w:pPr>
            <w:r>
              <w:rPr>
                <w:rFonts w:ascii="宋体" w:hAnsi="宋体" w:eastAsia="宋体"/>
                <w:b w:val="0"/>
                <w:sz w:val="20"/>
              </w:rPr>
              <w:t>测量阶段</w:t>
            </w:r>
          </w:p>
        </w:tc>
        <w:tc>
          <w:tcPr>
            <w:tcW w:w="1141" w:type="dxa"/>
          </w:tcPr>
          <w:p w14:paraId="4AB7DDAD">
            <w:pPr>
              <w:jc w:val="left"/>
            </w:pPr>
            <w:r>
              <w:rPr>
                <w:rFonts w:ascii="宋体" w:hAnsi="宋体" w:eastAsia="宋体"/>
                <w:b w:val="0"/>
                <w:sz w:val="20"/>
              </w:rPr>
              <w:t>步骤5</w:t>
            </w:r>
            <w:r>
              <w:rPr>
                <w:rFonts w:ascii="宋体" w:hAnsi="宋体" w:eastAsia="宋体"/>
                <w:b w:val="0"/>
                <w:sz w:val="20"/>
              </w:rPr>
              <w:br w:type="textWrapping"/>
            </w:r>
            <w:r>
              <w:rPr>
                <w:rFonts w:ascii="宋体" w:hAnsi="宋体" w:eastAsia="宋体"/>
                <w:b w:val="0"/>
                <w:sz w:val="20"/>
              </w:rPr>
              <w:t>因变量测量</w:t>
            </w:r>
          </w:p>
        </w:tc>
        <w:tc>
          <w:tcPr>
            <w:tcW w:w="4250" w:type="dxa"/>
          </w:tcPr>
          <w:p w14:paraId="1C0A18D2">
            <w:pPr>
              <w:jc w:val="left"/>
            </w:pPr>
            <w:r>
              <w:rPr>
                <w:rFonts w:ascii="宋体" w:hAnsi="宋体" w:eastAsia="宋体"/>
                <w:b w:val="0"/>
                <w:sz w:val="20"/>
              </w:rPr>
              <w:t>被试完成CRI量表5题（CRI1-CRI5）和注意力检查题1题，共6题依次呈现，每页1题，不可回退修改。</w:t>
            </w:r>
          </w:p>
        </w:tc>
        <w:tc>
          <w:tcPr>
            <w:tcW w:w="2160" w:type="dxa"/>
          </w:tcPr>
          <w:p w14:paraId="480F3543">
            <w:pPr>
              <w:jc w:val="left"/>
            </w:pPr>
            <w:r>
              <w:rPr>
                <w:rFonts w:ascii="宋体" w:hAnsi="宋体" w:eastAsia="宋体"/>
                <w:b w:val="0"/>
                <w:sz w:val="20"/>
              </w:rPr>
              <w:t>逐题呈现防止被试回溯对比；不可修改防止社会期许效应的影响</w:t>
            </w:r>
          </w:p>
        </w:tc>
      </w:tr>
      <w:tr w14:paraId="44268B40">
        <w:trPr>
          <w:jc w:val="center"/>
        </w:trPr>
        <w:tc>
          <w:tcPr>
            <w:tcW w:w="1089" w:type="dxa"/>
          </w:tcPr>
          <w:p w14:paraId="41591235">
            <w:pPr>
              <w:jc w:val="left"/>
            </w:pPr>
            <w:r>
              <w:rPr>
                <w:rFonts w:ascii="宋体" w:hAnsi="宋体" w:eastAsia="宋体"/>
                <w:b w:val="0"/>
                <w:sz w:val="20"/>
              </w:rPr>
              <w:t>控制阶段</w:t>
            </w:r>
          </w:p>
        </w:tc>
        <w:tc>
          <w:tcPr>
            <w:tcW w:w="1141" w:type="dxa"/>
          </w:tcPr>
          <w:p w14:paraId="37798395">
            <w:pPr>
              <w:jc w:val="left"/>
            </w:pPr>
            <w:r>
              <w:rPr>
                <w:rFonts w:ascii="宋体" w:hAnsi="宋体" w:eastAsia="宋体"/>
                <w:b w:val="0"/>
                <w:sz w:val="20"/>
              </w:rPr>
              <w:t>步骤6</w:t>
            </w:r>
            <w:r>
              <w:rPr>
                <w:rFonts w:ascii="宋体" w:hAnsi="宋体" w:eastAsia="宋体"/>
                <w:b w:val="0"/>
                <w:sz w:val="20"/>
              </w:rPr>
              <w:br w:type="textWrapping"/>
            </w:r>
            <w:r>
              <w:rPr>
                <w:rFonts w:ascii="宋体" w:hAnsi="宋体" w:eastAsia="宋体"/>
                <w:b w:val="0"/>
                <w:sz w:val="20"/>
              </w:rPr>
              <w:t>混淆变量测量</w:t>
            </w:r>
          </w:p>
        </w:tc>
        <w:tc>
          <w:tcPr>
            <w:tcW w:w="4250" w:type="dxa"/>
          </w:tcPr>
          <w:p w14:paraId="3DA2A525">
            <w:pPr>
              <w:jc w:val="left"/>
            </w:pPr>
            <w:r>
              <w:rPr>
                <w:rFonts w:ascii="宋体" w:hAnsi="宋体" w:eastAsia="宋体"/>
                <w:b w:val="0"/>
                <w:sz w:val="20"/>
              </w:rPr>
              <w:t>被试完成5个混淆变量题项（CV1-CV5），每页1题。</w:t>
            </w:r>
          </w:p>
        </w:tc>
        <w:tc>
          <w:tcPr>
            <w:tcW w:w="2160" w:type="dxa"/>
          </w:tcPr>
          <w:p w14:paraId="2040F0D0">
            <w:pPr>
              <w:jc w:val="left"/>
            </w:pPr>
            <w:r>
              <w:rPr>
                <w:rFonts w:ascii="宋体" w:hAnsi="宋体" w:eastAsia="宋体"/>
                <w:b w:val="0"/>
                <w:sz w:val="20"/>
              </w:rPr>
              <w:t>置于DV之后避免混淆变量题项对DV回答的污染</w:t>
            </w:r>
          </w:p>
        </w:tc>
      </w:tr>
      <w:tr w14:paraId="42CBDB4E">
        <w:trPr>
          <w:jc w:val="center"/>
        </w:trPr>
        <w:tc>
          <w:tcPr>
            <w:tcW w:w="1089" w:type="dxa"/>
          </w:tcPr>
          <w:p w14:paraId="02DD4292">
            <w:pPr>
              <w:jc w:val="left"/>
            </w:pPr>
            <w:r>
              <w:rPr>
                <w:rFonts w:ascii="宋体" w:hAnsi="宋体" w:eastAsia="宋体"/>
                <w:b w:val="0"/>
                <w:sz w:val="20"/>
              </w:rPr>
              <w:t>检验阶段</w:t>
            </w:r>
          </w:p>
        </w:tc>
        <w:tc>
          <w:tcPr>
            <w:tcW w:w="1141" w:type="dxa"/>
          </w:tcPr>
          <w:p w14:paraId="4818A3F6">
            <w:pPr>
              <w:jc w:val="left"/>
            </w:pPr>
            <w:r>
              <w:rPr>
                <w:rFonts w:ascii="宋体" w:hAnsi="宋体" w:eastAsia="宋体"/>
                <w:b w:val="0"/>
                <w:sz w:val="20"/>
              </w:rPr>
              <w:t>步骤7</w:t>
            </w:r>
            <w:r>
              <w:rPr>
                <w:rFonts w:ascii="宋体" w:hAnsi="宋体" w:eastAsia="宋体"/>
                <w:b w:val="0"/>
                <w:sz w:val="20"/>
              </w:rPr>
              <w:br w:type="textWrapping"/>
            </w:r>
            <w:r>
              <w:rPr>
                <w:rFonts w:ascii="宋体" w:hAnsi="宋体" w:eastAsia="宋体"/>
                <w:b w:val="0"/>
                <w:sz w:val="20"/>
              </w:rPr>
              <w:t>操控检验</w:t>
            </w:r>
          </w:p>
        </w:tc>
        <w:tc>
          <w:tcPr>
            <w:tcW w:w="4250" w:type="dxa"/>
          </w:tcPr>
          <w:p w14:paraId="41193EC3">
            <w:pPr>
              <w:jc w:val="left"/>
            </w:pPr>
            <w:r>
              <w:rPr>
                <w:rFonts w:ascii="宋体" w:hAnsi="宋体" w:eastAsia="宋体"/>
                <w:b w:val="0"/>
                <w:sz w:val="20"/>
              </w:rPr>
              <w:t>被试完成4道操控检验题（面额识别、门槛识别、情景真实感、信息理解度）。注意：操控检验题在因变量之后出现。</w:t>
            </w:r>
          </w:p>
        </w:tc>
        <w:tc>
          <w:tcPr>
            <w:tcW w:w="2160" w:type="dxa"/>
          </w:tcPr>
          <w:p w14:paraId="3943E07A">
            <w:pPr>
              <w:jc w:val="left"/>
            </w:pPr>
            <w:r>
              <w:rPr>
                <w:rFonts w:ascii="宋体" w:hAnsi="宋体" w:eastAsia="宋体"/>
                <w:b w:val="0"/>
                <w:sz w:val="20"/>
              </w:rPr>
              <w:t>先DV后操控检验，避免"操控检验题提醒被试注意面额/门槛"而导致的需求特征</w:t>
            </w:r>
          </w:p>
        </w:tc>
      </w:tr>
      <w:tr w14:paraId="764D7834">
        <w:trPr>
          <w:jc w:val="center"/>
        </w:trPr>
        <w:tc>
          <w:tcPr>
            <w:tcW w:w="1089" w:type="dxa"/>
          </w:tcPr>
          <w:p w14:paraId="79A17659">
            <w:pPr>
              <w:jc w:val="left"/>
            </w:pPr>
            <w:r>
              <w:rPr>
                <w:rFonts w:ascii="宋体" w:hAnsi="宋体" w:eastAsia="宋体"/>
                <w:b w:val="0"/>
                <w:sz w:val="20"/>
              </w:rPr>
              <w:t>收尾阶段</w:t>
            </w:r>
          </w:p>
        </w:tc>
        <w:tc>
          <w:tcPr>
            <w:tcW w:w="1141" w:type="dxa"/>
          </w:tcPr>
          <w:p w14:paraId="6EEC85E1">
            <w:pPr>
              <w:jc w:val="left"/>
            </w:pPr>
            <w:r>
              <w:rPr>
                <w:rFonts w:ascii="宋体" w:hAnsi="宋体" w:eastAsia="宋体"/>
                <w:b w:val="0"/>
                <w:sz w:val="20"/>
              </w:rPr>
              <w:t>步骤8</w:t>
            </w:r>
            <w:r>
              <w:rPr>
                <w:rFonts w:ascii="宋体" w:hAnsi="宋体" w:eastAsia="宋体"/>
                <w:b w:val="0"/>
                <w:sz w:val="20"/>
              </w:rPr>
              <w:br w:type="textWrapping"/>
            </w:r>
            <w:r>
              <w:rPr>
                <w:rFonts w:ascii="宋体" w:hAnsi="宋体" w:eastAsia="宋体"/>
                <w:b w:val="0"/>
                <w:sz w:val="20"/>
              </w:rPr>
              <w:t>人口统计与事后解说</w:t>
            </w:r>
          </w:p>
        </w:tc>
        <w:tc>
          <w:tcPr>
            <w:tcW w:w="4250" w:type="dxa"/>
          </w:tcPr>
          <w:p w14:paraId="4CC10128">
            <w:pPr>
              <w:jc w:val="left"/>
            </w:pPr>
            <w:r>
              <w:rPr>
                <w:rFonts w:ascii="宋体" w:hAnsi="宋体" w:eastAsia="宋体"/>
                <w:b w:val="0"/>
                <w:sz w:val="20"/>
              </w:rPr>
              <w:t>被试填写人口统计学信息（5题）。提交问卷后，跳转至事后解说页面：揭示研究的真实目的，说明"虚假目的陈述"的必要性，提供研究者联系方式，并告知被试有权在此期间要求撤回数据。最后跳转至补偿领取页面。</w:t>
            </w:r>
          </w:p>
        </w:tc>
        <w:tc>
          <w:tcPr>
            <w:tcW w:w="2160" w:type="dxa"/>
          </w:tcPr>
          <w:p w14:paraId="50EA578D">
            <w:pPr>
              <w:jc w:val="left"/>
            </w:pPr>
            <w:r>
              <w:rPr>
                <w:rFonts w:ascii="宋体" w:hAnsi="宋体" w:eastAsia="宋体"/>
                <w:b w:val="0"/>
                <w:sz w:val="20"/>
              </w:rPr>
              <w:t>事后解说是伦理要求；补偿领取独立于问卷数据，无法通过补偿追溯被试身份</w:t>
            </w:r>
          </w:p>
        </w:tc>
      </w:tr>
    </w:tbl>
    <w:p w14:paraId="3C1214E2"/>
    <w:p w14:paraId="6BCDA754">
      <w:r>
        <w:rPr>
          <w:rFonts w:ascii="宋体" w:hAnsi="宋体" w:eastAsia="宋体"/>
          <w:b/>
          <w:sz w:val="24"/>
        </w:rPr>
        <w:t>② 时间预估</w:t>
      </w:r>
    </w:p>
    <w:p w14:paraId="442ADA17">
      <w:pPr>
        <w:ind w:firstLine="420"/>
      </w:pPr>
      <w:r>
        <w:rPr>
          <w:rFonts w:ascii="宋体" w:hAnsi="宋体" w:eastAsia="宋体"/>
          <w:b w:val="0"/>
          <w:sz w:val="24"/>
        </w:rPr>
        <w:t>每位被试预计总用时：5-8分钟。具体分解如下：</w:t>
      </w:r>
      <w:r>
        <w:rPr>
          <w:rFonts w:ascii="宋体" w:hAnsi="宋体" w:eastAsia="宋体"/>
          <w:b w:val="0"/>
          <w:sz w:val="24"/>
        </w:rPr>
        <w:br w:type="textWrapping"/>
      </w:r>
      <w:r>
        <w:rPr>
          <w:rFonts w:ascii="宋体" w:hAnsi="宋体" w:eastAsia="宋体"/>
          <w:b w:val="0"/>
          <w:sz w:val="24"/>
        </w:rPr>
        <w:t>- 筛选+知情同意：约1分钟</w:t>
      </w:r>
      <w:r>
        <w:rPr>
          <w:rFonts w:ascii="宋体" w:hAnsi="宋体" w:eastAsia="宋体"/>
          <w:b w:val="0"/>
          <w:sz w:val="24"/>
        </w:rPr>
        <w:br w:type="textWrapping"/>
      </w:r>
      <w:r>
        <w:rPr>
          <w:rFonts w:ascii="宋体" w:hAnsi="宋体" w:eastAsia="宋体"/>
          <w:b w:val="0"/>
          <w:sz w:val="24"/>
        </w:rPr>
        <w:t>- 情景材料阅读：约1-1.5分钟</w:t>
      </w:r>
      <w:r>
        <w:rPr>
          <w:rFonts w:ascii="宋体" w:hAnsi="宋体" w:eastAsia="宋体"/>
          <w:b w:val="0"/>
          <w:sz w:val="24"/>
        </w:rPr>
        <w:br w:type="textWrapping"/>
      </w:r>
      <w:r>
        <w:rPr>
          <w:rFonts w:ascii="宋体" w:hAnsi="宋体" w:eastAsia="宋体"/>
          <w:b w:val="0"/>
          <w:sz w:val="24"/>
        </w:rPr>
        <w:t>- 因变量+注意力检查（6题）：约1.5分钟</w:t>
      </w:r>
      <w:r>
        <w:rPr>
          <w:rFonts w:ascii="宋体" w:hAnsi="宋体" w:eastAsia="宋体"/>
          <w:b w:val="0"/>
          <w:sz w:val="24"/>
        </w:rPr>
        <w:br w:type="textWrapping"/>
      </w:r>
      <w:r>
        <w:rPr>
          <w:rFonts w:ascii="宋体" w:hAnsi="宋体" w:eastAsia="宋体"/>
          <w:b w:val="0"/>
          <w:sz w:val="24"/>
        </w:rPr>
        <w:t>- 混淆变量（5题）：约1分钟</w:t>
      </w:r>
      <w:r>
        <w:rPr>
          <w:rFonts w:ascii="宋体" w:hAnsi="宋体" w:eastAsia="宋体"/>
          <w:b w:val="0"/>
          <w:sz w:val="24"/>
        </w:rPr>
        <w:br w:type="textWrapping"/>
      </w:r>
      <w:r>
        <w:rPr>
          <w:rFonts w:ascii="宋体" w:hAnsi="宋体" w:eastAsia="宋体"/>
          <w:b w:val="0"/>
          <w:sz w:val="24"/>
        </w:rPr>
        <w:t>- 操控检验（4题）：约1分钟</w:t>
      </w:r>
      <w:r>
        <w:rPr>
          <w:rFonts w:ascii="宋体" w:hAnsi="宋体" w:eastAsia="宋体"/>
          <w:b w:val="0"/>
          <w:sz w:val="24"/>
        </w:rPr>
        <w:br w:type="textWrapping"/>
      </w:r>
      <w:r>
        <w:rPr>
          <w:rFonts w:ascii="宋体" w:hAnsi="宋体" w:eastAsia="宋体"/>
          <w:b w:val="0"/>
          <w:sz w:val="24"/>
        </w:rPr>
        <w:t>- 人口统计+事后解说：约1分钟</w:t>
      </w:r>
      <w:r>
        <w:rPr>
          <w:rFonts w:ascii="宋体" w:hAnsi="宋体" w:eastAsia="宋体"/>
          <w:b w:val="0"/>
          <w:sz w:val="24"/>
        </w:rPr>
        <w:br w:type="textWrapping"/>
      </w:r>
      <w:r>
        <w:rPr>
          <w:rFonts w:ascii="宋体" w:hAnsi="宋体" w:eastAsia="宋体"/>
          <w:b w:val="0"/>
          <w:sz w:val="24"/>
        </w:rPr>
        <w:t>- 总计：约6-7分钟（中位数）</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实验总时长预估（180人）：180人 × 7分钟 ≈ 21小时（并发进行，实际招募周期约1-2周）。</w:t>
      </w:r>
    </w:p>
    <w:p w14:paraId="7C1B75FF"/>
    <w:p w14:paraId="2FA139F0">
      <w:r>
        <w:rPr>
          <w:rFonts w:ascii="宋体" w:hAnsi="宋体" w:eastAsia="宋体"/>
          <w:b/>
          <w:sz w:val="24"/>
        </w:rPr>
        <w:t>③ 实验质量控制措施</w:t>
      </w:r>
    </w:p>
    <w:p w14:paraId="09C013FF">
      <w:pPr>
        <w:ind w:firstLine="420"/>
      </w:pPr>
      <w:r>
        <w:rPr>
          <w:rFonts w:ascii="宋体" w:hAnsi="宋体" w:eastAsia="宋体"/>
          <w:b w:val="0"/>
          <w:sz w:val="24"/>
        </w:rPr>
        <w:t>为确保数据质量，本实验实施以下控制措施：</w:t>
      </w:r>
      <w:r>
        <w:rPr>
          <w:rFonts w:ascii="宋体" w:hAnsi="宋体" w:eastAsia="宋体"/>
          <w:b w:val="0"/>
          <w:sz w:val="24"/>
        </w:rPr>
        <w:br w:type="textWrapping"/>
      </w:r>
      <w:r>
        <w:rPr>
          <w:rFonts w:ascii="宋体" w:hAnsi="宋体" w:eastAsia="宋体"/>
          <w:b w:val="0"/>
          <w:sz w:val="24"/>
        </w:rPr>
        <w:t>（1）作答时间门槛：剔除完成时间 &lt; 2分钟的问卷（经预测试测算，认真阅读材料+答题至少需要3-4分钟）。</w:t>
      </w:r>
      <w:r>
        <w:rPr>
          <w:rFonts w:ascii="宋体" w:hAnsi="宋体" w:eastAsia="宋体"/>
          <w:b w:val="0"/>
          <w:sz w:val="24"/>
        </w:rPr>
        <w:br w:type="textWrapping"/>
      </w:r>
      <w:r>
        <w:rPr>
          <w:rFonts w:ascii="宋体" w:hAnsi="宋体" w:eastAsia="宋体"/>
          <w:b w:val="0"/>
          <w:sz w:val="24"/>
        </w:rPr>
        <w:t>（2）注意力检查：剔除CRI量表内注意力检查题回答错误的被试。</w:t>
      </w:r>
      <w:r>
        <w:rPr>
          <w:rFonts w:ascii="宋体" w:hAnsi="宋体" w:eastAsia="宋体"/>
          <w:b w:val="0"/>
          <w:sz w:val="24"/>
        </w:rPr>
        <w:br w:type="textWrapping"/>
      </w:r>
      <w:r>
        <w:rPr>
          <w:rFonts w:ascii="宋体" w:hAnsi="宋体" w:eastAsia="宋体"/>
          <w:b w:val="0"/>
          <w:sz w:val="24"/>
        </w:rPr>
        <w:t>（3）认真度自评：剔除自评认真度（CV5）&lt; 4的被试（"我没有认真作答"）。</w:t>
      </w:r>
      <w:r>
        <w:rPr>
          <w:rFonts w:ascii="宋体" w:hAnsi="宋体" w:eastAsia="宋体"/>
          <w:b w:val="0"/>
          <w:sz w:val="24"/>
        </w:rPr>
        <w:br w:type="textWrapping"/>
      </w:r>
      <w:r>
        <w:rPr>
          <w:rFonts w:ascii="宋体" w:hAnsi="宋体" w:eastAsia="宋体"/>
          <w:b w:val="0"/>
          <w:sz w:val="24"/>
        </w:rPr>
        <w:t>（4）IP去重：同一IP地址仅允许提交1次，防止重复参与。</w:t>
      </w:r>
      <w:r>
        <w:rPr>
          <w:rFonts w:ascii="宋体" w:hAnsi="宋体" w:eastAsia="宋体"/>
          <w:b w:val="0"/>
          <w:sz w:val="24"/>
        </w:rPr>
        <w:br w:type="textWrapping"/>
      </w:r>
      <w:r>
        <w:rPr>
          <w:rFonts w:ascii="宋体" w:hAnsi="宋体" w:eastAsia="宋体"/>
          <w:b w:val="0"/>
          <w:sz w:val="24"/>
        </w:rPr>
        <w:t>（5）开放式反馈复核：若被试在开放式题中明确表示"随便填的"或"没仔细看"，该数据予以剔除。</w:t>
      </w:r>
      <w:r>
        <w:rPr>
          <w:rFonts w:ascii="宋体" w:hAnsi="宋体" w:eastAsia="宋体"/>
          <w:b w:val="0"/>
          <w:sz w:val="24"/>
        </w:rPr>
        <w:br w:type="textWrapping"/>
      </w:r>
      <w:r>
        <w:rPr>
          <w:rFonts w:ascii="宋体" w:hAnsi="宋体" w:eastAsia="宋体"/>
          <w:b w:val="0"/>
          <w:sz w:val="24"/>
        </w:rPr>
        <w:t>（6）操控检验复核：若某组面额/门槛正确识别率低于80%，对该组数据进行标记并在讨论中报告。</w:t>
      </w:r>
      <w:r>
        <w:rPr>
          <w:rFonts w:ascii="宋体" w:hAnsi="宋体" w:eastAsia="宋体"/>
          <w:b w:val="0"/>
          <w:sz w:val="24"/>
        </w:rPr>
        <w:br w:type="textWrapping"/>
      </w:r>
      <w:r>
        <w:rPr>
          <w:rFonts w:ascii="宋体" w:hAnsi="宋体" w:eastAsia="宋体"/>
          <w:b w:val="0"/>
          <w:sz w:val="24"/>
        </w:rPr>
        <w:t>（7）数据质量总剔除率预期：预计约12-15%的数据将被剔除，最终有效样本量约153-158人（仍满足G*Power最低要求）。</w:t>
      </w:r>
    </w:p>
    <w:p w14:paraId="66C9B47E">
      <w:r>
        <w:br w:type="page"/>
      </w:r>
    </w:p>
    <w:p w14:paraId="1F45EB62">
      <w:pPr>
        <w:pStyle w:val="3"/>
      </w:pPr>
      <w:r>
        <w:t>七、预实验设计</w:t>
      </w:r>
    </w:p>
    <w:p w14:paraId="0861C16B">
      <w:pPr>
        <w:ind w:firstLine="420"/>
      </w:pPr>
      <w:r>
        <w:rPr>
          <w:rFonts w:ascii="宋体" w:hAnsi="宋体" w:eastAsia="宋体"/>
          <w:b w:val="0"/>
          <w:sz w:val="24"/>
        </w:rPr>
        <w:t>产品类别的选择对实验结果的可靠性和推广性具有重要影响。为最大限度地减少产品本身的偏好差异对实验效应的混淆，本研究设计了一项预实验（Pretest），通过系统评估从候选品类中筛选出最适合本实验的消费场景。</w:t>
      </w:r>
    </w:p>
    <w:p w14:paraId="23D94DAF"/>
    <w:p w14:paraId="78200A18">
      <w:pPr>
        <w:pStyle w:val="4"/>
      </w:pPr>
      <w:r>
        <w:t>（一）预实验候选品类</w:t>
      </w:r>
    </w:p>
    <w:p w14:paraId="74EBD5DB">
      <w:pPr>
        <w:ind w:firstLine="420"/>
      </w:pPr>
      <w:r>
        <w:rPr>
          <w:rFonts w:ascii="宋体" w:hAnsi="宋体" w:eastAsia="宋体"/>
          <w:b w:val="0"/>
          <w:sz w:val="24"/>
        </w:rPr>
        <w:t>下表列出了预实验的三个候选品类及其选择依据：</w:t>
      </w:r>
    </w:p>
    <w:p w14:paraId="0214462F"/>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2309"/>
        <w:gridCol w:w="2160"/>
        <w:gridCol w:w="2160"/>
      </w:tblGrid>
      <w:tr w14:paraId="51D7F557">
        <w:trPr>
          <w:jc w:val="center"/>
        </w:trPr>
        <w:tc>
          <w:tcPr>
            <w:tcW w:w="2011" w:type="dxa"/>
          </w:tcPr>
          <w:p w14:paraId="7B2C7B8E">
            <w:pPr>
              <w:jc w:val="left"/>
            </w:pPr>
            <w:r>
              <w:rPr>
                <w:rFonts w:ascii="宋体" w:hAnsi="宋体" w:eastAsia="宋体"/>
                <w:b/>
                <w:sz w:val="20"/>
              </w:rPr>
              <w:t>候选品类</w:t>
            </w:r>
          </w:p>
        </w:tc>
        <w:tc>
          <w:tcPr>
            <w:tcW w:w="2309" w:type="dxa"/>
          </w:tcPr>
          <w:p w14:paraId="581CEBB1">
            <w:pPr>
              <w:jc w:val="left"/>
            </w:pPr>
            <w:r>
              <w:rPr>
                <w:rFonts w:ascii="宋体" w:hAnsi="宋体" w:eastAsia="宋体"/>
                <w:b/>
                <w:sz w:val="20"/>
              </w:rPr>
              <w:t>真实商业依据</w:t>
            </w:r>
          </w:p>
        </w:tc>
        <w:tc>
          <w:tcPr>
            <w:tcW w:w="2160" w:type="dxa"/>
          </w:tcPr>
          <w:p w14:paraId="22B20F83">
            <w:pPr>
              <w:jc w:val="left"/>
            </w:pPr>
            <w:r>
              <w:rPr>
                <w:rFonts w:ascii="宋体" w:hAnsi="宋体" w:eastAsia="宋体"/>
                <w:b/>
                <w:sz w:val="20"/>
              </w:rPr>
              <w:t>研究文献依据</w:t>
            </w:r>
          </w:p>
        </w:tc>
        <w:tc>
          <w:tcPr>
            <w:tcW w:w="2160" w:type="dxa"/>
          </w:tcPr>
          <w:p w14:paraId="2372DB4E">
            <w:pPr>
              <w:jc w:val="left"/>
            </w:pPr>
            <w:r>
              <w:rPr>
                <w:rFonts w:ascii="宋体" w:hAnsi="宋体" w:eastAsia="宋体"/>
                <w:b/>
                <w:sz w:val="20"/>
              </w:rPr>
              <w:t>核心优势</w:t>
            </w:r>
          </w:p>
        </w:tc>
      </w:tr>
      <w:tr w14:paraId="0887C6E2">
        <w:trPr>
          <w:jc w:val="center"/>
        </w:trPr>
        <w:tc>
          <w:tcPr>
            <w:tcW w:w="2011" w:type="dxa"/>
          </w:tcPr>
          <w:p w14:paraId="77E44EA2">
            <w:pPr>
              <w:jc w:val="left"/>
            </w:pPr>
            <w:r>
              <w:rPr>
                <w:rFonts w:ascii="宋体" w:hAnsi="宋体" w:eastAsia="宋体"/>
                <w:b w:val="0"/>
                <w:sz w:val="20"/>
              </w:rPr>
              <w:t>A. 咖啡/茶饮</w:t>
            </w:r>
          </w:p>
        </w:tc>
        <w:tc>
          <w:tcPr>
            <w:tcW w:w="2309" w:type="dxa"/>
          </w:tcPr>
          <w:p w14:paraId="34FDE09E">
            <w:pPr>
              <w:jc w:val="left"/>
            </w:pPr>
            <w:r>
              <w:rPr>
                <w:rFonts w:ascii="宋体" w:hAnsi="宋体" w:eastAsia="宋体"/>
                <w:b w:val="0"/>
                <w:sz w:val="20"/>
              </w:rPr>
              <w:t>瑞幸以"券"驱动商业模式；星巴克、喜茶等优惠券体系成熟</w:t>
            </w:r>
          </w:p>
        </w:tc>
        <w:tc>
          <w:tcPr>
            <w:tcW w:w="2160" w:type="dxa"/>
          </w:tcPr>
          <w:p w14:paraId="3801C97E">
            <w:pPr>
              <w:jc w:val="left"/>
            </w:pPr>
            <w:r>
              <w:rPr>
                <w:rFonts w:ascii="宋体" w:hAnsi="宋体" w:eastAsia="宋体"/>
                <w:b w:val="0"/>
                <w:sz w:val="20"/>
              </w:rPr>
              <w:t>Jia et al. (2018) 部分实验用咖啡场景；促销文献中常见品类</w:t>
            </w:r>
          </w:p>
        </w:tc>
        <w:tc>
          <w:tcPr>
            <w:tcW w:w="2160" w:type="dxa"/>
          </w:tcPr>
          <w:p w14:paraId="6AB97108">
            <w:pPr>
              <w:jc w:val="left"/>
            </w:pPr>
            <w:r>
              <w:rPr>
                <w:rFonts w:ascii="宋体" w:hAnsi="宋体" w:eastAsia="宋体"/>
                <w:b w:val="0"/>
                <w:sz w:val="20"/>
              </w:rPr>
              <w:t>产品标准化程度高、品牌效应可控、优惠券文化浓厚</w:t>
            </w:r>
          </w:p>
        </w:tc>
      </w:tr>
      <w:tr w14:paraId="7DEA9536">
        <w:trPr>
          <w:jc w:val="center"/>
        </w:trPr>
        <w:tc>
          <w:tcPr>
            <w:tcW w:w="2011" w:type="dxa"/>
          </w:tcPr>
          <w:p w14:paraId="144A976B">
            <w:pPr>
              <w:jc w:val="left"/>
            </w:pPr>
            <w:r>
              <w:rPr>
                <w:rFonts w:ascii="宋体" w:hAnsi="宋体" w:eastAsia="宋体"/>
                <w:b w:val="0"/>
                <w:sz w:val="20"/>
              </w:rPr>
              <w:t>B. 外卖/简餐</w:t>
            </w:r>
          </w:p>
        </w:tc>
        <w:tc>
          <w:tcPr>
            <w:tcW w:w="2309" w:type="dxa"/>
          </w:tcPr>
          <w:p w14:paraId="3194866B">
            <w:pPr>
              <w:jc w:val="left"/>
            </w:pPr>
            <w:r>
              <w:rPr>
                <w:rFonts w:ascii="宋体" w:hAnsi="宋体" w:eastAsia="宋体"/>
                <w:b w:val="0"/>
                <w:sz w:val="20"/>
              </w:rPr>
              <w:t>美团、饿了么"满减券"是平台核心促销工具</w:t>
            </w:r>
          </w:p>
        </w:tc>
        <w:tc>
          <w:tcPr>
            <w:tcW w:w="2160" w:type="dxa"/>
          </w:tcPr>
          <w:p w14:paraId="0A7C0395">
            <w:pPr>
              <w:jc w:val="left"/>
            </w:pPr>
            <w:r>
              <w:rPr>
                <w:rFonts w:ascii="宋体" w:hAnsi="宋体" w:eastAsia="宋体"/>
                <w:b w:val="0"/>
                <w:sz w:val="20"/>
              </w:rPr>
              <w:t>Lee &amp; Ariely (2006)；国内大量餐饮优惠券研究</w:t>
            </w:r>
          </w:p>
        </w:tc>
        <w:tc>
          <w:tcPr>
            <w:tcW w:w="2160" w:type="dxa"/>
          </w:tcPr>
          <w:p w14:paraId="578A075D">
            <w:pPr>
              <w:jc w:val="left"/>
            </w:pPr>
            <w:r>
              <w:rPr>
                <w:rFonts w:ascii="宋体" w:hAnsi="宋体" w:eastAsia="宋体"/>
                <w:b w:val="0"/>
                <w:sz w:val="20"/>
              </w:rPr>
              <w:t>高频刚需、大学生高度熟悉</w:t>
            </w:r>
          </w:p>
        </w:tc>
      </w:tr>
      <w:tr w14:paraId="2BF5A968">
        <w:trPr>
          <w:jc w:val="center"/>
        </w:trPr>
        <w:tc>
          <w:tcPr>
            <w:tcW w:w="2011" w:type="dxa"/>
          </w:tcPr>
          <w:p w14:paraId="7B63C3AF">
            <w:pPr>
              <w:jc w:val="left"/>
            </w:pPr>
            <w:r>
              <w:rPr>
                <w:rFonts w:ascii="宋体" w:hAnsi="宋体" w:eastAsia="宋体"/>
                <w:b w:val="0"/>
                <w:sz w:val="20"/>
              </w:rPr>
              <w:t>C. 线上超市/便利店</w:t>
            </w:r>
          </w:p>
        </w:tc>
        <w:tc>
          <w:tcPr>
            <w:tcW w:w="2309" w:type="dxa"/>
          </w:tcPr>
          <w:p w14:paraId="0587E716">
            <w:pPr>
              <w:jc w:val="left"/>
            </w:pPr>
            <w:r>
              <w:rPr>
                <w:rFonts w:ascii="宋体" w:hAnsi="宋体" w:eastAsia="宋体"/>
                <w:b w:val="0"/>
                <w:sz w:val="20"/>
              </w:rPr>
              <w:t>京东到家、盒马鲜生满减券；即时零售场景成熟</w:t>
            </w:r>
          </w:p>
        </w:tc>
        <w:tc>
          <w:tcPr>
            <w:tcW w:w="2160" w:type="dxa"/>
          </w:tcPr>
          <w:p w14:paraId="59EA9C66">
            <w:pPr>
              <w:jc w:val="left"/>
            </w:pPr>
            <w:r>
              <w:rPr>
                <w:rFonts w:ascii="宋体" w:hAnsi="宋体" w:eastAsia="宋体"/>
                <w:b w:val="0"/>
                <w:sz w:val="20"/>
              </w:rPr>
              <w:t>Amornpetchkul et al. (2018) 零售条件性促销研究</w:t>
            </w:r>
          </w:p>
        </w:tc>
        <w:tc>
          <w:tcPr>
            <w:tcW w:w="2160" w:type="dxa"/>
          </w:tcPr>
          <w:p w14:paraId="6D0E906A">
            <w:pPr>
              <w:jc w:val="left"/>
            </w:pPr>
            <w:r>
              <w:rPr>
                <w:rFonts w:ascii="宋体" w:hAnsi="宋体" w:eastAsia="宋体"/>
                <w:b w:val="0"/>
                <w:sz w:val="20"/>
              </w:rPr>
              <w:t>品类内部产品标准化、品牌影响较小</w:t>
            </w:r>
          </w:p>
        </w:tc>
      </w:tr>
    </w:tbl>
    <w:p w14:paraId="6A027D95"/>
    <w:p w14:paraId="46B862A4">
      <w:pPr>
        <w:pStyle w:val="4"/>
      </w:pPr>
      <w:r>
        <w:t>（二）预实验评估维度</w:t>
      </w:r>
    </w:p>
    <w:p w14:paraId="6F5FBE23">
      <w:pPr>
        <w:ind w:firstLine="420"/>
      </w:pPr>
      <w:r>
        <w:rPr>
          <w:rFonts w:ascii="宋体" w:hAnsi="宋体" w:eastAsia="宋体"/>
          <w:b w:val="0"/>
          <w:sz w:val="24"/>
        </w:rPr>
        <w:t>邀请5-8名研究生或高年级本科生参与预实验。请其根据以下四个维度对三个候选品类逐一打分（1-7分，1=非常不符合，7=非常符合）：</w:t>
      </w:r>
    </w:p>
    <w:p w14:paraId="32AB73D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4283"/>
        <w:gridCol w:w="2880"/>
      </w:tblGrid>
      <w:tr w14:paraId="07CDCA88">
        <w:trPr>
          <w:jc w:val="center"/>
        </w:trPr>
        <w:tc>
          <w:tcPr>
            <w:tcW w:w="1477" w:type="dxa"/>
          </w:tcPr>
          <w:p w14:paraId="4B570B19">
            <w:pPr>
              <w:jc w:val="left"/>
            </w:pPr>
            <w:r>
              <w:rPr>
                <w:rFonts w:ascii="宋体" w:hAnsi="宋体" w:eastAsia="宋体"/>
                <w:b/>
                <w:sz w:val="20"/>
              </w:rPr>
              <w:t>评估维度</w:t>
            </w:r>
          </w:p>
        </w:tc>
        <w:tc>
          <w:tcPr>
            <w:tcW w:w="4283" w:type="dxa"/>
          </w:tcPr>
          <w:p w14:paraId="781A7544">
            <w:pPr>
              <w:jc w:val="left"/>
            </w:pPr>
            <w:r>
              <w:rPr>
                <w:rFonts w:ascii="宋体" w:hAnsi="宋体" w:eastAsia="宋体"/>
                <w:b/>
                <w:sz w:val="20"/>
              </w:rPr>
              <w:t>维度定义</w:t>
            </w:r>
          </w:p>
        </w:tc>
        <w:tc>
          <w:tcPr>
            <w:tcW w:w="2880" w:type="dxa"/>
          </w:tcPr>
          <w:p w14:paraId="500AF9DD">
            <w:pPr>
              <w:jc w:val="left"/>
            </w:pPr>
            <w:r>
              <w:rPr>
                <w:rFonts w:ascii="宋体" w:hAnsi="宋体" w:eastAsia="宋体"/>
                <w:b/>
                <w:sz w:val="20"/>
              </w:rPr>
              <w:t>评价标准</w:t>
            </w:r>
          </w:p>
        </w:tc>
      </w:tr>
      <w:tr w14:paraId="0CCCBE9C">
        <w:trPr>
          <w:jc w:val="center"/>
        </w:trPr>
        <w:tc>
          <w:tcPr>
            <w:tcW w:w="1477" w:type="dxa"/>
          </w:tcPr>
          <w:p w14:paraId="0C29C15B">
            <w:pPr>
              <w:jc w:val="left"/>
            </w:pPr>
            <w:r>
              <w:rPr>
                <w:rFonts w:ascii="宋体" w:hAnsi="宋体" w:eastAsia="宋体"/>
                <w:b w:val="0"/>
                <w:sz w:val="20"/>
              </w:rPr>
              <w:t>熟悉度</w:t>
            </w:r>
          </w:p>
        </w:tc>
        <w:tc>
          <w:tcPr>
            <w:tcW w:w="4283" w:type="dxa"/>
          </w:tcPr>
          <w:p w14:paraId="2376E7C1">
            <w:pPr>
              <w:jc w:val="left"/>
            </w:pPr>
            <w:r>
              <w:rPr>
                <w:rFonts w:ascii="宋体" w:hAnsi="宋体" w:eastAsia="宋体"/>
                <w:b w:val="0"/>
                <w:sz w:val="20"/>
              </w:rPr>
              <w:t>被试对该品类的购买/消费有多熟悉？</w:t>
            </w:r>
          </w:p>
        </w:tc>
        <w:tc>
          <w:tcPr>
            <w:tcW w:w="2880" w:type="dxa"/>
          </w:tcPr>
          <w:p w14:paraId="161D4748">
            <w:pPr>
              <w:jc w:val="left"/>
              <w:rPr>
                <w:rFonts w:ascii="宋体" w:hAnsi="宋体" w:eastAsia="宋体"/>
                <w:b w:val="0"/>
                <w:sz w:val="20"/>
              </w:rPr>
            </w:pPr>
            <w:r>
              <w:rPr>
                <w:rFonts w:ascii="宋体" w:hAnsi="宋体" w:eastAsia="宋体"/>
                <w:b w:val="0"/>
                <w:sz w:val="20"/>
              </w:rPr>
              <w:t>7=经常消费，非常熟悉；</w:t>
            </w:r>
          </w:p>
          <w:p w14:paraId="4623DAB4">
            <w:pPr>
              <w:jc w:val="left"/>
            </w:pPr>
            <w:r>
              <w:rPr>
                <w:rFonts w:ascii="宋体" w:hAnsi="宋体" w:eastAsia="宋体"/>
                <w:b w:val="0"/>
                <w:sz w:val="20"/>
              </w:rPr>
              <w:t>1=几乎不消费</w:t>
            </w:r>
          </w:p>
        </w:tc>
      </w:tr>
      <w:tr w14:paraId="71D211AE">
        <w:trPr>
          <w:jc w:val="center"/>
        </w:trPr>
        <w:tc>
          <w:tcPr>
            <w:tcW w:w="1477" w:type="dxa"/>
          </w:tcPr>
          <w:p w14:paraId="45AE86C1">
            <w:pPr>
              <w:jc w:val="left"/>
            </w:pPr>
            <w:r>
              <w:rPr>
                <w:rFonts w:ascii="宋体" w:hAnsi="宋体" w:eastAsia="宋体"/>
                <w:b w:val="0"/>
                <w:sz w:val="20"/>
              </w:rPr>
              <w:t>优惠券感知</w:t>
            </w:r>
          </w:p>
        </w:tc>
        <w:tc>
          <w:tcPr>
            <w:tcW w:w="4283" w:type="dxa"/>
          </w:tcPr>
          <w:p w14:paraId="44D5E3D3">
            <w:pPr>
              <w:jc w:val="left"/>
            </w:pPr>
            <w:r>
              <w:rPr>
                <w:rFonts w:ascii="宋体" w:hAnsi="宋体" w:eastAsia="宋体"/>
                <w:b w:val="0"/>
                <w:sz w:val="20"/>
              </w:rPr>
              <w:t>被试在该品类中见到/使用过多少优惠券？</w:t>
            </w:r>
          </w:p>
        </w:tc>
        <w:tc>
          <w:tcPr>
            <w:tcW w:w="2880" w:type="dxa"/>
          </w:tcPr>
          <w:p w14:paraId="33CC0FD0">
            <w:pPr>
              <w:jc w:val="left"/>
              <w:rPr>
                <w:rFonts w:ascii="宋体" w:hAnsi="宋体" w:eastAsia="宋体"/>
                <w:b w:val="0"/>
                <w:sz w:val="20"/>
              </w:rPr>
            </w:pPr>
            <w:r>
              <w:rPr>
                <w:rFonts w:ascii="宋体" w:hAnsi="宋体" w:eastAsia="宋体"/>
                <w:b w:val="0"/>
                <w:sz w:val="20"/>
              </w:rPr>
              <w:t>7=经常见到优惠券；</w:t>
            </w:r>
          </w:p>
          <w:p w14:paraId="7B9AD5BA">
            <w:pPr>
              <w:jc w:val="left"/>
            </w:pPr>
            <w:r>
              <w:rPr>
                <w:rFonts w:ascii="宋体" w:hAnsi="宋体" w:eastAsia="宋体"/>
                <w:b w:val="0"/>
                <w:sz w:val="20"/>
              </w:rPr>
              <w:t>1=几乎见不到</w:t>
            </w:r>
          </w:p>
        </w:tc>
      </w:tr>
      <w:tr w14:paraId="2DFE3593">
        <w:trPr>
          <w:jc w:val="center"/>
        </w:trPr>
        <w:tc>
          <w:tcPr>
            <w:tcW w:w="1477" w:type="dxa"/>
          </w:tcPr>
          <w:p w14:paraId="2FA31B31">
            <w:pPr>
              <w:jc w:val="left"/>
            </w:pPr>
            <w:r>
              <w:rPr>
                <w:rFonts w:ascii="宋体" w:hAnsi="宋体" w:eastAsia="宋体"/>
                <w:b w:val="0"/>
                <w:sz w:val="20"/>
              </w:rPr>
              <w:t>偏好一致性</w:t>
            </w:r>
            <w:r>
              <w:rPr>
                <w:rFonts w:ascii="宋体" w:hAnsi="宋体" w:eastAsia="宋体"/>
                <w:b w:val="0"/>
                <w:sz w:val="20"/>
              </w:rPr>
              <w:br w:type="textWrapping"/>
            </w:r>
            <w:r>
              <w:rPr>
                <w:rFonts w:ascii="宋体" w:hAnsi="宋体" w:eastAsia="宋体"/>
                <w:b w:val="0"/>
                <w:sz w:val="20"/>
              </w:rPr>
              <w:t>（反向计分）</w:t>
            </w:r>
          </w:p>
        </w:tc>
        <w:tc>
          <w:tcPr>
            <w:tcW w:w="4283" w:type="dxa"/>
          </w:tcPr>
          <w:p w14:paraId="1BCCE509">
            <w:pPr>
              <w:jc w:val="left"/>
            </w:pPr>
            <w:r>
              <w:rPr>
                <w:rFonts w:ascii="宋体" w:hAnsi="宋体" w:eastAsia="宋体"/>
                <w:b w:val="0"/>
                <w:sz w:val="20"/>
              </w:rPr>
              <w:t>身边同学对该品类内部产品的偏好差异大吗？</w:t>
            </w:r>
          </w:p>
        </w:tc>
        <w:tc>
          <w:tcPr>
            <w:tcW w:w="2880" w:type="dxa"/>
          </w:tcPr>
          <w:p w14:paraId="6FFDE213">
            <w:pPr>
              <w:jc w:val="left"/>
            </w:pPr>
            <w:r>
              <w:rPr>
                <w:rFonts w:ascii="宋体" w:hAnsi="宋体" w:eastAsia="宋体"/>
                <w:b w:val="0"/>
                <w:sz w:val="20"/>
              </w:rPr>
              <w:t>7=差异小（内部品牌/产品偏好较一致）；1=差异巨大</w:t>
            </w:r>
          </w:p>
        </w:tc>
      </w:tr>
      <w:tr w14:paraId="5ED611E1">
        <w:trPr>
          <w:jc w:val="center"/>
        </w:trPr>
        <w:tc>
          <w:tcPr>
            <w:tcW w:w="1477" w:type="dxa"/>
          </w:tcPr>
          <w:p w14:paraId="4F7C5F5A">
            <w:pPr>
              <w:jc w:val="left"/>
            </w:pPr>
            <w:r>
              <w:rPr>
                <w:rFonts w:ascii="宋体" w:hAnsi="宋体" w:eastAsia="宋体"/>
                <w:b w:val="0"/>
                <w:sz w:val="20"/>
              </w:rPr>
              <w:t>情景真实性</w:t>
            </w:r>
          </w:p>
        </w:tc>
        <w:tc>
          <w:tcPr>
            <w:tcW w:w="4283" w:type="dxa"/>
          </w:tcPr>
          <w:p w14:paraId="6DA5442B">
            <w:pPr>
              <w:jc w:val="left"/>
            </w:pPr>
            <w:r>
              <w:rPr>
                <w:rFonts w:ascii="宋体" w:hAnsi="宋体" w:eastAsia="宋体"/>
                <w:b w:val="0"/>
                <w:sz w:val="20"/>
              </w:rPr>
              <w:t>在问卷中模拟该品类的消费情景是否自然可信？</w:t>
            </w:r>
          </w:p>
        </w:tc>
        <w:tc>
          <w:tcPr>
            <w:tcW w:w="2880" w:type="dxa"/>
          </w:tcPr>
          <w:p w14:paraId="3C0C474C">
            <w:pPr>
              <w:jc w:val="left"/>
            </w:pPr>
            <w:r>
              <w:rPr>
                <w:rFonts w:ascii="宋体" w:hAnsi="宋体" w:eastAsia="宋体"/>
                <w:b w:val="0"/>
                <w:sz w:val="20"/>
              </w:rPr>
              <w:t>7=非常自然可信；1=很不自然</w:t>
            </w:r>
          </w:p>
        </w:tc>
      </w:tr>
    </w:tbl>
    <w:p w14:paraId="54DCC758"/>
    <w:p w14:paraId="756B873F">
      <w:pPr>
        <w:pStyle w:val="4"/>
      </w:pPr>
      <w:r>
        <w:t>（三）预实验流程</w:t>
      </w:r>
    </w:p>
    <w:p w14:paraId="3CD8E081">
      <w:r>
        <w:rPr>
          <w:rFonts w:ascii="宋体" w:hAnsi="宋体" w:eastAsia="宋体"/>
          <w:b w:val="0"/>
          <w:sz w:val="24"/>
        </w:rPr>
        <w:t>（1）邀请5-8名研究生/高年级本科生作为预实验参与者。</w:t>
      </w:r>
      <w:r>
        <w:rPr>
          <w:rFonts w:ascii="宋体" w:hAnsi="宋体" w:eastAsia="宋体"/>
          <w:b w:val="0"/>
          <w:sz w:val="24"/>
        </w:rPr>
        <w:br w:type="textWrapping"/>
      </w:r>
      <w:r>
        <w:rPr>
          <w:rFonts w:ascii="宋体" w:hAnsi="宋体" w:eastAsia="宋体"/>
          <w:b w:val="0"/>
          <w:sz w:val="24"/>
        </w:rPr>
        <w:t>（2）告知预实验参与者本研究的基本目的，请其理解并配合。</w:t>
      </w:r>
      <w:r>
        <w:rPr>
          <w:rFonts w:ascii="宋体" w:hAnsi="宋体" w:eastAsia="宋体"/>
          <w:b w:val="0"/>
          <w:sz w:val="24"/>
        </w:rPr>
        <w:br w:type="textWrapping"/>
      </w:r>
      <w:r>
        <w:rPr>
          <w:rFonts w:ascii="宋体" w:hAnsi="宋体" w:eastAsia="宋体"/>
          <w:b w:val="0"/>
          <w:sz w:val="24"/>
        </w:rPr>
        <w:t>（3）逐一介绍三个候选品类，说明每个品类在真实商业中的优惠券应用情况。</w:t>
      </w:r>
      <w:r>
        <w:rPr>
          <w:rFonts w:ascii="宋体" w:hAnsi="宋体" w:eastAsia="宋体"/>
          <w:b w:val="0"/>
          <w:sz w:val="24"/>
        </w:rPr>
        <w:br w:type="textWrapping"/>
      </w:r>
      <w:r>
        <w:rPr>
          <w:rFonts w:ascii="宋体" w:hAnsi="宋体" w:eastAsia="宋体"/>
          <w:b w:val="0"/>
          <w:sz w:val="24"/>
        </w:rPr>
        <w:t>（4）被试独立完成评分表，对每个维度进行1-7分打分。</w:t>
      </w:r>
      <w:r>
        <w:rPr>
          <w:rFonts w:ascii="宋体" w:hAnsi="宋体" w:eastAsia="宋体"/>
          <w:b w:val="0"/>
          <w:sz w:val="24"/>
        </w:rPr>
        <w:br w:type="textWrapping"/>
      </w:r>
      <w:r>
        <w:rPr>
          <w:rFonts w:ascii="宋体" w:hAnsi="宋体" w:eastAsia="宋体"/>
          <w:b w:val="0"/>
          <w:sz w:val="24"/>
        </w:rPr>
        <w:t>（5）汇总所有被试的评分，计算每个品类在各维度的平均分及总分。</w:t>
      </w:r>
      <w:r>
        <w:rPr>
          <w:rFonts w:ascii="宋体" w:hAnsi="宋体" w:eastAsia="宋体"/>
          <w:b w:val="0"/>
          <w:sz w:val="24"/>
        </w:rPr>
        <w:br w:type="textWrapping"/>
      </w:r>
      <w:r>
        <w:rPr>
          <w:rFonts w:ascii="宋体" w:hAnsi="宋体" w:eastAsia="宋体"/>
          <w:b w:val="0"/>
          <w:sz w:val="24"/>
        </w:rPr>
        <w:t>（6）组织简短讨论，了解被试对评分结果的理由和补充意见。</w:t>
      </w:r>
      <w:r>
        <w:rPr>
          <w:rFonts w:ascii="宋体" w:hAnsi="宋体" w:eastAsia="宋体"/>
          <w:b w:val="0"/>
          <w:sz w:val="24"/>
        </w:rPr>
        <w:br w:type="textWrapping"/>
      </w:r>
      <w:r>
        <w:rPr>
          <w:rFonts w:ascii="宋体" w:hAnsi="宋体" w:eastAsia="宋体"/>
          <w:b w:val="0"/>
          <w:sz w:val="24"/>
        </w:rPr>
        <w:t>（7）综合评分结果和讨论意见，确定最优实验品类。</w:t>
      </w:r>
      <w:r>
        <w:rPr>
          <w:rFonts w:ascii="宋体" w:hAnsi="宋体" w:eastAsia="宋体"/>
          <w:b w:val="0"/>
          <w:sz w:val="24"/>
        </w:rPr>
        <w:br w:type="textWrapping"/>
      </w:r>
      <w:r>
        <w:rPr>
          <w:rFonts w:ascii="宋体" w:hAnsi="宋体" w:eastAsia="宋体"/>
          <w:b w:val="0"/>
          <w:sz w:val="24"/>
        </w:rPr>
        <w:t>（8）基于选定品类，确定虚拟品牌名称、价格区间，并据此校准门槛金额。</w:t>
      </w:r>
    </w:p>
    <w:p w14:paraId="4EFA25A7"/>
    <w:p w14:paraId="438689C7">
      <w:r>
        <w:rPr>
          <w:rFonts w:ascii="宋体" w:hAnsi="宋体" w:eastAsia="宋体"/>
          <w:b/>
          <w:sz w:val="24"/>
        </w:rPr>
        <w:t>注：本报告中的实验材料以"咖啡/茶饮"为假定预实验结果进行设计。若预实验选定其他品类，仅需替换品类名称、品牌名称和门槛金额，实验整体结构和流程保持不变。</w:t>
      </w:r>
    </w:p>
    <w:p w14:paraId="630C2D37">
      <w:r>
        <w:br w:type="page"/>
      </w:r>
    </w:p>
    <w:p w14:paraId="572AAFD8">
      <w:pPr>
        <w:pStyle w:val="3"/>
      </w:pPr>
      <w:r>
        <w:t>八、数据分析计划</w:t>
      </w:r>
    </w:p>
    <w:p w14:paraId="57E12D0B">
      <w:r>
        <w:rPr>
          <w:rFonts w:ascii="宋体" w:hAnsi="宋体" w:eastAsia="宋体"/>
          <w:b/>
          <w:sz w:val="24"/>
        </w:rPr>
        <w:t>（一）数据清洗与预处理</w:t>
      </w:r>
    </w:p>
    <w:p w14:paraId="61550BB9">
      <w:r>
        <w:rPr>
          <w:rFonts w:ascii="宋体" w:hAnsi="宋体" w:eastAsia="宋体"/>
          <w:b w:val="0"/>
          <w:sz w:val="24"/>
        </w:rPr>
        <w:t>（1）剔除筛选问项未通过的被试。</w:t>
      </w:r>
      <w:r>
        <w:rPr>
          <w:rFonts w:ascii="宋体" w:hAnsi="宋体" w:eastAsia="宋体"/>
          <w:b w:val="0"/>
          <w:sz w:val="24"/>
        </w:rPr>
        <w:br w:type="textWrapping"/>
      </w:r>
      <w:r>
        <w:rPr>
          <w:rFonts w:ascii="宋体" w:hAnsi="宋体" w:eastAsia="宋体"/>
          <w:b w:val="0"/>
          <w:sz w:val="24"/>
        </w:rPr>
        <w:t>（2）剔除注意力检查题回答错误、自评认真度（CV5）&lt; 4、作答时间 &lt; 2分钟的被试。</w:t>
      </w:r>
      <w:r>
        <w:rPr>
          <w:rFonts w:ascii="宋体" w:hAnsi="宋体" w:eastAsia="宋体"/>
          <w:b w:val="0"/>
          <w:sz w:val="24"/>
        </w:rPr>
        <w:br w:type="textWrapping"/>
      </w:r>
      <w:r>
        <w:rPr>
          <w:rFonts w:ascii="宋体" w:hAnsi="宋体" w:eastAsia="宋体"/>
          <w:b w:val="0"/>
          <w:sz w:val="24"/>
        </w:rPr>
        <w:t>（3）计算CRI得分 = CRI1-CRI5的均值。</w:t>
      </w:r>
      <w:r>
        <w:rPr>
          <w:rFonts w:ascii="宋体" w:hAnsi="宋体" w:eastAsia="宋体"/>
          <w:b w:val="0"/>
          <w:sz w:val="24"/>
        </w:rPr>
        <w:br w:type="textWrapping"/>
      </w:r>
      <w:r>
        <w:rPr>
          <w:rFonts w:ascii="宋体" w:hAnsi="宋体" w:eastAsia="宋体"/>
          <w:b w:val="0"/>
          <w:sz w:val="24"/>
        </w:rPr>
        <w:t>（4）对CRI得分进行正态性检验（Shapiro-Wilk）和方差齐性检验（Levene's test）。若方差不齐，使用Welch校正。</w:t>
      </w:r>
    </w:p>
    <w:p w14:paraId="599E6F8E">
      <w:r>
        <w:rPr>
          <w:rFonts w:ascii="宋体" w:hAnsi="宋体" w:eastAsia="宋体"/>
          <w:b/>
          <w:sz w:val="24"/>
        </w:rPr>
        <w:t>（二）操控检验</w:t>
      </w:r>
    </w:p>
    <w:p w14:paraId="64A7453B">
      <w:pPr>
        <w:ind w:firstLine="420"/>
      </w:pPr>
      <w:r>
        <w:rPr>
          <w:rFonts w:ascii="宋体" w:hAnsi="宋体" w:eastAsia="宋体"/>
          <w:b w:val="0"/>
          <w:sz w:val="24"/>
        </w:rPr>
        <w:t>对面额识别和门槛识别题进行卡方检验（Chi-Square Test），判断各组被试在对应选项上的选择分布是否存在显著差异。同时对情景真实感和信息理解度进行独立样本t检验（面额）和单因素ANOVA（门槛），确认各组间无显著差异。</w:t>
      </w:r>
    </w:p>
    <w:p w14:paraId="75664A80">
      <w:r>
        <w:rPr>
          <w:rFonts w:ascii="宋体" w:hAnsi="宋体" w:eastAsia="宋体"/>
          <w:b/>
          <w:sz w:val="24"/>
        </w:rPr>
        <w:t>（三）假设检验</w:t>
      </w:r>
    </w:p>
    <w:p w14:paraId="6F3BB4C6">
      <w:pPr>
        <w:ind w:firstLine="420"/>
      </w:pPr>
      <w:r>
        <w:rPr>
          <w:rFonts w:ascii="宋体" w:hAnsi="宋体" w:eastAsia="宋体"/>
          <w:b w:val="0"/>
          <w:sz w:val="24"/>
        </w:rPr>
        <w:t>采用SPSS或JASP进行2（面额）× 3（门槛）双因素被试间方差分析（Two-Way Between-Subjects ANOVA）：</w:t>
      </w:r>
      <w:r>
        <w:rPr>
          <w:rFonts w:ascii="宋体" w:hAnsi="宋体" w:eastAsia="宋体"/>
          <w:b w:val="0"/>
          <w:sz w:val="24"/>
        </w:rPr>
        <w:br w:type="textWrapping"/>
      </w:r>
      <w:r>
        <w:rPr>
          <w:rFonts w:ascii="宋体" w:hAnsi="宋体" w:eastAsia="宋体"/>
          <w:b w:val="0"/>
          <w:sz w:val="24"/>
        </w:rPr>
        <w:t>- 主效应检验：检验面额（H1）和门槛（H2）的主效应是否显著。</w:t>
      </w:r>
      <w:r>
        <w:rPr>
          <w:rFonts w:ascii="宋体" w:hAnsi="宋体" w:eastAsia="宋体"/>
          <w:b w:val="0"/>
          <w:sz w:val="24"/>
        </w:rPr>
        <w:br w:type="textWrapping"/>
      </w:r>
      <w:r>
        <w:rPr>
          <w:rFonts w:ascii="宋体" w:hAnsi="宋体" w:eastAsia="宋体"/>
          <w:b w:val="0"/>
          <w:sz w:val="24"/>
        </w:rPr>
        <w:t>- 交互效应检验：检验面额 × 门槛的交互效应（H3）是否显著。</w:t>
      </w:r>
      <w:r>
        <w:rPr>
          <w:rFonts w:ascii="宋体" w:hAnsi="宋体" w:eastAsia="宋体"/>
          <w:b w:val="0"/>
          <w:sz w:val="24"/>
        </w:rPr>
        <w:br w:type="textWrapping"/>
      </w:r>
      <w:r>
        <w:rPr>
          <w:rFonts w:ascii="宋体" w:hAnsi="宋体" w:eastAsia="宋体"/>
          <w:b w:val="0"/>
          <w:sz w:val="24"/>
        </w:rPr>
        <w:t>- 若交互效应显著，进行简单效应分析（Simple Effects Analysis）：分别在每个门槛水平上检验面额的简单主效应，以及在每个面额水平上检验门槛的简单主效应。</w:t>
      </w:r>
      <w:r>
        <w:rPr>
          <w:rFonts w:ascii="宋体" w:hAnsi="宋体" w:eastAsia="宋体"/>
          <w:b w:val="0"/>
          <w:sz w:val="24"/>
        </w:rPr>
        <w:br w:type="textWrapping"/>
      </w:r>
      <w:r>
        <w:rPr>
          <w:rFonts w:ascii="宋体" w:hAnsi="宋体" w:eastAsia="宋体"/>
          <w:b w:val="0"/>
          <w:sz w:val="24"/>
        </w:rPr>
        <w:t>- 事后检验（Post-hoc Test）：若门槛主效应显著，采用Tukey HSD法进行多重比较。</w:t>
      </w:r>
      <w:r>
        <w:rPr>
          <w:rFonts w:ascii="宋体" w:hAnsi="宋体" w:eastAsia="宋体"/>
          <w:b w:val="0"/>
          <w:sz w:val="24"/>
        </w:rPr>
        <w:br w:type="textWrapping"/>
      </w:r>
      <w:r>
        <w:rPr>
          <w:rFonts w:ascii="宋体" w:hAnsi="宋体" w:eastAsia="宋体"/>
          <w:b w:val="0"/>
          <w:sz w:val="24"/>
        </w:rPr>
        <w:t>- 效应量报告：报告偏η²（partial eta squared）作为效应量指标。</w:t>
      </w:r>
      <w:r>
        <w:rPr>
          <w:rFonts w:ascii="宋体" w:hAnsi="宋体" w:eastAsia="宋体"/>
          <w:b w:val="0"/>
          <w:sz w:val="24"/>
        </w:rPr>
        <w:br w:type="textWrapping"/>
      </w:r>
      <w:r>
        <w:rPr>
          <w:rFonts w:ascii="宋体" w:hAnsi="宋体" w:eastAsia="宋体"/>
          <w:b w:val="0"/>
          <w:sz w:val="24"/>
        </w:rPr>
        <w:t>- 敏感性分析：将混淆变量（CV1-CV4）作为协变量纳入ANCOVA分析，比较校正前后的结果差异。</w:t>
      </w:r>
    </w:p>
    <w:p w14:paraId="2492AF57">
      <w:r>
        <w:rPr>
          <w:rFonts w:ascii="宋体" w:hAnsi="宋体" w:eastAsia="宋体"/>
          <w:b/>
          <w:sz w:val="24"/>
        </w:rPr>
        <w:t>（四）信度检验</w:t>
      </w:r>
    </w:p>
    <w:p w14:paraId="5002E8C2">
      <w:pPr>
        <w:ind w:firstLine="420"/>
      </w:pPr>
      <w:r>
        <w:rPr>
          <w:rFonts w:ascii="宋体" w:hAnsi="宋体" w:eastAsia="宋体"/>
          <w:b w:val="0"/>
          <w:sz w:val="24"/>
        </w:rPr>
        <w:t>计算CRI量表的Cronbach's α系数，以评估内部一致性信度。以α ≥ 0.70为可接受标准，α ≥ 0.80为良好标准。</w:t>
      </w:r>
    </w:p>
    <w:p w14:paraId="41539448">
      <w:r>
        <w:br w:type="page"/>
      </w:r>
      <w:bookmarkStart w:id="0" w:name="_GoBack"/>
    </w:p>
    <w:bookmarkEnd w:id="0"/>
    <w:p w14:paraId="0B557CCE">
      <w:pPr>
        <w:pStyle w:val="3"/>
      </w:pPr>
      <w:r>
        <w:t>九、参考文献</w:t>
      </w:r>
    </w:p>
    <w:p w14:paraId="2D308811">
      <w:pPr>
        <w:spacing w:after="60" w:line="360" w:lineRule="auto"/>
        <w:ind w:left="482" w:hanging="482"/>
      </w:pPr>
      <w:r>
        <w:rPr>
          <w:rFonts w:ascii="Times New Roman" w:hAnsi="Times New Roman" w:eastAsia="宋体"/>
          <w:i w:val="0"/>
          <w:sz w:val="22"/>
        </w:rPr>
        <w:t xml:space="preserve">[1] Thaler, R. H. (1985). Mental accounting and consumer choice. </w:t>
      </w:r>
      <w:r>
        <w:rPr>
          <w:rFonts w:ascii="Times New Roman" w:hAnsi="Times New Roman" w:eastAsia="宋体"/>
          <w:i/>
          <w:sz w:val="22"/>
        </w:rPr>
        <w:t xml:space="preserve">Marketing Science, 4(3), 199–214. </w:t>
      </w:r>
      <w:r>
        <w:rPr>
          <w:rFonts w:ascii="Times New Roman" w:hAnsi="Times New Roman" w:eastAsia="宋体"/>
          <w:i w:val="0"/>
          <w:color w:val="0066CC"/>
          <w:sz w:val="22"/>
        </w:rPr>
        <w:t>https://doi.org/10.1287/mksc.4.3.199</w:t>
      </w:r>
    </w:p>
    <w:p w14:paraId="434B855F">
      <w:pPr>
        <w:spacing w:after="60" w:line="360" w:lineRule="auto"/>
        <w:ind w:left="482" w:hanging="482"/>
      </w:pPr>
      <w:r>
        <w:rPr>
          <w:rFonts w:ascii="Times New Roman" w:hAnsi="Times New Roman" w:eastAsia="宋体"/>
          <w:i w:val="0"/>
          <w:sz w:val="22"/>
        </w:rPr>
        <w:t xml:space="preserve">[2] Jia, H., Yang, S., Lu, X., &amp; Park, C. W. (2018). Do consumers always spend more when coupon face value is larger? The inverted U-shaped effect of coupon face value on consumer spending level. </w:t>
      </w:r>
      <w:r>
        <w:rPr>
          <w:rFonts w:ascii="Times New Roman" w:hAnsi="Times New Roman" w:eastAsia="宋体"/>
          <w:i/>
          <w:sz w:val="22"/>
        </w:rPr>
        <w:t xml:space="preserve">Journal of Marketing, 82(4), 70–85. </w:t>
      </w:r>
      <w:r>
        <w:rPr>
          <w:rFonts w:ascii="Times New Roman" w:hAnsi="Times New Roman" w:eastAsia="宋体"/>
          <w:i w:val="0"/>
          <w:color w:val="0066CC"/>
          <w:sz w:val="22"/>
        </w:rPr>
        <w:t>https://doi.org/10.1177/0022242918757226</w:t>
      </w:r>
    </w:p>
    <w:p w14:paraId="20C9A285">
      <w:pPr>
        <w:spacing w:after="60" w:line="360" w:lineRule="auto"/>
        <w:ind w:left="482" w:hanging="482"/>
      </w:pPr>
      <w:r>
        <w:rPr>
          <w:rFonts w:ascii="Times New Roman" w:hAnsi="Times New Roman" w:eastAsia="宋体"/>
          <w:i w:val="0"/>
          <w:sz w:val="22"/>
        </w:rPr>
        <w:t xml:space="preserve">[3] Lee, L., &amp; Ariely, D. (2006). Shopping goals, goal concreteness, and conditional promotions. </w:t>
      </w:r>
      <w:r>
        <w:rPr>
          <w:rFonts w:ascii="Times New Roman" w:hAnsi="Times New Roman" w:eastAsia="宋体"/>
          <w:i/>
          <w:sz w:val="22"/>
        </w:rPr>
        <w:t xml:space="preserve">Journal of Consumer Research, 33(1), 60–70. </w:t>
      </w:r>
      <w:r>
        <w:rPr>
          <w:rFonts w:ascii="Times New Roman" w:hAnsi="Times New Roman" w:eastAsia="宋体"/>
          <w:i w:val="0"/>
          <w:color w:val="0066CC"/>
          <w:sz w:val="22"/>
        </w:rPr>
        <w:t>https://doi.org/10.1086/504896</w:t>
      </w:r>
    </w:p>
    <w:p w14:paraId="7F140DF7">
      <w:pPr>
        <w:spacing w:after="60" w:line="360" w:lineRule="auto"/>
        <w:ind w:left="482" w:hanging="482"/>
      </w:pPr>
      <w:r>
        <w:rPr>
          <w:rFonts w:ascii="Times New Roman" w:hAnsi="Times New Roman" w:eastAsia="宋体"/>
          <w:i w:val="0"/>
          <w:sz w:val="22"/>
        </w:rPr>
        <w:t xml:space="preserve">[4] Amornpetchkul, T., Ahn, H. S., &amp; Sahin, O. (2018). Conditional promotions and consumer overspending. </w:t>
      </w:r>
      <w:r>
        <w:rPr>
          <w:rFonts w:ascii="Times New Roman" w:hAnsi="Times New Roman" w:eastAsia="宋体"/>
          <w:i/>
          <w:sz w:val="22"/>
        </w:rPr>
        <w:t xml:space="preserve">Production and Operations Management, 27(8), 1455–1475. </w:t>
      </w:r>
      <w:r>
        <w:rPr>
          <w:rFonts w:ascii="Times New Roman" w:hAnsi="Times New Roman" w:eastAsia="宋体"/>
          <w:i w:val="0"/>
          <w:color w:val="0066CC"/>
          <w:sz w:val="22"/>
        </w:rPr>
        <w:t>https://doi.org/10.1111/poms.12877</w:t>
      </w:r>
    </w:p>
    <w:p w14:paraId="4F461E10">
      <w:pPr>
        <w:spacing w:after="60" w:line="360" w:lineRule="auto"/>
        <w:ind w:left="482" w:hanging="482"/>
      </w:pPr>
      <w:r>
        <w:rPr>
          <w:rFonts w:ascii="Times New Roman" w:hAnsi="Times New Roman" w:eastAsia="宋体"/>
          <w:i w:val="0"/>
          <w:sz w:val="22"/>
        </w:rPr>
        <w:t xml:space="preserve">[5] Raghubir, P. (1998). Coupon value: A signal for price? </w:t>
      </w:r>
      <w:r>
        <w:rPr>
          <w:rFonts w:ascii="Times New Roman" w:hAnsi="Times New Roman" w:eastAsia="宋体"/>
          <w:i/>
          <w:sz w:val="22"/>
        </w:rPr>
        <w:t xml:space="preserve">Journal of Marketing Research, 35(3), 316–324. </w:t>
      </w:r>
      <w:r>
        <w:rPr>
          <w:rFonts w:ascii="Times New Roman" w:hAnsi="Times New Roman" w:eastAsia="宋体"/>
          <w:i w:val="0"/>
          <w:color w:val="0066CC"/>
          <w:sz w:val="22"/>
        </w:rPr>
        <w:t>https://doi.org/10.1177/002224379803500303</w:t>
      </w:r>
    </w:p>
    <w:p w14:paraId="611398CC">
      <w:pPr>
        <w:spacing w:after="60" w:line="360" w:lineRule="auto"/>
        <w:ind w:left="482" w:hanging="482"/>
      </w:pPr>
      <w:r>
        <w:rPr>
          <w:rFonts w:ascii="Times New Roman" w:hAnsi="Times New Roman" w:eastAsia="宋体"/>
          <w:i w:val="0"/>
          <w:sz w:val="22"/>
        </w:rPr>
        <w:t xml:space="preserve">[6] Kahneman, D., &amp; Tversky, A. (1979). Prospect theory: An analysis of decision under risk. </w:t>
      </w:r>
      <w:r>
        <w:rPr>
          <w:rFonts w:ascii="Times New Roman" w:hAnsi="Times New Roman" w:eastAsia="宋体"/>
          <w:i/>
          <w:sz w:val="22"/>
        </w:rPr>
        <w:t xml:space="preserve">Econometrica, 47(2), 263–291. </w:t>
      </w:r>
      <w:r>
        <w:rPr>
          <w:rFonts w:ascii="Times New Roman" w:hAnsi="Times New Roman" w:eastAsia="宋体"/>
          <w:i w:val="0"/>
          <w:color w:val="0066CC"/>
          <w:sz w:val="22"/>
        </w:rPr>
        <w:t>https://doi.org/10.2307/1914185</w:t>
      </w:r>
    </w:p>
    <w:p w14:paraId="59177E3B">
      <w:pPr>
        <w:spacing w:after="60" w:line="360" w:lineRule="auto"/>
        <w:ind w:left="482" w:hanging="482"/>
      </w:pPr>
      <w:r>
        <w:rPr>
          <w:rFonts w:ascii="Times New Roman" w:hAnsi="Times New Roman" w:eastAsia="宋体"/>
          <w:i w:val="0"/>
          <w:sz w:val="22"/>
        </w:rPr>
        <w:t xml:space="preserve">[7] Chandon, P., Wansink, B., &amp; Laurent, G. (2000). A benefit congruency framework of sales promotion effectiveness. </w:t>
      </w:r>
      <w:r>
        <w:rPr>
          <w:rFonts w:ascii="Times New Roman" w:hAnsi="Times New Roman" w:eastAsia="宋体"/>
          <w:i/>
          <w:sz w:val="22"/>
        </w:rPr>
        <w:t xml:space="preserve">Journal of Marketing, 64(4), 65–81. </w:t>
      </w:r>
      <w:r>
        <w:rPr>
          <w:rFonts w:ascii="Times New Roman" w:hAnsi="Times New Roman" w:eastAsia="宋体"/>
          <w:i w:val="0"/>
          <w:color w:val="0066CC"/>
          <w:sz w:val="22"/>
        </w:rPr>
        <w:t>https://doi.org/10.1509/jmkg.64.4.65.18071</w:t>
      </w:r>
    </w:p>
    <w:p w14:paraId="0381DE3D">
      <w:pPr>
        <w:spacing w:after="60" w:line="360" w:lineRule="auto"/>
        <w:ind w:left="482" w:hanging="482"/>
      </w:pPr>
      <w:r>
        <w:rPr>
          <w:rFonts w:ascii="Times New Roman" w:hAnsi="Times New Roman" w:eastAsia="宋体"/>
          <w:i w:val="0"/>
          <w:sz w:val="22"/>
        </w:rPr>
        <w:t xml:space="preserve">[8] Dodds, W. B., Monroe, K. B., &amp; Grewal, D. (1991). Effects of price, brand, and store information on buyers' product evaluations. </w:t>
      </w:r>
      <w:r>
        <w:rPr>
          <w:rFonts w:ascii="Times New Roman" w:hAnsi="Times New Roman" w:eastAsia="宋体"/>
          <w:i/>
          <w:sz w:val="22"/>
        </w:rPr>
        <w:t xml:space="preserve">Journal of Marketing Research, 28(3), 307–319. </w:t>
      </w:r>
      <w:r>
        <w:rPr>
          <w:rFonts w:ascii="Times New Roman" w:hAnsi="Times New Roman" w:eastAsia="宋体"/>
          <w:i w:val="0"/>
          <w:color w:val="0066CC"/>
          <w:sz w:val="22"/>
        </w:rPr>
        <w:t>https://doi.org/10.1177/002224379102800305</w:t>
      </w:r>
    </w:p>
    <w:p w14:paraId="79461500">
      <w:pPr>
        <w:spacing w:after="60" w:line="360" w:lineRule="auto"/>
        <w:ind w:left="482" w:hanging="482"/>
      </w:pPr>
      <w:r>
        <w:rPr>
          <w:rFonts w:ascii="Times New Roman" w:hAnsi="Times New Roman" w:eastAsia="宋体"/>
          <w:i w:val="0"/>
          <w:sz w:val="22"/>
        </w:rPr>
        <w:t xml:space="preserve">[9] Inman, J. J., &amp; McAlister, L. (1994). Do coupon expiration dates affect consumer behavior? </w:t>
      </w:r>
      <w:r>
        <w:rPr>
          <w:rFonts w:ascii="Times New Roman" w:hAnsi="Times New Roman" w:eastAsia="宋体"/>
          <w:i/>
          <w:sz w:val="22"/>
        </w:rPr>
        <w:t xml:space="preserve">Journal of Marketing Research, 31(3), 423–428. </w:t>
      </w:r>
      <w:r>
        <w:rPr>
          <w:rFonts w:ascii="Times New Roman" w:hAnsi="Times New Roman" w:eastAsia="宋体"/>
          <w:i w:val="0"/>
          <w:color w:val="0066CC"/>
          <w:sz w:val="22"/>
        </w:rPr>
        <w:t>https://doi.org/10.1177/002224379403100310</w:t>
      </w:r>
    </w:p>
    <w:p w14:paraId="6B8D1668">
      <w:pPr>
        <w:spacing w:after="60" w:line="360" w:lineRule="auto"/>
        <w:ind w:left="482" w:hanging="482"/>
      </w:pPr>
      <w:r>
        <w:rPr>
          <w:rFonts w:ascii="Times New Roman" w:hAnsi="Times New Roman" w:eastAsia="宋体"/>
          <w:i w:val="0"/>
          <w:sz w:val="22"/>
        </w:rPr>
        <w:t xml:space="preserve">[10] Grewal, D., Monroe, K. B., &amp; Krishnan, R. (1998). The effects of price-comparison advertising on buyers' perceptions of acquisition value and transaction value. </w:t>
      </w:r>
      <w:r>
        <w:rPr>
          <w:rFonts w:ascii="Times New Roman" w:hAnsi="Times New Roman" w:eastAsia="宋体"/>
          <w:i/>
          <w:sz w:val="22"/>
        </w:rPr>
        <w:t xml:space="preserve">Journal of Marketing, 62(2), 46–59. </w:t>
      </w:r>
      <w:r>
        <w:rPr>
          <w:rFonts w:ascii="Times New Roman" w:hAnsi="Times New Roman" w:eastAsia="宋体"/>
          <w:i w:val="0"/>
          <w:color w:val="0066CC"/>
          <w:sz w:val="22"/>
        </w:rPr>
        <w:t>https://doi.org/10.1177/002224299806200204</w:t>
      </w:r>
    </w:p>
    <w:p w14:paraId="30F5C02B">
      <w:pPr>
        <w:spacing w:after="60" w:line="360" w:lineRule="auto"/>
        <w:ind w:left="482" w:hanging="482"/>
      </w:pPr>
      <w:r>
        <w:rPr>
          <w:rFonts w:ascii="宋体" w:hAnsi="宋体" w:eastAsia="宋体"/>
          <w:i w:val="0"/>
          <w:sz w:val="22"/>
        </w:rPr>
        <w:t>[11] 寿志钢, 廖紫凌, 张怡. (2022). 优惠券促销效果研究：基于元分析的综合检验. 珞珈管理评论, (3), 1–24.</w:t>
      </w:r>
    </w:p>
    <w:p w14:paraId="61432173">
      <w:pPr>
        <w:spacing w:after="60" w:line="360" w:lineRule="auto"/>
        <w:ind w:left="482" w:hanging="482"/>
      </w:pPr>
      <w:r>
        <w:rPr>
          <w:rFonts w:ascii="宋体" w:hAnsi="宋体" w:eastAsia="宋体"/>
          <w:i w:val="0"/>
          <w:sz w:val="22"/>
        </w:rPr>
        <w:t>[12] 刘芬, 赵学锋, 张金隆, 汤庆. (2016). 移动优惠券的消费者使用意愿研究：基于个人特征和动机的视角. 管理评论, 28(2), 93–102.</w:t>
      </w:r>
    </w:p>
    <w:p w14:paraId="3402E7CA">
      <w:pPr>
        <w:spacing w:after="60" w:line="360" w:lineRule="auto"/>
        <w:ind w:left="482" w:hanging="482"/>
      </w:pPr>
      <w:r>
        <w:rPr>
          <w:rFonts w:ascii="宋体" w:hAnsi="宋体" w:eastAsia="宋体"/>
          <w:i w:val="0"/>
          <w:sz w:val="22"/>
        </w:rPr>
        <w:t>[13] 崔楠, 王长征, 崔丙群. (2019). 优惠力度越大，消费者越愿意兑换优惠券吗——一项元分析的检验. 营销科学学报, 15(2), 54–75.</w:t>
      </w:r>
    </w:p>
    <w:p w14:paraId="1D2ED258">
      <w:pPr>
        <w:spacing w:after="60" w:line="360" w:lineRule="auto"/>
        <w:ind w:left="482" w:hanging="482"/>
      </w:pPr>
      <w:r>
        <w:rPr>
          <w:rFonts w:ascii="Times New Roman" w:hAnsi="Times New Roman" w:eastAsia="宋体"/>
          <w:i w:val="0"/>
          <w:sz w:val="22"/>
        </w:rPr>
        <w:t xml:space="preserve">[14] Nayal, P., &amp; Pandey, N. (2020). Digital coupon redemption: Conceptualization, scale development and validation. </w:t>
      </w:r>
      <w:r>
        <w:rPr>
          <w:rFonts w:ascii="Times New Roman" w:hAnsi="Times New Roman" w:eastAsia="宋体"/>
          <w:i/>
          <w:sz w:val="22"/>
        </w:rPr>
        <w:t xml:space="preserve">Australasian Journal of Information Systems, 24, 1–21. </w:t>
      </w:r>
      <w:r>
        <w:rPr>
          <w:rFonts w:ascii="Times New Roman" w:hAnsi="Times New Roman" w:eastAsia="宋体"/>
          <w:i w:val="0"/>
          <w:color w:val="0066CC"/>
          <w:sz w:val="22"/>
        </w:rPr>
        <w:t>https://doi.org/10.3127/ajis.v24i0.2469</w:t>
      </w:r>
    </w:p>
    <w:p w14:paraId="2F213FDC">
      <w:pPr>
        <w:spacing w:after="60" w:line="360" w:lineRule="auto"/>
        <w:ind w:left="482" w:hanging="482"/>
      </w:pPr>
      <w:r>
        <w:rPr>
          <w:rFonts w:ascii="Times New Roman" w:hAnsi="Times New Roman" w:eastAsia="宋体"/>
          <w:i w:val="0"/>
          <w:sz w:val="22"/>
        </w:rPr>
        <w:t xml:space="preserve">[15] Nayal, P., &amp; Pandey, N. (2021). Examining m-coupon redemption intention among consumers: A moderated moderated-mediation and conditional model. </w:t>
      </w:r>
      <w:r>
        <w:rPr>
          <w:rFonts w:ascii="Times New Roman" w:hAnsi="Times New Roman" w:eastAsia="宋体"/>
          <w:i/>
          <w:sz w:val="22"/>
        </w:rPr>
        <w:t xml:space="preserve">International Journal of Information Management, 57, 102272. </w:t>
      </w:r>
      <w:r>
        <w:rPr>
          <w:rFonts w:ascii="Times New Roman" w:hAnsi="Times New Roman" w:eastAsia="宋体"/>
          <w:i w:val="0"/>
          <w:color w:val="0066CC"/>
          <w:sz w:val="22"/>
        </w:rPr>
        <w:t>https://doi.org/10.1016/j.ijinfomgt.2020.102272</w:t>
      </w:r>
    </w:p>
    <w:p w14:paraId="79924245">
      <w:pPr>
        <w:spacing w:after="60" w:line="360" w:lineRule="auto"/>
        <w:ind w:left="482" w:hanging="482"/>
      </w:pPr>
      <w:r>
        <w:rPr>
          <w:rFonts w:ascii="Times New Roman" w:hAnsi="Times New Roman" w:eastAsia="宋体"/>
          <w:i w:val="0"/>
          <w:sz w:val="22"/>
        </w:rPr>
        <w:t xml:space="preserve">[16] Prelec, D., &amp; Loewenstein, G. (1998). The red and the black: Mental accounting of savings and debt. </w:t>
      </w:r>
      <w:r>
        <w:rPr>
          <w:rFonts w:ascii="Times New Roman" w:hAnsi="Times New Roman" w:eastAsia="宋体"/>
          <w:i/>
          <w:sz w:val="22"/>
        </w:rPr>
        <w:t xml:space="preserve">Marketing Science, 17(1), 4–28. </w:t>
      </w:r>
      <w:r>
        <w:rPr>
          <w:rFonts w:ascii="Times New Roman" w:hAnsi="Times New Roman" w:eastAsia="宋体"/>
          <w:i w:val="0"/>
          <w:color w:val="0066CC"/>
          <w:sz w:val="22"/>
        </w:rPr>
        <w:t>https://doi.org/10.1287/mksc.17.1.4</w:t>
      </w:r>
    </w:p>
    <w:p w14:paraId="6EA3028B">
      <w:pPr>
        <w:spacing w:after="60" w:line="360" w:lineRule="auto"/>
        <w:ind w:left="482" w:hanging="482"/>
      </w:pPr>
      <w:r>
        <w:rPr>
          <w:rFonts w:ascii="Times New Roman" w:hAnsi="Times New Roman" w:eastAsia="宋体"/>
          <w:i w:val="0"/>
          <w:sz w:val="22"/>
        </w:rPr>
        <w:t xml:space="preserve">[17] Sweeney, J. C., &amp; Soutar, G. N. (2001). Consumer perceived value: The development of a multiple item scale. </w:t>
      </w:r>
      <w:r>
        <w:rPr>
          <w:rFonts w:ascii="Times New Roman" w:hAnsi="Times New Roman" w:eastAsia="宋体"/>
          <w:i/>
          <w:sz w:val="22"/>
        </w:rPr>
        <w:t xml:space="preserve">Journal of Retailing, 77(2), 203–220. </w:t>
      </w:r>
      <w:r>
        <w:rPr>
          <w:rFonts w:ascii="Times New Roman" w:hAnsi="Times New Roman" w:eastAsia="宋体"/>
          <w:i w:val="0"/>
          <w:color w:val="0066CC"/>
          <w:sz w:val="22"/>
        </w:rPr>
        <w:t>https://doi.org/10.1016/S0022-4359(01)00041-0</w:t>
      </w:r>
    </w:p>
    <w:p w14:paraId="5B639392">
      <w:pPr>
        <w:spacing w:after="60" w:line="360" w:lineRule="auto"/>
        <w:ind w:left="482" w:hanging="482"/>
      </w:pPr>
      <w:r>
        <w:rPr>
          <w:rFonts w:ascii="Times New Roman" w:hAnsi="Times New Roman" w:eastAsia="宋体"/>
          <w:i w:val="0"/>
          <w:sz w:val="22"/>
        </w:rPr>
        <w:t xml:space="preserve">[18] Jiao, X. (2025). The spillover effect of prepaid coupon purchase on complementary product purchase intention. </w:t>
      </w:r>
      <w:r>
        <w:rPr>
          <w:rFonts w:ascii="Times New Roman" w:hAnsi="Times New Roman" w:eastAsia="宋体"/>
          <w:i/>
          <w:sz w:val="22"/>
        </w:rPr>
        <w:t xml:space="preserve">Current Psychology, 44, 246–262. </w:t>
      </w:r>
      <w:r>
        <w:rPr>
          <w:rFonts w:ascii="Times New Roman" w:hAnsi="Times New Roman" w:eastAsia="宋体"/>
          <w:i w:val="0"/>
          <w:color w:val="0066CC"/>
          <w:sz w:val="22"/>
        </w:rPr>
        <w:t>https://doi.org/10.1007/s12144-024-07158-z</w:t>
      </w:r>
    </w:p>
    <w:p w14:paraId="54110004">
      <w:pPr>
        <w:spacing w:after="60" w:line="360" w:lineRule="auto"/>
        <w:ind w:left="482" w:hanging="482"/>
      </w:pPr>
      <w:r>
        <w:rPr>
          <w:rFonts w:ascii="Times New Roman" w:hAnsi="Times New Roman" w:eastAsia="宋体"/>
          <w:i w:val="0"/>
          <w:sz w:val="22"/>
        </w:rPr>
        <w:t xml:space="preserve">[19] Zhang, H., Yu, Y., &amp; Qin, Y. (2023). The effects of constrained mobile coupons in the mobile channel. </w:t>
      </w:r>
      <w:r>
        <w:rPr>
          <w:rFonts w:ascii="Times New Roman" w:hAnsi="Times New Roman" w:eastAsia="宋体"/>
          <w:i/>
          <w:sz w:val="22"/>
        </w:rPr>
        <w:t xml:space="preserve">Journal of Retailing and Consumer Services, 75, 103542. </w:t>
      </w:r>
      <w:r>
        <w:rPr>
          <w:rFonts w:ascii="Times New Roman" w:hAnsi="Times New Roman" w:eastAsia="宋体"/>
          <w:i w:val="0"/>
          <w:color w:val="0066CC"/>
          <w:sz w:val="22"/>
        </w:rPr>
        <w:t>https://doi.org/10.1016/j.jretconser.2023.103542</w:t>
      </w:r>
    </w:p>
    <w:p w14:paraId="09F3DE2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DD78B"/>
    <w:multiLevelType w:val="singleLevel"/>
    <w:tmpl w:val="96FDD78B"/>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drawingGridHorizontalSpacing w:val="126"/>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F71D28"/>
    <w:rsid w:val="57BFDF0F"/>
    <w:rsid w:val="697F5C0C"/>
    <w:rsid w:val="7F7190E0"/>
    <w:rsid w:val="BD5B3AB6"/>
    <w:rsid w:val="BFF72DCC"/>
    <w:rsid w:val="DF1A22C1"/>
    <w:rsid w:val="FFDF21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Crescent</cp:lastModifiedBy>
  <dcterms:modified xsi:type="dcterms:W3CDTF">2026-05-22T10:44:30Z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B5CDDBF7EF622A3EC8380F6A1D086BC5_43</vt:lpwstr>
  </property>
</Properties>
</file>