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17365D"/>
          <w:sz w:val="44"/>
        </w:rPr>
        <w:t>BÁO CÁO PHÂN TÍCH VÀ DỰ BÁO</w:t>
        <w:br/>
        <w:t>ĐIỆN NĂNG TIÊU THỤ HỘ GIA ĐÌNH</w:t>
      </w:r>
    </w:p>
    <w:p>
      <w:pPr>
        <w:jc w:val="center"/>
      </w:pPr>
      <w:r>
        <w:rPr>
          <w:i/>
          <w:sz w:val="24"/>
        </w:rPr>
        <w:t>So sánh Seasonal Naive, SARIMA, XGBoost, LSTM và mô hình Hybrid Residual</w:t>
      </w:r>
    </w:p>
    <w:p/>
    <w:p>
      <w:pPr>
        <w:jc w:val="center"/>
      </w:pPr>
      <w:r>
        <w:rPr>
          <w:sz w:val="21"/>
        </w:rPr>
        <w:t>Dữ liệu: Household Power Consumption | Tần suất gốc: 1 phút | Benchmark: 15 phút</w:t>
      </w:r>
    </w:p>
    <w:p>
      <w:pPr>
        <w:jc w:val="center"/>
      </w:pPr>
      <w:r>
        <w:rPr>
          <w:sz w:val="21"/>
        </w:rPr>
        <w:t>Phiên bản báo cáo: 09/2026</w:t>
      </w:r>
    </w:p>
    <w:p>
      <w:r>
        <w:br w:type="page"/>
      </w:r>
    </w:p>
    <w:p>
      <w:pPr>
        <w:pStyle w:val="Heading1"/>
      </w:pPr>
      <w:r>
        <w:t>1. Tóm tắt</w:t>
      </w:r>
    </w:p>
    <w:p>
      <w:r>
        <w:rPr>
          <w:b/>
        </w:rPr>
        <w:t xml:space="preserve">Mục tiêu. </w:t>
      </w:r>
      <w:r>
        <w:t>Xây dựng quy trình xử lý dữ liệu chuỗi thời gian điện năng, tạo đặc trưng, huấn luyện nhiều mô hình dự báo và đánh giá khả năng kết hợp XGBoost với LSTM để cải thiện sai số dự báo.</w:t>
      </w:r>
    </w:p>
    <w:p>
      <w:pPr>
        <w:pStyle w:val="ListBullet"/>
        <w:spacing w:after="40"/>
      </w:pPr>
      <w:r>
        <w:t>Dữ liệu gốc gồm 260.640 quan sát theo phút, tương đương 181 ngày liên tục.</w:t>
      </w:r>
    </w:p>
    <w:p>
      <w:pPr>
        <w:pStyle w:val="ListBullet"/>
        <w:spacing w:after="40"/>
      </w:pPr>
      <w:r>
        <w:t>Phát hiện 13 khoảng missing; khoảng dài nhất là 3.723 phút (~62,05 giờ).</w:t>
      </w:r>
    </w:p>
    <w:p>
      <w:pPr>
        <w:pStyle w:val="ListBullet"/>
        <w:spacing w:after="40"/>
      </w:pPr>
      <w:r>
        <w:t>Dữ liệu được bổ sung date/datetime, xử lý missing theo độ dài gap và resample về 15 phút để benchmark các mô hình trên cùng một mặt bằng.</w:t>
      </w:r>
    </w:p>
    <w:p>
      <w:pPr>
        <w:pStyle w:val="ListBullet"/>
        <w:spacing w:after="40"/>
      </w:pPr>
      <w:r>
        <w:t>Kết quả tốt nhất trong thí nghiệm hiện tại là XGBoost + Residual LSTM: MAE 0,1426; RMSE 0,2391; sMAPE 20,37%; WAPE 17,59%.</w:t>
      </w:r>
    </w:p>
    <w:p>
      <w:pPr>
        <w:pStyle w:val="ListBullet"/>
        <w:spacing w:after="40"/>
      </w:pPr>
      <w:r>
        <w:t>Residual Hybrid giảm MAE khoảng 8,8% so với XGBoost đơn (0,1564 → 0,1426).</w:t>
      </w:r>
    </w:p>
    <w:p>
      <w:pPr>
        <w:pStyle w:val="ListBullet"/>
        <w:spacing w:after="40"/>
      </w:pPr>
      <w:r>
        <w:t>Cần lưu ý benchmark XGBoost exploratory có dùng một số biến điện tại cùng timestamp; trong triển khai dự báo thực sự nên bật chế độ strict forecast để loại các biến chưa biết trước.</w:t>
      </w:r>
    </w:p>
    <w:p>
      <w:pPr>
        <w:pStyle w:val="Heading1"/>
      </w:pPr>
      <w:r>
        <w:t>2. Dữ liệu và chất lượng dữ liệu</w:t>
      </w:r>
    </w:p>
    <w:p>
      <w:r>
        <w:t>Bộ dữ liệu chứa các biến đo điện theo phút. Các trường chính được sử dụng trong nghiên cứu gồm:</w:t>
      </w:r>
    </w:p>
    <w:tbl>
      <w:tblPr>
        <w:tblStyle w:val="TableGrid"/>
        <w:tblW w:type="auto" w:w="0"/>
        <w:jc w:val="center"/>
        <w:tblLook w:firstColumn="1" w:firstRow="1" w:lastColumn="0" w:lastRow="0" w:noHBand="0" w:noVBand="1" w:val="04A0"/>
      </w:tblPr>
      <w:tblGrid>
        <w:gridCol w:w="4986"/>
        <w:gridCol w:w="4986"/>
      </w:tblGrid>
      <w:tr>
        <w:tc>
          <w:tcPr>
            <w:tcW w:type="dxa" w:w="2835"/>
            <w:vAlign w:val="center"/>
            <w:shd w:fill="D9EAF7"/>
          </w:tcPr>
          <w:p>
            <w:r/>
            <w:r>
              <w:rPr>
                <w:b/>
                <w:sz w:val="18"/>
              </w:rPr>
              <w:t>Biến</w:t>
            </w:r>
          </w:p>
        </w:tc>
        <w:tc>
          <w:tcPr>
            <w:tcW w:type="dxa" w:w="6236"/>
            <w:vAlign w:val="center"/>
            <w:shd w:fill="D9EAF7"/>
          </w:tcPr>
          <w:p>
            <w:r/>
            <w:r>
              <w:rPr>
                <w:b/>
                <w:sz w:val="18"/>
              </w:rPr>
              <w:t>Vai trò/ý nghĩa</w:t>
            </w:r>
          </w:p>
        </w:tc>
      </w:tr>
      <w:tr>
        <w:tc>
          <w:tcPr>
            <w:tcW w:type="dxa" w:w="2835"/>
            <w:vAlign w:val="center"/>
          </w:tcPr>
          <w:p>
            <w:r/>
            <w:r>
              <w:rPr>
                <w:b w:val="0"/>
                <w:sz w:val="17"/>
              </w:rPr>
              <w:t>global_active_power</w:t>
            </w:r>
          </w:p>
        </w:tc>
        <w:tc>
          <w:tcPr>
            <w:tcW w:type="dxa" w:w="6236"/>
            <w:vAlign w:val="center"/>
          </w:tcPr>
          <w:p>
            <w:r/>
            <w:r>
              <w:rPr>
                <w:b w:val="0"/>
                <w:sz w:val="17"/>
              </w:rPr>
              <w:t>Biến mục tiêu chính - công suất tác dụng toàn hộ</w:t>
            </w:r>
          </w:p>
        </w:tc>
      </w:tr>
      <w:tr>
        <w:tc>
          <w:tcPr>
            <w:tcW w:type="dxa" w:w="2835"/>
            <w:vAlign w:val="center"/>
          </w:tcPr>
          <w:p>
            <w:r/>
            <w:r>
              <w:rPr>
                <w:b w:val="0"/>
                <w:sz w:val="17"/>
              </w:rPr>
              <w:t>global_reactive_power</w:t>
            </w:r>
          </w:p>
        </w:tc>
        <w:tc>
          <w:tcPr>
            <w:tcW w:type="dxa" w:w="6236"/>
            <w:vAlign w:val="center"/>
          </w:tcPr>
          <w:p>
            <w:r/>
            <w:r>
              <w:rPr>
                <w:b w:val="0"/>
                <w:sz w:val="17"/>
              </w:rPr>
              <w:t>Công suất phản kháng</w:t>
            </w:r>
          </w:p>
        </w:tc>
      </w:tr>
      <w:tr>
        <w:tc>
          <w:tcPr>
            <w:tcW w:type="dxa" w:w="2835"/>
            <w:vAlign w:val="center"/>
          </w:tcPr>
          <w:p>
            <w:r/>
            <w:r>
              <w:rPr>
                <w:b w:val="0"/>
                <w:sz w:val="17"/>
              </w:rPr>
              <w:t>voltage</w:t>
            </w:r>
          </w:p>
        </w:tc>
        <w:tc>
          <w:tcPr>
            <w:tcW w:type="dxa" w:w="6236"/>
            <w:vAlign w:val="center"/>
          </w:tcPr>
          <w:p>
            <w:r/>
            <w:r>
              <w:rPr>
                <w:b w:val="0"/>
                <w:sz w:val="17"/>
              </w:rPr>
              <w:t>Điện áp</w:t>
            </w:r>
          </w:p>
        </w:tc>
      </w:tr>
      <w:tr>
        <w:tc>
          <w:tcPr>
            <w:tcW w:type="dxa" w:w="2835"/>
            <w:vAlign w:val="center"/>
          </w:tcPr>
          <w:p>
            <w:r/>
            <w:r>
              <w:rPr>
                <w:b w:val="0"/>
                <w:sz w:val="17"/>
              </w:rPr>
              <w:t>global_intensity</w:t>
            </w:r>
          </w:p>
        </w:tc>
        <w:tc>
          <w:tcPr>
            <w:tcW w:type="dxa" w:w="6236"/>
            <w:vAlign w:val="center"/>
          </w:tcPr>
          <w:p>
            <w:r/>
            <w:r>
              <w:rPr>
                <w:b w:val="0"/>
                <w:sz w:val="17"/>
              </w:rPr>
              <w:t>Cường độ dòng điện</w:t>
            </w:r>
          </w:p>
        </w:tc>
      </w:tr>
      <w:tr>
        <w:tc>
          <w:tcPr>
            <w:tcW w:type="dxa" w:w="2835"/>
            <w:vAlign w:val="center"/>
          </w:tcPr>
          <w:p>
            <w:r/>
            <w:r>
              <w:rPr>
                <w:b w:val="0"/>
                <w:sz w:val="17"/>
              </w:rPr>
              <w:t>sub_metering_1/2/3</w:t>
            </w:r>
          </w:p>
        </w:tc>
        <w:tc>
          <w:tcPr>
            <w:tcW w:type="dxa" w:w="6236"/>
            <w:vAlign w:val="center"/>
          </w:tcPr>
          <w:p>
            <w:r/>
            <w:r>
              <w:rPr>
                <w:b w:val="0"/>
                <w:sz w:val="17"/>
              </w:rPr>
              <w:t>Các nhánh đo tiêu thụ điện</w:t>
            </w:r>
          </w:p>
        </w:tc>
      </w:tr>
      <w:tr>
        <w:tc>
          <w:tcPr>
            <w:tcW w:type="dxa" w:w="2835"/>
            <w:vAlign w:val="center"/>
          </w:tcPr>
          <w:p>
            <w:r/>
            <w:r>
              <w:rPr>
                <w:b w:val="0"/>
                <w:sz w:val="17"/>
              </w:rPr>
              <w:t>time</w:t>
            </w:r>
          </w:p>
        </w:tc>
        <w:tc>
          <w:tcPr>
            <w:tcW w:type="dxa" w:w="6236"/>
            <w:vAlign w:val="center"/>
          </w:tcPr>
          <w:p>
            <w:r/>
            <w:r>
              <w:rPr>
                <w:b w:val="0"/>
                <w:sz w:val="17"/>
              </w:rPr>
              <w:t>Thời gian trong ngày; date/datetime được phục hồi từ thứ tự chuỗi</w:t>
            </w:r>
          </w:p>
        </w:tc>
      </w:tr>
    </w:tbl>
    <w:p>
      <w:pPr>
        <w:pStyle w:val="Heading2"/>
      </w:pPr>
      <w:r>
        <w:t>2.1. Bổ sung ngày và trục thời gian</w:t>
      </w:r>
    </w:p>
    <w:p>
      <w:r>
        <w:t>File ban đầu chỉ chứa time nhưng có đúng 1.440 quan sát/ngày và chuỗi thời gian chạy liên tục. Ngày bắt đầu được thiết lập là 01/01/2007, từ đó tạo datetime với bước 1 phút cho toàn bộ 260.640 dòng.</w:t>
      </w:r>
    </w:p>
    <w:p>
      <w:pPr>
        <w:pStyle w:val="Heading2"/>
      </w:pPr>
      <w:r>
        <w:t>2.2. Chiến lược xử lý missing</w:t>
      </w:r>
    </w:p>
    <w:tbl>
      <w:tblPr>
        <w:tblStyle w:val="TableGrid"/>
        <w:tblW w:type="auto" w:w="0"/>
        <w:jc w:val="center"/>
        <w:tblLook w:firstColumn="1" w:firstRow="1" w:lastColumn="0" w:lastRow="0" w:noHBand="0" w:noVBand="1" w:val="04A0"/>
      </w:tblPr>
      <w:tblGrid>
        <w:gridCol w:w="4986"/>
        <w:gridCol w:w="4986"/>
      </w:tblGrid>
      <w:tr>
        <w:tc>
          <w:tcPr>
            <w:tcW w:type="dxa" w:w="2268"/>
            <w:vAlign w:val="center"/>
            <w:shd w:fill="D9EAF7"/>
          </w:tcPr>
          <w:p>
            <w:r/>
            <w:r>
              <w:rPr>
                <w:b/>
                <w:sz w:val="18"/>
              </w:rPr>
              <w:t>Độ dài gap</w:t>
            </w:r>
          </w:p>
        </w:tc>
        <w:tc>
          <w:tcPr>
            <w:tcW w:type="dxa" w:w="6803"/>
            <w:vAlign w:val="center"/>
            <w:shd w:fill="D9EAF7"/>
          </w:tcPr>
          <w:p>
            <w:r/>
            <w:r>
              <w:rPr>
                <w:b/>
                <w:sz w:val="18"/>
              </w:rPr>
              <w:t>Phương pháp</w:t>
            </w:r>
          </w:p>
        </w:tc>
      </w:tr>
      <w:tr>
        <w:tc>
          <w:tcPr>
            <w:tcW w:type="dxa" w:w="2268"/>
            <w:vAlign w:val="center"/>
          </w:tcPr>
          <w:p>
            <w:r/>
            <w:r>
              <w:rPr>
                <w:b w:val="0"/>
                <w:sz w:val="17"/>
              </w:rPr>
              <w:t>≤ 5 phút</w:t>
            </w:r>
          </w:p>
        </w:tc>
        <w:tc>
          <w:tcPr>
            <w:tcW w:type="dxa" w:w="6803"/>
            <w:vAlign w:val="center"/>
          </w:tcPr>
          <w:p>
            <w:r/>
            <w:r>
              <w:rPr>
                <w:b w:val="0"/>
                <w:sz w:val="17"/>
              </w:rPr>
              <w:t>Linear interpolation</w:t>
            </w:r>
          </w:p>
        </w:tc>
      </w:tr>
      <w:tr>
        <w:tc>
          <w:tcPr>
            <w:tcW w:type="dxa" w:w="2268"/>
            <w:vAlign w:val="center"/>
          </w:tcPr>
          <w:p>
            <w:r/>
            <w:r>
              <w:rPr>
                <w:b w:val="0"/>
                <w:sz w:val="17"/>
              </w:rPr>
              <w:t>6-60 phút</w:t>
            </w:r>
          </w:p>
        </w:tc>
        <w:tc>
          <w:tcPr>
            <w:tcW w:type="dxa" w:w="6803"/>
            <w:vAlign w:val="center"/>
          </w:tcPr>
          <w:p>
            <w:r/>
            <w:r>
              <w:rPr>
                <w:b w:val="0"/>
                <w:sz w:val="17"/>
              </w:rPr>
              <w:t>Linear interpolation; local median làm fallback nếu thiếu biên</w:t>
            </w:r>
          </w:p>
        </w:tc>
      </w:tr>
      <w:tr>
        <w:tc>
          <w:tcPr>
            <w:tcW w:type="dxa" w:w="2268"/>
            <w:vAlign w:val="center"/>
          </w:tcPr>
          <w:p>
            <w:r/>
            <w:r>
              <w:rPr>
                <w:b w:val="0"/>
                <w:sz w:val="17"/>
              </w:rPr>
              <w:t>&gt; 60 phút</w:t>
            </w:r>
          </w:p>
        </w:tc>
        <w:tc>
          <w:tcPr>
            <w:tcW w:type="dxa" w:w="6803"/>
            <w:vAlign w:val="center"/>
          </w:tcPr>
          <w:p>
            <w:r/>
            <w:r>
              <w:rPr>
                <w:b w:val="0"/>
                <w:sz w:val="17"/>
              </w:rPr>
              <w:t>Seasonal median tại cùng minute_of_day, ưu tiên ±7 ngày, mở rộng ±14 ngày</w:t>
            </w:r>
          </w:p>
        </w:tc>
      </w:tr>
    </w:tbl>
    <w:p>
      <w:r>
        <w:t>Sau xử lý, không còn giá trị numeric bị missing. Cách tiếp cận này tránh dùng nội suy tuyến tính cho các khoảng thiếu nhiều ngày, vốn có thể làm mất pattern chu kỳ ngày.</w:t>
      </w:r>
    </w:p>
    <w:p>
      <w:pPr>
        <w:pStyle w:val="Heading1"/>
      </w:pPr>
      <w:r>
        <w:t>3. Khai phá và đặc trưng chuỗi thời gian</w:t>
      </w:r>
    </w:p>
    <w:p>
      <w:r>
        <w:t>Phân tích ban đầu cho thấy mức tiêu thụ điện có chu kỳ trong ngày rõ rệt: thấp vào rạng sáng, tăng mạnh buổi sáng và đạt đỉnh vào buổi tối. Tương quan của global_active_power với global_intensity xấp xỉ 0,999, cho thấy hai biến gần như mang cùng thông tin về tải điện.</w:t>
      </w:r>
    </w:p>
    <w:tbl>
      <w:tblPr>
        <w:tblStyle w:val="TableGrid"/>
        <w:tblW w:type="auto" w:w="0"/>
        <w:jc w:val="center"/>
        <w:tblLook w:firstColumn="1" w:firstRow="1" w:lastColumn="0" w:lastRow="0" w:noHBand="0" w:noVBand="1" w:val="04A0"/>
      </w:tblPr>
      <w:tblGrid>
        <w:gridCol w:w="3324"/>
        <w:gridCol w:w="3324"/>
        <w:gridCol w:w="3324"/>
      </w:tblGrid>
      <w:tr>
        <w:tc>
          <w:tcPr>
            <w:tcW w:type="dxa" w:w="1701"/>
            <w:vAlign w:val="center"/>
            <w:shd w:fill="D9EAF7"/>
          </w:tcPr>
          <w:p>
            <w:r/>
            <w:r>
              <w:rPr>
                <w:b/>
                <w:sz w:val="18"/>
              </w:rPr>
              <w:t>Lag</w:t>
            </w:r>
          </w:p>
        </w:tc>
        <w:tc>
          <w:tcPr>
            <w:tcW w:type="dxa" w:w="3969"/>
            <w:vAlign w:val="center"/>
            <w:shd w:fill="D9EAF7"/>
          </w:tcPr>
          <w:p>
            <w:r/>
            <w:r>
              <w:rPr>
                <w:b/>
                <w:sz w:val="18"/>
              </w:rPr>
              <w:t>Diễn giải</w:t>
            </w:r>
          </w:p>
        </w:tc>
        <w:tc>
          <w:tcPr>
            <w:tcW w:type="dxa" w:w="2835"/>
            <w:vAlign w:val="center"/>
            <w:shd w:fill="D9EAF7"/>
          </w:tcPr>
          <w:p>
            <w:r/>
            <w:r>
              <w:rPr>
                <w:b/>
                <w:sz w:val="18"/>
              </w:rPr>
              <w:t>Autocorrelation xấp xỉ</w:t>
            </w:r>
          </w:p>
        </w:tc>
      </w:tr>
      <w:tr>
        <w:tc>
          <w:tcPr>
            <w:tcW w:type="dxa" w:w="1701"/>
            <w:vAlign w:val="center"/>
          </w:tcPr>
          <w:p>
            <w:r/>
            <w:r>
              <w:rPr>
                <w:b w:val="0"/>
                <w:sz w:val="17"/>
              </w:rPr>
              <w:t>1 phút</w:t>
            </w:r>
          </w:p>
        </w:tc>
        <w:tc>
          <w:tcPr>
            <w:tcW w:type="dxa" w:w="3969"/>
            <w:vAlign w:val="center"/>
          </w:tcPr>
          <w:p>
            <w:r/>
            <w:r>
              <w:rPr>
                <w:b w:val="0"/>
                <w:sz w:val="17"/>
              </w:rPr>
              <w:t>Liền trước</w:t>
            </w:r>
          </w:p>
        </w:tc>
        <w:tc>
          <w:tcPr>
            <w:tcW w:type="dxa" w:w="2835"/>
            <w:vAlign w:val="center"/>
          </w:tcPr>
          <w:p>
            <w:r/>
            <w:r>
              <w:rPr>
                <w:b w:val="0"/>
                <w:sz w:val="17"/>
              </w:rPr>
              <w:t>0,964</w:t>
            </w:r>
          </w:p>
        </w:tc>
      </w:tr>
      <w:tr>
        <w:tc>
          <w:tcPr>
            <w:tcW w:type="dxa" w:w="1701"/>
            <w:vAlign w:val="center"/>
          </w:tcPr>
          <w:p>
            <w:r/>
            <w:r>
              <w:rPr>
                <w:b w:val="0"/>
                <w:sz w:val="17"/>
              </w:rPr>
              <w:t>60 phút</w:t>
            </w:r>
          </w:p>
        </w:tc>
        <w:tc>
          <w:tcPr>
            <w:tcW w:type="dxa" w:w="3969"/>
            <w:vAlign w:val="center"/>
          </w:tcPr>
          <w:p>
            <w:r/>
            <w:r>
              <w:rPr>
                <w:b w:val="0"/>
                <w:sz w:val="17"/>
              </w:rPr>
              <w:t>1 giờ trước</w:t>
            </w:r>
          </w:p>
        </w:tc>
        <w:tc>
          <w:tcPr>
            <w:tcW w:type="dxa" w:w="2835"/>
            <w:vAlign w:val="center"/>
          </w:tcPr>
          <w:p>
            <w:r/>
            <w:r>
              <w:rPr>
                <w:b w:val="0"/>
                <w:sz w:val="17"/>
              </w:rPr>
              <w:t>0,524</w:t>
            </w:r>
          </w:p>
        </w:tc>
      </w:tr>
      <w:tr>
        <w:tc>
          <w:tcPr>
            <w:tcW w:type="dxa" w:w="1701"/>
            <w:vAlign w:val="center"/>
          </w:tcPr>
          <w:p>
            <w:r/>
            <w:r>
              <w:rPr>
                <w:b w:val="0"/>
                <w:sz w:val="17"/>
              </w:rPr>
              <w:t>1 ngày</w:t>
            </w:r>
          </w:p>
        </w:tc>
        <w:tc>
          <w:tcPr>
            <w:tcW w:type="dxa" w:w="3969"/>
            <w:vAlign w:val="center"/>
          </w:tcPr>
          <w:p>
            <w:r/>
            <w:r>
              <w:rPr>
                <w:b w:val="0"/>
                <w:sz w:val="17"/>
              </w:rPr>
              <w:t>Cùng thời điểm hôm trước</w:t>
            </w:r>
          </w:p>
        </w:tc>
        <w:tc>
          <w:tcPr>
            <w:tcW w:type="dxa" w:w="2835"/>
            <w:vAlign w:val="center"/>
          </w:tcPr>
          <w:p>
            <w:r/>
            <w:r>
              <w:rPr>
                <w:b w:val="0"/>
                <w:sz w:val="17"/>
              </w:rPr>
              <w:t>0,314</w:t>
            </w:r>
          </w:p>
        </w:tc>
      </w:tr>
      <w:tr>
        <w:tc>
          <w:tcPr>
            <w:tcW w:type="dxa" w:w="1701"/>
            <w:vAlign w:val="center"/>
          </w:tcPr>
          <w:p>
            <w:r/>
            <w:r>
              <w:rPr>
                <w:b w:val="0"/>
                <w:sz w:val="17"/>
              </w:rPr>
              <w:t>7 ngày</w:t>
            </w:r>
          </w:p>
        </w:tc>
        <w:tc>
          <w:tcPr>
            <w:tcW w:type="dxa" w:w="3969"/>
            <w:vAlign w:val="center"/>
          </w:tcPr>
          <w:p>
            <w:r/>
            <w:r>
              <w:rPr>
                <w:b w:val="0"/>
                <w:sz w:val="17"/>
              </w:rPr>
              <w:t>Cùng thời điểm tuần trước</w:t>
            </w:r>
          </w:p>
        </w:tc>
        <w:tc>
          <w:tcPr>
            <w:tcW w:type="dxa" w:w="2835"/>
            <w:vAlign w:val="center"/>
          </w:tcPr>
          <w:p>
            <w:r/>
            <w:r>
              <w:rPr>
                <w:b w:val="0"/>
                <w:sz w:val="17"/>
              </w:rPr>
              <w:t>0,317</w:t>
            </w:r>
          </w:p>
        </w:tc>
      </w:tr>
    </w:tbl>
    <w:p>
      <w:pPr>
        <w:pStyle w:val="Heading2"/>
      </w:pPr>
      <w:r>
        <w:t>3.1. Feature engineering</w:t>
      </w:r>
    </w:p>
    <w:p>
      <w:pPr>
        <w:pStyle w:val="ListBullet"/>
        <w:spacing w:after="40"/>
      </w:pPr>
      <w:r>
        <w:t>Time features: hour, day_of_week, month, is_weekend.</w:t>
      </w:r>
    </w:p>
    <w:p>
      <w:pPr>
        <w:pStyle w:val="ListBullet"/>
        <w:spacing w:after="40"/>
      </w:pPr>
      <w:r>
        <w:t>Cyclical encoding: hour_sin/cos, dow_sin/cos.</w:t>
      </w:r>
    </w:p>
    <w:p>
      <w:pPr>
        <w:pStyle w:val="ListBullet"/>
        <w:spacing w:after="40"/>
      </w:pPr>
      <w:r>
        <w:t>Lag: 15 phút, 1 giờ, 24 giờ, 48 giờ và 7 ngày trên dữ liệu 15 phút.</w:t>
      </w:r>
    </w:p>
    <w:p>
      <w:pPr>
        <w:pStyle w:val="ListBullet"/>
        <w:spacing w:after="40"/>
      </w:pPr>
      <w:r>
        <w:t>Rolling mean/std: cửa sổ 1 giờ, 3 giờ và 24 giờ; luôn shift(1) trước rolling để tránh leakage.</w:t>
      </w:r>
    </w:p>
    <w:p>
      <w:pPr>
        <w:pStyle w:val="ListBullet"/>
        <w:spacing w:after="40"/>
      </w:pPr>
      <w:r>
        <w:t>Chia dữ liệu theo thời gian 70% train, 15% validation, 15% test; không shuffle.</w:t>
      </w:r>
    </w:p>
    <w:p>
      <w:pPr>
        <w:pStyle w:val="Heading1"/>
      </w:pPr>
      <w:r>
        <w:t>4. Mô hình và thiết kế thí nghiệm</w:t>
      </w:r>
    </w:p>
    <w:p>
      <w:pPr>
        <w:pStyle w:val="Heading2"/>
      </w:pPr>
      <w:r>
        <w:t>4.1. Seasonal Naive</w:t>
      </w:r>
    </w:p>
    <w:p>
      <w:r>
        <w:t>Baseline theo mùa: dự báo bằng giá trị cùng thời điểm của ngày trước, tương ứng lag 96 trên dữ liệu 15 phút.</w:t>
      </w:r>
    </w:p>
    <w:p>
      <w:pPr>
        <w:pStyle w:val="Heading2"/>
      </w:pPr>
      <w:r>
        <w:t>4.2. SARIMA</w:t>
      </w:r>
    </w:p>
    <w:p>
      <w:r>
        <w:t>Sử dụng cấu hình SARIMA(2,0,1)(0,1,0,96). Chu kỳ mùa vụ 96 tương ứng 24 giờ ở tần suất 15 phút.</w:t>
      </w:r>
    </w:p>
    <w:p>
      <w:pPr>
        <w:pStyle w:val="Heading2"/>
      </w:pPr>
      <w:r>
        <w:t>4.3. XGBoost</w:t>
      </w:r>
    </w:p>
    <w:p>
      <w:r>
        <w:t>XGBoost khai thác time features, lag, rolling statistics và trong benchmark exploratory còn dùng thêm một số biến điện đồng thời như voltage, reactive power và sub-metering. Đây là mô hình phi tuyến phù hợp với dữ liệu dạng tabular có nhiều đặc trưng trễ.</w:t>
      </w:r>
    </w:p>
    <w:p>
      <w:pPr>
        <w:pStyle w:val="Heading2"/>
      </w:pPr>
      <w:r>
        <w:t>4.4. LSTM</w:t>
      </w:r>
    </w:p>
    <w:p>
      <w:r>
        <w:t>LSTM được thử với ba lookback: 60 phút (4 bước), 6 giờ (24 bước) và 24 giờ (96 bước). StandardScaler chỉ fit trên train rồi mới transform validation/test.</w:t>
      </w:r>
    </w:p>
    <w:p>
      <w:pPr>
        <w:pStyle w:val="Heading2"/>
      </w:pPr>
      <w:r>
        <w:t>4.5. Hybrid</w:t>
      </w:r>
    </w:p>
    <w:p>
      <w:r>
        <w:t>Hai nhóm hybrid được thử: (i) weighted ensemble XGBoost + LSTM; (ii) residual learning, trong đó XGBoost dự báo trước và LSTM học chuỗi residual = actual - xgb_pred. Dự báo cuối cùng bằng XGB prediction + predicted residual.</w:t>
      </w:r>
    </w:p>
    <w:p>
      <w:pPr>
        <w:pStyle w:val="Heading1"/>
      </w:pPr>
      <w:r>
        <w:t>5. Chỉ số đánh giá</w:t>
      </w:r>
    </w:p>
    <w:p>
      <w:r>
        <w:t>Các metric được sử dụng gồm MAE, RMSE, MAPE, sMAPE và WAPE. Với dữ liệu điện có nhiều thời điểm công suất thấp, MAPE có thể bị phóng đại khi y gần 0; do đó MAE, RMSE, sMAPE và WAPE được ưu tiên khi diễn giải.</w:t>
      </w:r>
    </w:p>
    <w:tbl>
      <w:tblPr>
        <w:tblStyle w:val="TableGrid"/>
        <w:tblW w:type="auto" w:w="0"/>
        <w:jc w:val="center"/>
        <w:tblLook w:firstColumn="1" w:firstRow="1" w:lastColumn="0" w:lastRow="0" w:noHBand="0" w:noVBand="1" w:val="04A0"/>
      </w:tblPr>
      <w:tblGrid>
        <w:gridCol w:w="4986"/>
        <w:gridCol w:w="4986"/>
      </w:tblGrid>
      <w:tr>
        <w:tc>
          <w:tcPr>
            <w:tcW w:type="dxa" w:w="1701"/>
            <w:vAlign w:val="center"/>
            <w:shd w:fill="D9EAF7"/>
          </w:tcPr>
          <w:p>
            <w:r/>
            <w:r>
              <w:rPr>
                <w:b/>
                <w:sz w:val="18"/>
              </w:rPr>
              <w:t>Metric</w:t>
            </w:r>
          </w:p>
        </w:tc>
        <w:tc>
          <w:tcPr>
            <w:tcW w:type="dxa" w:w="7370"/>
            <w:vAlign w:val="center"/>
            <w:shd w:fill="D9EAF7"/>
          </w:tcPr>
          <w:p>
            <w:r/>
            <w:r>
              <w:rPr>
                <w:b/>
                <w:sz w:val="18"/>
              </w:rPr>
              <w:t>Ý nghĩa</w:t>
            </w:r>
          </w:p>
        </w:tc>
      </w:tr>
      <w:tr>
        <w:tc>
          <w:tcPr>
            <w:tcW w:type="dxa" w:w="1701"/>
            <w:vAlign w:val="center"/>
          </w:tcPr>
          <w:p>
            <w:r/>
            <w:r>
              <w:rPr>
                <w:b w:val="0"/>
                <w:sz w:val="17"/>
              </w:rPr>
              <w:t>MAE</w:t>
            </w:r>
          </w:p>
        </w:tc>
        <w:tc>
          <w:tcPr>
            <w:tcW w:type="dxa" w:w="7370"/>
            <w:vAlign w:val="center"/>
          </w:tcPr>
          <w:p>
            <w:r/>
            <w:r>
              <w:rPr>
                <w:b w:val="0"/>
                <w:sz w:val="17"/>
              </w:rPr>
              <w:t>Sai số tuyệt đối trung bình; dễ diễn giải và ít nhạy với outlier hơn RMSE</w:t>
            </w:r>
          </w:p>
        </w:tc>
      </w:tr>
      <w:tr>
        <w:tc>
          <w:tcPr>
            <w:tcW w:type="dxa" w:w="1701"/>
            <w:vAlign w:val="center"/>
          </w:tcPr>
          <w:p>
            <w:r/>
            <w:r>
              <w:rPr>
                <w:b w:val="0"/>
                <w:sz w:val="17"/>
              </w:rPr>
              <w:t>RMSE</w:t>
            </w:r>
          </w:p>
        </w:tc>
        <w:tc>
          <w:tcPr>
            <w:tcW w:type="dxa" w:w="7370"/>
            <w:vAlign w:val="center"/>
          </w:tcPr>
          <w:p>
            <w:r/>
            <w:r>
              <w:rPr>
                <w:b w:val="0"/>
                <w:sz w:val="17"/>
              </w:rPr>
              <w:t>Phạt mạnh các sai số lớn</w:t>
            </w:r>
          </w:p>
        </w:tc>
      </w:tr>
      <w:tr>
        <w:tc>
          <w:tcPr>
            <w:tcW w:type="dxa" w:w="1701"/>
            <w:vAlign w:val="center"/>
          </w:tcPr>
          <w:p>
            <w:r/>
            <w:r>
              <w:rPr>
                <w:b w:val="0"/>
                <w:sz w:val="17"/>
              </w:rPr>
              <w:t>MAPE</w:t>
            </w:r>
          </w:p>
        </w:tc>
        <w:tc>
          <w:tcPr>
            <w:tcW w:type="dxa" w:w="7370"/>
            <w:vAlign w:val="center"/>
          </w:tcPr>
          <w:p>
            <w:r/>
            <w:r>
              <w:rPr>
                <w:b w:val="0"/>
                <w:sz w:val="17"/>
              </w:rPr>
              <w:t>Sai số phần trăm; dễ tăng rất cao khi actual gần 0</w:t>
            </w:r>
          </w:p>
        </w:tc>
      </w:tr>
      <w:tr>
        <w:tc>
          <w:tcPr>
            <w:tcW w:type="dxa" w:w="1701"/>
            <w:vAlign w:val="center"/>
          </w:tcPr>
          <w:p>
            <w:r/>
            <w:r>
              <w:rPr>
                <w:b w:val="0"/>
                <w:sz w:val="17"/>
              </w:rPr>
              <w:t>sMAPE</w:t>
            </w:r>
          </w:p>
        </w:tc>
        <w:tc>
          <w:tcPr>
            <w:tcW w:type="dxa" w:w="7370"/>
            <w:vAlign w:val="center"/>
          </w:tcPr>
          <w:p>
            <w:r/>
            <w:r>
              <w:rPr>
                <w:b w:val="0"/>
                <w:sz w:val="17"/>
              </w:rPr>
              <w:t>Phiên bản đối xứng của MAPE, ổn định hơn khi quy mô nhỏ</w:t>
            </w:r>
          </w:p>
        </w:tc>
      </w:tr>
      <w:tr>
        <w:tc>
          <w:tcPr>
            <w:tcW w:type="dxa" w:w="1701"/>
            <w:vAlign w:val="center"/>
          </w:tcPr>
          <w:p>
            <w:r/>
            <w:r>
              <w:rPr>
                <w:b w:val="0"/>
                <w:sz w:val="17"/>
              </w:rPr>
              <w:t>WAPE</w:t>
            </w:r>
          </w:p>
        </w:tc>
        <w:tc>
          <w:tcPr>
            <w:tcW w:type="dxa" w:w="7370"/>
            <w:vAlign w:val="center"/>
          </w:tcPr>
          <w:p>
            <w:r/>
            <w:r>
              <w:rPr>
                <w:b w:val="0"/>
                <w:sz w:val="17"/>
              </w:rPr>
              <w:t>Tổng sai số tuyệt đối / tổng actual; hữu ích để đánh giá sai số tổng thể</w:t>
            </w:r>
          </w:p>
        </w:tc>
      </w:tr>
    </w:tbl>
    <w:p>
      <w:pPr>
        <w:pStyle w:val="Heading1"/>
      </w:pPr>
      <w:r>
        <w:t>6. Kết quả thực nghiệm</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2948"/>
            <w:vAlign w:val="center"/>
            <w:shd w:fill="D9EAF7"/>
          </w:tcPr>
          <w:p>
            <w:r/>
            <w:r>
              <w:rPr>
                <w:b/>
                <w:sz w:val="18"/>
              </w:rPr>
              <w:t>Mô hình</w:t>
            </w:r>
          </w:p>
        </w:tc>
        <w:tc>
          <w:tcPr>
            <w:tcW w:type="dxa" w:w="1134"/>
            <w:vAlign w:val="center"/>
            <w:shd w:fill="D9EAF7"/>
          </w:tcPr>
          <w:p>
            <w:r/>
            <w:r>
              <w:rPr>
                <w:b/>
                <w:sz w:val="18"/>
              </w:rPr>
              <w:t>MAE</w:t>
            </w:r>
          </w:p>
        </w:tc>
        <w:tc>
          <w:tcPr>
            <w:tcW w:type="dxa" w:w="1134"/>
            <w:vAlign w:val="center"/>
            <w:shd w:fill="D9EAF7"/>
          </w:tcPr>
          <w:p>
            <w:r/>
            <w:r>
              <w:rPr>
                <w:b/>
                <w:sz w:val="18"/>
              </w:rPr>
              <w:t>RMSE</w:t>
            </w:r>
          </w:p>
        </w:tc>
        <w:tc>
          <w:tcPr>
            <w:tcW w:type="dxa" w:w="1247"/>
            <w:vAlign w:val="center"/>
            <w:shd w:fill="D9EAF7"/>
          </w:tcPr>
          <w:p>
            <w:r/>
            <w:r>
              <w:rPr>
                <w:b/>
                <w:sz w:val="18"/>
              </w:rPr>
              <w:t>MAPE</w:t>
            </w:r>
          </w:p>
        </w:tc>
        <w:tc>
          <w:tcPr>
            <w:tcW w:type="dxa" w:w="1247"/>
            <w:vAlign w:val="center"/>
            <w:shd w:fill="D9EAF7"/>
          </w:tcPr>
          <w:p>
            <w:r/>
            <w:r>
              <w:rPr>
                <w:b/>
                <w:sz w:val="18"/>
              </w:rPr>
              <w:t>sMAPE</w:t>
            </w:r>
          </w:p>
        </w:tc>
        <w:tc>
          <w:tcPr>
            <w:tcW w:type="dxa" w:w="1247"/>
            <w:vAlign w:val="center"/>
            <w:shd w:fill="D9EAF7"/>
          </w:tcPr>
          <w:p>
            <w:r/>
            <w:r>
              <w:rPr>
                <w:b/>
                <w:sz w:val="18"/>
              </w:rPr>
              <w:t>WAPE</w:t>
            </w:r>
          </w:p>
        </w:tc>
      </w:tr>
      <w:tr>
        <w:tc>
          <w:tcPr>
            <w:tcW w:type="dxa" w:w="2948"/>
            <w:vAlign w:val="center"/>
          </w:tcPr>
          <w:p>
            <w:r/>
            <w:r>
              <w:rPr>
                <w:b w:val="0"/>
                <w:sz w:val="17"/>
              </w:rPr>
              <w:t>Seasonal Naive</w:t>
            </w:r>
          </w:p>
        </w:tc>
        <w:tc>
          <w:tcPr>
            <w:tcW w:type="dxa" w:w="1134"/>
            <w:vAlign w:val="center"/>
          </w:tcPr>
          <w:p>
            <w:r/>
            <w:r>
              <w:rPr>
                <w:b w:val="0"/>
                <w:sz w:val="17"/>
              </w:rPr>
              <w:t>0.6740</w:t>
            </w:r>
          </w:p>
        </w:tc>
        <w:tc>
          <w:tcPr>
            <w:tcW w:type="dxa" w:w="1134"/>
            <w:vAlign w:val="center"/>
          </w:tcPr>
          <w:p>
            <w:r/>
            <w:r>
              <w:rPr>
                <w:b w:val="0"/>
                <w:sz w:val="17"/>
              </w:rPr>
              <w:t>1.0814</w:t>
            </w:r>
          </w:p>
        </w:tc>
        <w:tc>
          <w:tcPr>
            <w:tcW w:type="dxa" w:w="1247"/>
            <w:vAlign w:val="center"/>
          </w:tcPr>
          <w:p>
            <w:r/>
            <w:r>
              <w:rPr>
                <w:b w:val="0"/>
                <w:sz w:val="17"/>
              </w:rPr>
              <w:t>135.26%</w:t>
            </w:r>
          </w:p>
        </w:tc>
        <w:tc>
          <w:tcPr>
            <w:tcW w:type="dxa" w:w="1247"/>
            <w:vAlign w:val="center"/>
          </w:tcPr>
          <w:p>
            <w:r/>
            <w:r>
              <w:rPr>
                <w:b w:val="0"/>
                <w:sz w:val="17"/>
              </w:rPr>
              <w:t>69.84%</w:t>
            </w:r>
          </w:p>
        </w:tc>
        <w:tc>
          <w:tcPr>
            <w:tcW w:type="dxa" w:w="1247"/>
            <w:vAlign w:val="center"/>
          </w:tcPr>
          <w:p>
            <w:r/>
            <w:r>
              <w:rPr>
                <w:b w:val="0"/>
                <w:sz w:val="17"/>
              </w:rPr>
              <w:t>83.12%</w:t>
            </w:r>
          </w:p>
        </w:tc>
      </w:tr>
      <w:tr>
        <w:tc>
          <w:tcPr>
            <w:tcW w:type="dxa" w:w="2948"/>
            <w:vAlign w:val="center"/>
          </w:tcPr>
          <w:p>
            <w:r/>
            <w:r>
              <w:rPr>
                <w:b w:val="0"/>
                <w:sz w:val="17"/>
              </w:rPr>
              <w:t>SARIMA</w:t>
            </w:r>
          </w:p>
        </w:tc>
        <w:tc>
          <w:tcPr>
            <w:tcW w:type="dxa" w:w="1134"/>
            <w:vAlign w:val="center"/>
          </w:tcPr>
          <w:p>
            <w:r/>
            <w:r>
              <w:rPr>
                <w:b w:val="0"/>
                <w:sz w:val="17"/>
              </w:rPr>
              <w:t>0.4364</w:t>
            </w:r>
          </w:p>
        </w:tc>
        <w:tc>
          <w:tcPr>
            <w:tcW w:type="dxa" w:w="1134"/>
            <w:vAlign w:val="center"/>
          </w:tcPr>
          <w:p>
            <w:r/>
            <w:r>
              <w:rPr>
                <w:b w:val="0"/>
                <w:sz w:val="17"/>
              </w:rPr>
              <w:t>0.7107</w:t>
            </w:r>
          </w:p>
        </w:tc>
        <w:tc>
          <w:tcPr>
            <w:tcW w:type="dxa" w:w="1247"/>
            <w:vAlign w:val="center"/>
          </w:tcPr>
          <w:p>
            <w:r/>
            <w:r>
              <w:rPr>
                <w:b w:val="0"/>
                <w:sz w:val="17"/>
              </w:rPr>
              <w:t>89.88%</w:t>
            </w:r>
          </w:p>
        </w:tc>
        <w:tc>
          <w:tcPr>
            <w:tcW w:type="dxa" w:w="1247"/>
            <w:vAlign w:val="center"/>
          </w:tcPr>
          <w:p>
            <w:r/>
            <w:r>
              <w:rPr>
                <w:b w:val="0"/>
                <w:sz w:val="17"/>
              </w:rPr>
              <w:t>59.34%</w:t>
            </w:r>
          </w:p>
        </w:tc>
        <w:tc>
          <w:tcPr>
            <w:tcW w:type="dxa" w:w="1247"/>
            <w:vAlign w:val="center"/>
          </w:tcPr>
          <w:p>
            <w:r/>
            <w:r>
              <w:rPr>
                <w:b w:val="0"/>
                <w:sz w:val="17"/>
              </w:rPr>
              <w:t>53.81%</w:t>
            </w:r>
          </w:p>
        </w:tc>
      </w:tr>
      <w:tr>
        <w:tc>
          <w:tcPr>
            <w:tcW w:type="dxa" w:w="2948"/>
            <w:vAlign w:val="center"/>
          </w:tcPr>
          <w:p>
            <w:r/>
            <w:r>
              <w:rPr>
                <w:b w:val="0"/>
                <w:sz w:val="17"/>
              </w:rPr>
              <w:t>LSTM 60m</w:t>
            </w:r>
          </w:p>
        </w:tc>
        <w:tc>
          <w:tcPr>
            <w:tcW w:type="dxa" w:w="1134"/>
            <w:vAlign w:val="center"/>
          </w:tcPr>
          <w:p>
            <w:r/>
            <w:r>
              <w:rPr>
                <w:b w:val="0"/>
                <w:sz w:val="17"/>
              </w:rPr>
              <w:t>0.2971</w:t>
            </w:r>
          </w:p>
        </w:tc>
        <w:tc>
          <w:tcPr>
            <w:tcW w:type="dxa" w:w="1134"/>
            <w:vAlign w:val="center"/>
          </w:tcPr>
          <w:p>
            <w:r/>
            <w:r>
              <w:rPr>
                <w:b w:val="0"/>
                <w:sz w:val="17"/>
              </w:rPr>
              <w:t>0.4883</w:t>
            </w:r>
          </w:p>
        </w:tc>
        <w:tc>
          <w:tcPr>
            <w:tcW w:type="dxa" w:w="1247"/>
            <w:vAlign w:val="center"/>
          </w:tcPr>
          <w:p>
            <w:r/>
            <w:r>
              <w:rPr>
                <w:b w:val="0"/>
                <w:sz w:val="17"/>
              </w:rPr>
              <w:t>55.12%</w:t>
            </w:r>
          </w:p>
        </w:tc>
        <w:tc>
          <w:tcPr>
            <w:tcW w:type="dxa" w:w="1247"/>
            <w:vAlign w:val="center"/>
          </w:tcPr>
          <w:p>
            <w:r/>
            <w:r>
              <w:rPr>
                <w:b w:val="0"/>
                <w:sz w:val="17"/>
              </w:rPr>
              <w:t>40.41%</w:t>
            </w:r>
          </w:p>
        </w:tc>
        <w:tc>
          <w:tcPr>
            <w:tcW w:type="dxa" w:w="1247"/>
            <w:vAlign w:val="center"/>
          </w:tcPr>
          <w:p>
            <w:r/>
            <w:r>
              <w:rPr>
                <w:b w:val="0"/>
                <w:sz w:val="17"/>
              </w:rPr>
              <w:t>36.64%</w:t>
            </w:r>
          </w:p>
        </w:tc>
      </w:tr>
      <w:tr>
        <w:tc>
          <w:tcPr>
            <w:tcW w:type="dxa" w:w="2948"/>
            <w:vAlign w:val="center"/>
          </w:tcPr>
          <w:p>
            <w:r/>
            <w:r>
              <w:rPr>
                <w:b w:val="0"/>
                <w:sz w:val="17"/>
              </w:rPr>
              <w:t>LSTM 6h</w:t>
            </w:r>
          </w:p>
        </w:tc>
        <w:tc>
          <w:tcPr>
            <w:tcW w:type="dxa" w:w="1134"/>
            <w:vAlign w:val="center"/>
          </w:tcPr>
          <w:p>
            <w:r/>
            <w:r>
              <w:rPr>
                <w:b w:val="0"/>
                <w:sz w:val="17"/>
              </w:rPr>
              <w:t>0.2835</w:t>
            </w:r>
          </w:p>
        </w:tc>
        <w:tc>
          <w:tcPr>
            <w:tcW w:type="dxa" w:w="1134"/>
            <w:vAlign w:val="center"/>
          </w:tcPr>
          <w:p>
            <w:r/>
            <w:r>
              <w:rPr>
                <w:b w:val="0"/>
                <w:sz w:val="17"/>
              </w:rPr>
              <w:t>0.4844</w:t>
            </w:r>
          </w:p>
        </w:tc>
        <w:tc>
          <w:tcPr>
            <w:tcW w:type="dxa" w:w="1247"/>
            <w:vAlign w:val="center"/>
          </w:tcPr>
          <w:p>
            <w:r/>
            <w:r>
              <w:rPr>
                <w:b w:val="0"/>
                <w:sz w:val="17"/>
              </w:rPr>
              <w:t>47.10%</w:t>
            </w:r>
          </w:p>
        </w:tc>
        <w:tc>
          <w:tcPr>
            <w:tcW w:type="dxa" w:w="1247"/>
            <w:vAlign w:val="center"/>
          </w:tcPr>
          <w:p>
            <w:r/>
            <w:r>
              <w:rPr>
                <w:b w:val="0"/>
                <w:sz w:val="17"/>
              </w:rPr>
              <w:t>39.13%</w:t>
            </w:r>
          </w:p>
        </w:tc>
        <w:tc>
          <w:tcPr>
            <w:tcW w:type="dxa" w:w="1247"/>
            <w:vAlign w:val="center"/>
          </w:tcPr>
          <w:p>
            <w:r/>
            <w:r>
              <w:rPr>
                <w:b w:val="0"/>
                <w:sz w:val="17"/>
              </w:rPr>
              <w:t>34.96%</w:t>
            </w:r>
          </w:p>
        </w:tc>
      </w:tr>
      <w:tr>
        <w:tc>
          <w:tcPr>
            <w:tcW w:type="dxa" w:w="2948"/>
            <w:vAlign w:val="center"/>
          </w:tcPr>
          <w:p>
            <w:r/>
            <w:r>
              <w:rPr>
                <w:b w:val="0"/>
                <w:sz w:val="17"/>
              </w:rPr>
              <w:t>LSTM 24h</w:t>
            </w:r>
          </w:p>
        </w:tc>
        <w:tc>
          <w:tcPr>
            <w:tcW w:type="dxa" w:w="1134"/>
            <w:vAlign w:val="center"/>
          </w:tcPr>
          <w:p>
            <w:r/>
            <w:r>
              <w:rPr>
                <w:b w:val="0"/>
                <w:sz w:val="17"/>
              </w:rPr>
              <w:t>0.2816</w:t>
            </w:r>
          </w:p>
        </w:tc>
        <w:tc>
          <w:tcPr>
            <w:tcW w:type="dxa" w:w="1134"/>
            <w:vAlign w:val="center"/>
          </w:tcPr>
          <w:p>
            <w:r/>
            <w:r>
              <w:rPr>
                <w:b w:val="0"/>
                <w:sz w:val="17"/>
              </w:rPr>
              <w:t>0.4884</w:t>
            </w:r>
          </w:p>
        </w:tc>
        <w:tc>
          <w:tcPr>
            <w:tcW w:type="dxa" w:w="1247"/>
            <w:vAlign w:val="center"/>
          </w:tcPr>
          <w:p>
            <w:r/>
            <w:r>
              <w:rPr>
                <w:b w:val="0"/>
                <w:sz w:val="17"/>
              </w:rPr>
              <w:t>45.79%</w:t>
            </w:r>
          </w:p>
        </w:tc>
        <w:tc>
          <w:tcPr>
            <w:tcW w:type="dxa" w:w="1247"/>
            <w:vAlign w:val="center"/>
          </w:tcPr>
          <w:p>
            <w:r/>
            <w:r>
              <w:rPr>
                <w:b w:val="0"/>
                <w:sz w:val="17"/>
              </w:rPr>
              <w:t>37.58%</w:t>
            </w:r>
          </w:p>
        </w:tc>
        <w:tc>
          <w:tcPr>
            <w:tcW w:type="dxa" w:w="1247"/>
            <w:vAlign w:val="center"/>
          </w:tcPr>
          <w:p>
            <w:r/>
            <w:r>
              <w:rPr>
                <w:b w:val="0"/>
                <w:sz w:val="17"/>
              </w:rPr>
              <w:t>34.73%</w:t>
            </w:r>
          </w:p>
        </w:tc>
      </w:tr>
      <w:tr>
        <w:tc>
          <w:tcPr>
            <w:tcW w:type="dxa" w:w="2948"/>
            <w:vAlign w:val="center"/>
          </w:tcPr>
          <w:p>
            <w:r/>
            <w:r>
              <w:rPr>
                <w:b w:val="0"/>
                <w:sz w:val="17"/>
              </w:rPr>
              <w:t>XGBoost</w:t>
            </w:r>
          </w:p>
        </w:tc>
        <w:tc>
          <w:tcPr>
            <w:tcW w:type="dxa" w:w="1134"/>
            <w:vAlign w:val="center"/>
          </w:tcPr>
          <w:p>
            <w:r/>
            <w:r>
              <w:rPr>
                <w:b w:val="0"/>
                <w:sz w:val="17"/>
              </w:rPr>
              <w:t>0.1564</w:t>
            </w:r>
          </w:p>
        </w:tc>
        <w:tc>
          <w:tcPr>
            <w:tcW w:type="dxa" w:w="1134"/>
            <w:vAlign w:val="center"/>
          </w:tcPr>
          <w:p>
            <w:r/>
            <w:r>
              <w:rPr>
                <w:b w:val="0"/>
                <w:sz w:val="17"/>
              </w:rPr>
              <w:t>0.2501</w:t>
            </w:r>
          </w:p>
        </w:tc>
        <w:tc>
          <w:tcPr>
            <w:tcW w:type="dxa" w:w="1247"/>
            <w:vAlign w:val="center"/>
          </w:tcPr>
          <w:p>
            <w:r/>
            <w:r>
              <w:rPr>
                <w:b w:val="0"/>
                <w:sz w:val="17"/>
              </w:rPr>
              <w:t>28.47%</w:t>
            </w:r>
          </w:p>
        </w:tc>
        <w:tc>
          <w:tcPr>
            <w:tcW w:type="dxa" w:w="1247"/>
            <w:vAlign w:val="center"/>
          </w:tcPr>
          <w:p>
            <w:r/>
            <w:r>
              <w:rPr>
                <w:b w:val="0"/>
                <w:sz w:val="17"/>
              </w:rPr>
              <w:t>23.33%</w:t>
            </w:r>
          </w:p>
        </w:tc>
        <w:tc>
          <w:tcPr>
            <w:tcW w:type="dxa" w:w="1247"/>
            <w:vAlign w:val="center"/>
          </w:tcPr>
          <w:p>
            <w:r/>
            <w:r>
              <w:rPr>
                <w:b w:val="0"/>
                <w:sz w:val="17"/>
              </w:rPr>
              <w:t>19.29%</w:t>
            </w:r>
          </w:p>
        </w:tc>
      </w:tr>
      <w:tr>
        <w:tc>
          <w:tcPr>
            <w:tcW w:type="dxa" w:w="2948"/>
            <w:vAlign w:val="center"/>
          </w:tcPr>
          <w:p>
            <w:r/>
            <w:r>
              <w:rPr>
                <w:b w:val="0"/>
                <w:sz w:val="17"/>
              </w:rPr>
              <w:t>Weighted Hybrid</w:t>
            </w:r>
          </w:p>
        </w:tc>
        <w:tc>
          <w:tcPr>
            <w:tcW w:type="dxa" w:w="1134"/>
            <w:vAlign w:val="center"/>
          </w:tcPr>
          <w:p>
            <w:r/>
            <w:r>
              <w:rPr>
                <w:b w:val="0"/>
                <w:sz w:val="17"/>
              </w:rPr>
              <w:t>0.1552</w:t>
            </w:r>
          </w:p>
        </w:tc>
        <w:tc>
          <w:tcPr>
            <w:tcW w:type="dxa" w:w="1134"/>
            <w:vAlign w:val="center"/>
          </w:tcPr>
          <w:p>
            <w:r/>
            <w:r>
              <w:rPr>
                <w:b w:val="0"/>
                <w:sz w:val="17"/>
              </w:rPr>
              <w:t>0.2495</w:t>
            </w:r>
          </w:p>
        </w:tc>
        <w:tc>
          <w:tcPr>
            <w:tcW w:type="dxa" w:w="1247"/>
            <w:vAlign w:val="center"/>
          </w:tcPr>
          <w:p>
            <w:r/>
            <w:r>
              <w:rPr>
                <w:b w:val="0"/>
                <w:sz w:val="17"/>
              </w:rPr>
              <w:t>28.46%</w:t>
            </w:r>
          </w:p>
        </w:tc>
        <w:tc>
          <w:tcPr>
            <w:tcW w:type="dxa" w:w="1247"/>
            <w:vAlign w:val="center"/>
          </w:tcPr>
          <w:p>
            <w:r/>
            <w:r>
              <w:rPr>
                <w:b w:val="0"/>
                <w:sz w:val="17"/>
              </w:rPr>
              <w:t>23.21%</w:t>
            </w:r>
          </w:p>
        </w:tc>
        <w:tc>
          <w:tcPr>
            <w:tcW w:type="dxa" w:w="1247"/>
            <w:vAlign w:val="center"/>
          </w:tcPr>
          <w:p>
            <w:r/>
            <w:r>
              <w:rPr>
                <w:b w:val="0"/>
                <w:sz w:val="17"/>
              </w:rPr>
              <w:t>19.14%</w:t>
            </w:r>
          </w:p>
        </w:tc>
      </w:tr>
      <w:tr>
        <w:tc>
          <w:tcPr>
            <w:tcW w:type="dxa" w:w="2948"/>
            <w:vAlign w:val="center"/>
          </w:tcPr>
          <w:p>
            <w:r/>
            <w:r>
              <w:rPr>
                <w:b w:val="0"/>
                <w:sz w:val="17"/>
              </w:rPr>
              <w:t>Residual Hybrid</w:t>
            </w:r>
          </w:p>
        </w:tc>
        <w:tc>
          <w:tcPr>
            <w:tcW w:type="dxa" w:w="1134"/>
            <w:vAlign w:val="center"/>
          </w:tcPr>
          <w:p>
            <w:r/>
            <w:r>
              <w:rPr>
                <w:b w:val="0"/>
                <w:sz w:val="17"/>
              </w:rPr>
              <w:t>0.1426</w:t>
            </w:r>
          </w:p>
        </w:tc>
        <w:tc>
          <w:tcPr>
            <w:tcW w:type="dxa" w:w="1134"/>
            <w:vAlign w:val="center"/>
          </w:tcPr>
          <w:p>
            <w:r/>
            <w:r>
              <w:rPr>
                <w:b w:val="0"/>
                <w:sz w:val="17"/>
              </w:rPr>
              <w:t>0.2391</w:t>
            </w:r>
          </w:p>
        </w:tc>
        <w:tc>
          <w:tcPr>
            <w:tcW w:type="dxa" w:w="1247"/>
            <w:vAlign w:val="center"/>
          </w:tcPr>
          <w:p>
            <w:r/>
            <w:r>
              <w:rPr>
                <w:b w:val="0"/>
                <w:sz w:val="17"/>
              </w:rPr>
              <w:t>23.98%</w:t>
            </w:r>
          </w:p>
        </w:tc>
        <w:tc>
          <w:tcPr>
            <w:tcW w:type="dxa" w:w="1247"/>
            <w:vAlign w:val="center"/>
          </w:tcPr>
          <w:p>
            <w:r/>
            <w:r>
              <w:rPr>
                <w:b w:val="0"/>
                <w:sz w:val="17"/>
              </w:rPr>
              <w:t>20.37%</w:t>
            </w:r>
          </w:p>
        </w:tc>
        <w:tc>
          <w:tcPr>
            <w:tcW w:type="dxa" w:w="1247"/>
            <w:vAlign w:val="center"/>
          </w:tcPr>
          <w:p>
            <w:r/>
            <w:r>
              <w:rPr>
                <w:b w:val="0"/>
                <w:sz w:val="17"/>
              </w:rPr>
              <w:t>17.59%</w:t>
            </w:r>
          </w:p>
        </w:tc>
      </w:tr>
    </w:tbl>
    <w:p>
      <w:r>
        <w:t>Kết quả cho thấy XGBoost vượt rõ Seasonal Naive, SARIMA và LSTM đơn. Weighted Hybrid cải thiện nhẹ, trong khi Residual Hybrid tạo mức cải thiện rõ hơn và đạt kết quả tốt nhất trong thí nghiệm hiện tại.</w:t>
      </w:r>
    </w:p>
    <w:p>
      <w:pPr>
        <w:jc w:val="center"/>
      </w:pPr>
      <w:r>
        <w:drawing>
          <wp:inline xmlns:a="http://schemas.openxmlformats.org/drawingml/2006/main" xmlns:pic="http://schemas.openxmlformats.org/drawingml/2006/picture">
            <wp:extent cx="6035040" cy="3218688"/>
            <wp:docPr id="1" name="Picture 1"/>
            <wp:cNvGraphicFramePr>
              <a:graphicFrameLocks noChangeAspect="1"/>
            </wp:cNvGraphicFramePr>
            <a:graphic>
              <a:graphicData uri="http://schemas.openxmlformats.org/drawingml/2006/picture">
                <pic:pic>
                  <pic:nvPicPr>
                    <pic:cNvPr id="0" name="mae_rmse.png"/>
                    <pic:cNvPicPr/>
                  </pic:nvPicPr>
                  <pic:blipFill>
                    <a:blip r:embed="rId9"/>
                    <a:stretch>
                      <a:fillRect/>
                    </a:stretch>
                  </pic:blipFill>
                  <pic:spPr>
                    <a:xfrm>
                      <a:off x="0" y="0"/>
                      <a:ext cx="6035040" cy="3218688"/>
                    </a:xfrm>
                    <a:prstGeom prst="rect"/>
                  </pic:spPr>
                </pic:pic>
              </a:graphicData>
            </a:graphic>
          </wp:inline>
        </w:drawing>
      </w:r>
    </w:p>
    <w:p>
      <w:pPr>
        <w:jc w:val="center"/>
      </w:pPr>
      <w:r>
        <w:rPr>
          <w:i/>
          <w:sz w:val="18"/>
        </w:rPr>
        <w:t>Hình 1. So sánh MAE và RMSE giữa các mô hình.</w:t>
      </w:r>
    </w:p>
    <w:p>
      <w:pPr>
        <w:jc w:val="center"/>
      </w:pPr>
      <w:r>
        <w:drawing>
          <wp:inline xmlns:a="http://schemas.openxmlformats.org/drawingml/2006/main" xmlns:pic="http://schemas.openxmlformats.org/drawingml/2006/picture">
            <wp:extent cx="6035040" cy="3218688"/>
            <wp:docPr id="2" name="Picture 2"/>
            <wp:cNvGraphicFramePr>
              <a:graphicFrameLocks noChangeAspect="1"/>
            </wp:cNvGraphicFramePr>
            <a:graphic>
              <a:graphicData uri="http://schemas.openxmlformats.org/drawingml/2006/picture">
                <pic:pic>
                  <pic:nvPicPr>
                    <pic:cNvPr id="0" name="percentage_errors.png"/>
                    <pic:cNvPicPr/>
                  </pic:nvPicPr>
                  <pic:blipFill>
                    <a:blip r:embed="rId10"/>
                    <a:stretch>
                      <a:fillRect/>
                    </a:stretch>
                  </pic:blipFill>
                  <pic:spPr>
                    <a:xfrm>
                      <a:off x="0" y="0"/>
                      <a:ext cx="6035040" cy="3218688"/>
                    </a:xfrm>
                    <a:prstGeom prst="rect"/>
                  </pic:spPr>
                </pic:pic>
              </a:graphicData>
            </a:graphic>
          </wp:inline>
        </w:drawing>
      </w:r>
    </w:p>
    <w:p>
      <w:pPr>
        <w:jc w:val="center"/>
      </w:pPr>
      <w:r>
        <w:rPr>
          <w:i/>
          <w:sz w:val="18"/>
        </w:rPr>
        <w:t>Hình 2. So sánh MAPE, sMAPE và WAPE.</w:t>
      </w:r>
    </w:p>
    <w:p>
      <w:pPr>
        <w:pStyle w:val="Heading2"/>
      </w:pPr>
      <w:r>
        <w:t>6.1. So sánh lookback LSTM</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2268"/>
            <w:vAlign w:val="center"/>
            <w:shd w:fill="D9EAF7"/>
          </w:tcPr>
          <w:p>
            <w:r/>
            <w:r>
              <w:rPr>
                <w:b/>
                <w:sz w:val="18"/>
              </w:rPr>
              <w:t>Lookback</w:t>
            </w:r>
          </w:p>
        </w:tc>
        <w:tc>
          <w:tcPr>
            <w:tcW w:type="dxa" w:w="1701"/>
            <w:vAlign w:val="center"/>
            <w:shd w:fill="D9EAF7"/>
          </w:tcPr>
          <w:p>
            <w:r/>
            <w:r>
              <w:rPr>
                <w:b/>
                <w:sz w:val="18"/>
              </w:rPr>
              <w:t>MAE</w:t>
            </w:r>
          </w:p>
        </w:tc>
        <w:tc>
          <w:tcPr>
            <w:tcW w:type="dxa" w:w="1701"/>
            <w:vAlign w:val="center"/>
            <w:shd w:fill="D9EAF7"/>
          </w:tcPr>
          <w:p>
            <w:r/>
            <w:r>
              <w:rPr>
                <w:b/>
                <w:sz w:val="18"/>
              </w:rPr>
              <w:t>RMSE</w:t>
            </w:r>
          </w:p>
        </w:tc>
        <w:tc>
          <w:tcPr>
            <w:tcW w:type="dxa" w:w="1701"/>
            <w:vAlign w:val="center"/>
            <w:shd w:fill="D9EAF7"/>
          </w:tcPr>
          <w:p>
            <w:r/>
            <w:r>
              <w:rPr>
                <w:b/>
                <w:sz w:val="18"/>
              </w:rPr>
              <w:t>sMAPE</w:t>
            </w:r>
          </w:p>
        </w:tc>
        <w:tc>
          <w:tcPr>
            <w:tcW w:type="dxa" w:w="1701"/>
            <w:vAlign w:val="center"/>
            <w:shd w:fill="D9EAF7"/>
          </w:tcPr>
          <w:p>
            <w:r/>
            <w:r>
              <w:rPr>
                <w:b/>
                <w:sz w:val="18"/>
              </w:rPr>
              <w:t>WAPE</w:t>
            </w:r>
          </w:p>
        </w:tc>
      </w:tr>
      <w:tr>
        <w:tc>
          <w:tcPr>
            <w:tcW w:type="dxa" w:w="2268"/>
            <w:vAlign w:val="center"/>
          </w:tcPr>
          <w:p>
            <w:r/>
            <w:r>
              <w:rPr>
                <w:b w:val="0"/>
                <w:sz w:val="17"/>
              </w:rPr>
              <w:t>60 phút</w:t>
            </w:r>
          </w:p>
        </w:tc>
        <w:tc>
          <w:tcPr>
            <w:tcW w:type="dxa" w:w="1701"/>
            <w:vAlign w:val="center"/>
          </w:tcPr>
          <w:p>
            <w:r/>
            <w:r>
              <w:rPr>
                <w:b w:val="0"/>
                <w:sz w:val="17"/>
              </w:rPr>
              <w:t>0,2971</w:t>
            </w:r>
          </w:p>
        </w:tc>
        <w:tc>
          <w:tcPr>
            <w:tcW w:type="dxa" w:w="1701"/>
            <w:vAlign w:val="center"/>
          </w:tcPr>
          <w:p>
            <w:r/>
            <w:r>
              <w:rPr>
                <w:b w:val="0"/>
                <w:sz w:val="17"/>
              </w:rPr>
              <w:t>0,4883</w:t>
            </w:r>
          </w:p>
        </w:tc>
        <w:tc>
          <w:tcPr>
            <w:tcW w:type="dxa" w:w="1701"/>
            <w:vAlign w:val="center"/>
          </w:tcPr>
          <w:p>
            <w:r/>
            <w:r>
              <w:rPr>
                <w:b w:val="0"/>
                <w:sz w:val="17"/>
              </w:rPr>
              <w:t>40,41%</w:t>
            </w:r>
          </w:p>
        </w:tc>
        <w:tc>
          <w:tcPr>
            <w:tcW w:type="dxa" w:w="1701"/>
            <w:vAlign w:val="center"/>
          </w:tcPr>
          <w:p>
            <w:r/>
            <w:r>
              <w:rPr>
                <w:b w:val="0"/>
                <w:sz w:val="17"/>
              </w:rPr>
              <w:t>36,64%</w:t>
            </w:r>
          </w:p>
        </w:tc>
      </w:tr>
      <w:tr>
        <w:tc>
          <w:tcPr>
            <w:tcW w:type="dxa" w:w="2268"/>
            <w:vAlign w:val="center"/>
          </w:tcPr>
          <w:p>
            <w:r/>
            <w:r>
              <w:rPr>
                <w:b w:val="0"/>
                <w:sz w:val="17"/>
              </w:rPr>
              <w:t>6 giờ</w:t>
            </w:r>
          </w:p>
        </w:tc>
        <w:tc>
          <w:tcPr>
            <w:tcW w:type="dxa" w:w="1701"/>
            <w:vAlign w:val="center"/>
          </w:tcPr>
          <w:p>
            <w:r/>
            <w:r>
              <w:rPr>
                <w:b w:val="0"/>
                <w:sz w:val="17"/>
              </w:rPr>
              <w:t>0,2835</w:t>
            </w:r>
          </w:p>
        </w:tc>
        <w:tc>
          <w:tcPr>
            <w:tcW w:type="dxa" w:w="1701"/>
            <w:vAlign w:val="center"/>
          </w:tcPr>
          <w:p>
            <w:r/>
            <w:r>
              <w:rPr>
                <w:b w:val="0"/>
                <w:sz w:val="17"/>
              </w:rPr>
              <w:t>0,4844</w:t>
            </w:r>
          </w:p>
        </w:tc>
        <w:tc>
          <w:tcPr>
            <w:tcW w:type="dxa" w:w="1701"/>
            <w:vAlign w:val="center"/>
          </w:tcPr>
          <w:p>
            <w:r/>
            <w:r>
              <w:rPr>
                <w:b w:val="0"/>
                <w:sz w:val="17"/>
              </w:rPr>
              <w:t>39,13%</w:t>
            </w:r>
          </w:p>
        </w:tc>
        <w:tc>
          <w:tcPr>
            <w:tcW w:type="dxa" w:w="1701"/>
            <w:vAlign w:val="center"/>
          </w:tcPr>
          <w:p>
            <w:r/>
            <w:r>
              <w:rPr>
                <w:b w:val="0"/>
                <w:sz w:val="17"/>
              </w:rPr>
              <w:t>34,96%</w:t>
            </w:r>
          </w:p>
        </w:tc>
      </w:tr>
      <w:tr>
        <w:tc>
          <w:tcPr>
            <w:tcW w:type="dxa" w:w="2268"/>
            <w:vAlign w:val="center"/>
          </w:tcPr>
          <w:p>
            <w:r/>
            <w:r>
              <w:rPr>
                <w:b w:val="0"/>
                <w:sz w:val="17"/>
              </w:rPr>
              <w:t>24 giờ</w:t>
            </w:r>
          </w:p>
        </w:tc>
        <w:tc>
          <w:tcPr>
            <w:tcW w:type="dxa" w:w="1701"/>
            <w:vAlign w:val="center"/>
          </w:tcPr>
          <w:p>
            <w:r/>
            <w:r>
              <w:rPr>
                <w:b w:val="0"/>
                <w:sz w:val="17"/>
              </w:rPr>
              <w:t>0,2816</w:t>
            </w:r>
          </w:p>
        </w:tc>
        <w:tc>
          <w:tcPr>
            <w:tcW w:type="dxa" w:w="1701"/>
            <w:vAlign w:val="center"/>
          </w:tcPr>
          <w:p>
            <w:r/>
            <w:r>
              <w:rPr>
                <w:b w:val="0"/>
                <w:sz w:val="17"/>
              </w:rPr>
              <w:t>0,4884</w:t>
            </w:r>
          </w:p>
        </w:tc>
        <w:tc>
          <w:tcPr>
            <w:tcW w:type="dxa" w:w="1701"/>
            <w:vAlign w:val="center"/>
          </w:tcPr>
          <w:p>
            <w:r/>
            <w:r>
              <w:rPr>
                <w:b w:val="0"/>
                <w:sz w:val="17"/>
              </w:rPr>
              <w:t>37,58%</w:t>
            </w:r>
          </w:p>
        </w:tc>
        <w:tc>
          <w:tcPr>
            <w:tcW w:type="dxa" w:w="1701"/>
            <w:vAlign w:val="center"/>
          </w:tcPr>
          <w:p>
            <w:r/>
            <w:r>
              <w:rPr>
                <w:b w:val="0"/>
                <w:sz w:val="17"/>
              </w:rPr>
              <w:t>34,73%</w:t>
            </w:r>
          </w:p>
        </w:tc>
      </w:tr>
    </w:tbl>
    <w:p>
      <w:r>
        <w:t>Lookback 24 giờ cho MAE, sMAPE và WAPE tốt nhất trong ba cấu hình, cho thấy việc quan sát trọn chu kỳ một ngày mang lại lợi ích. Lookback 6 giờ có RMSE thấp hơn nhẹ, tức xử lý một số sai số lớn tốt hơn.</w:t>
      </w:r>
    </w:p>
    <w:p>
      <w:pPr>
        <w:pStyle w:val="Heading2"/>
      </w:pPr>
      <w:r>
        <w:t>6.2. Residual Hybrid</w:t>
      </w:r>
    </w:p>
    <w:p>
      <w:r>
        <w:t>Residual Hybrid đạt MAE 0,1426 so với 0,1564 của XGBoost, tương đương cải thiện khoảng 8,8%. WAPE giảm từ 19,29% xuống 17,59%, và sMAPE giảm từ 23,33% xuống 20,37%.</w:t>
      </w:r>
    </w:p>
    <w:p>
      <w:r>
        <w:t>Residual thực tế trên test có mean khoảng -0,050, cho thấy XGBoost có xu hướng dự báo cao hơn thực tế một chút trong giai đoạn test. LSTM học residual giúp điều chỉnh bias và một phần pattern sai số theo thời gian.</w:t>
      </w:r>
    </w:p>
    <w:p>
      <w:pPr>
        <w:pStyle w:val="Heading1"/>
      </w:pPr>
      <w:r>
        <w:t>7. Hạn chế và rủi ro phương pháp</w:t>
      </w:r>
    </w:p>
    <w:p>
      <w:pPr>
        <w:pStyle w:val="ListBullet"/>
        <w:spacing w:after="40"/>
      </w:pPr>
      <w:r>
        <w:t>Benchmark exploratory của XGBoost dùng voltage, reactive power và sub-metering tại cùng timestamp với target. Nếu các biến này không có sẵn trước thời điểm forecast, đây là future-covariate leakage.</w:t>
      </w:r>
    </w:p>
    <w:p>
      <w:pPr>
        <w:pStyle w:val="ListBullet"/>
        <w:spacing w:after="40"/>
      </w:pPr>
      <w:r>
        <w:t>Mô hình residual hiện sử dụng residual train dựa trên prediction của XGBoost trên chính train; để đánh giá nghiêm ngặt hơn có thể tạo out-of-fold/rolling-origin residual cho train.</w:t>
      </w:r>
    </w:p>
    <w:p>
      <w:pPr>
        <w:pStyle w:val="ListBullet"/>
        <w:spacing w:after="40"/>
      </w:pPr>
      <w:r>
        <w:t>Dữ liệu chỉ dài khoảng 181 ngày nên chưa bao phủ trọn chu kỳ năm và mùa vụ theo năm.</w:t>
      </w:r>
    </w:p>
    <w:p>
      <w:pPr>
        <w:pStyle w:val="ListBullet"/>
        <w:spacing w:after="40"/>
      </w:pPr>
      <w:r>
        <w:t>Chưa có biến ngoại sinh quan trọng như nhiệt độ, độ ẩm, ngày lễ, số người sử dụng hoặc lịch vận hành thiết bị.</w:t>
      </w:r>
    </w:p>
    <w:p>
      <w:pPr>
        <w:pStyle w:val="ListBullet"/>
        <w:spacing w:after="40"/>
      </w:pPr>
      <w:r>
        <w:t>Resample về 15 phút giúp benchmark thực tế hơn về tài nguyên, nhưng làm mất một phần biến động ở mức phút.</w:t>
      </w:r>
    </w:p>
    <w:p>
      <w:pPr>
        <w:pStyle w:val="Heading1"/>
      </w:pPr>
      <w:r>
        <w:t>8. Đề xuất triển khai và nâng cấp</w:t>
      </w:r>
    </w:p>
    <w:p>
      <w:pPr>
        <w:pStyle w:val="ListBullet"/>
        <w:spacing w:after="40"/>
      </w:pPr>
      <w:r>
        <w:t>Dùng strict forecast: chỉ dùng feature biết được ở thời điểm dự báo hoặc feature đã lag.</w:t>
      </w:r>
    </w:p>
    <w:p>
      <w:pPr>
        <w:pStyle w:val="ListBullet"/>
        <w:spacing w:after="40"/>
      </w:pPr>
      <w:r>
        <w:t>Bổ sung rolling-origin backtesting thay vì một lần chia 70/15/15 để đánh giá độ ổn định theo thời gian.</w:t>
      </w:r>
    </w:p>
    <w:p>
      <w:pPr>
        <w:pStyle w:val="ListBullet"/>
        <w:spacing w:after="40"/>
      </w:pPr>
      <w:r>
        <w:t>Cho XGBoost rolling retraining theo ngày/tuần và theo dõi drift của MAE/WAPE.</w:t>
      </w:r>
    </w:p>
    <w:p>
      <w:pPr>
        <w:pStyle w:val="ListBullet"/>
        <w:spacing w:after="40"/>
      </w:pPr>
      <w:r>
        <w:t>Huấn luyện residual model bằng out-of-fold residual để tránh residual train quá lạc quan.</w:t>
      </w:r>
    </w:p>
    <w:p>
      <w:pPr>
        <w:pStyle w:val="ListBullet"/>
        <w:spacing w:after="40"/>
      </w:pPr>
      <w:r>
        <w:t>Thử GRU/TCN cho residual, hoặc multi-scale residual sequence 1h + 6h + 24h + 7 ngày.</w:t>
      </w:r>
    </w:p>
    <w:p>
      <w:pPr>
        <w:pStyle w:val="ListBullet"/>
        <w:spacing w:after="40"/>
      </w:pPr>
      <w:r>
        <w:t>Bổ sung weather/holiday/context features nếu có để cải thiện forecast ahead-of-time.</w:t>
      </w:r>
    </w:p>
    <w:p>
      <w:pPr>
        <w:pStyle w:val="Heading1"/>
      </w:pPr>
      <w:r>
        <w:t>9. Hướng dẫn chạy source code</w:t>
      </w:r>
    </w:p>
    <w:p>
      <w:r>
        <w:t>Source code đi kèm được thiết kế chạy end-to-end từ file CSV gốc. Ví dụ:</w:t>
      </w:r>
    </w:p>
    <w:p>
      <w:r>
        <w:rPr>
          <w:rFonts w:ascii="Consolas" w:hAnsi="Consolas"/>
          <w:sz w:val="18"/>
        </w:rPr>
        <w:t>python electricity_forecasting_pipeline.py --input "household_power_consumption - Copy.csv" --output-dir outputs --start-date 2007-01-01</w:t>
      </w:r>
    </w:p>
    <w:p>
      <w:r>
        <w:t>Để benchmark theo điều kiện dự báo nghiêm ngặt hơn, không dùng biến điện đồng thời tại timestamp tương lai:</w:t>
      </w:r>
    </w:p>
    <w:p>
      <w:r>
        <w:rPr>
          <w:rFonts w:ascii="Consolas" w:hAnsi="Consolas"/>
          <w:sz w:val="18"/>
        </w:rPr>
        <w:t>python electricity_forecasting_pipeline.py --input "household_power_consumption - Copy.csv" --output-dir outputs_strict --strict-forecast</w:t>
      </w:r>
    </w:p>
    <w:p>
      <w:r>
        <w:t>Các output chính gồm cleaned data, gap report, featured dataset, model_metrics.csv, model_predictions.csv, residual_hybrid_predictions.csv và run_metadata.json.</w:t>
      </w:r>
    </w:p>
    <w:p>
      <w:pPr>
        <w:pStyle w:val="Heading1"/>
      </w:pPr>
      <w:r>
        <w:t>10. Kết luận</w:t>
      </w:r>
    </w:p>
    <w:p>
      <w:r>
        <w:t>Thí nghiệm cho thấy chuỗi điện năng có tính tự tương quan và mùa vụ ngày rõ rệt. Các mô hình truyền thống như Seasonal Naive và SARIMA tạo baseline hữu ích nhưng kém hơn các mô hình học máy/sequence. XGBoost khai thác tốt các lag và rolling features; LSTM có lợi khi tăng lookback đến 24 giờ. Cách kết hợp hiệu quả nhất trong thí nghiệm là residual learning: XGBoost học pattern chính và LSTM học phần sai số còn lại theo chuỗi thời gian. Đây là hướng phù hợp để tiếp tục phát triển thành hệ thống học thích nghi/online learning trong giai đoạn sau.</w:t>
      </w:r>
    </w:p>
    <w:sectPr w:rsidR="00FC693F" w:rsidRPr="0006063C" w:rsidSect="00034616">
      <w:footerReference w:type="default" r:id="rId11"/>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Báo cáo dự báo điện năng tiêu thụ | 09/2026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472C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