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1a1a2e"/>
          <w:spacing w:val="40"/>
          <w:sz w:val="36"/>
          <w:szCs w:val="36"/>
        </w:rPr>
        <w:t xml:space="preserve">SANDRA A. LUNA</w:t>
      </w:r>
    </w:p>
    <w:p>
      <w:pPr>
        <w:spacing w:after="40"/>
      </w:pPr>
      <w:r>
        <w:rPr>
          <w:rFonts w:ascii="Arial" w:cs="Arial" w:eastAsia="Arial" w:hAnsi="Arial"/>
          <w:color w:val="2d6a4f"/>
          <w:sz w:val="21"/>
          <w:szCs w:val="21"/>
        </w:rPr>
        <w:t xml:space="preserve">Accounting Professional  |  AI &amp; Blockchain Specialist  |  Remote</w:t>
      </w:r>
    </w:p>
    <w:p>
      <w:pPr>
        <w:spacing w:after="20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lunaabstracted@gmail.com  |  linkedin.com/in/s-a-luna-accounting-ai  |  brightbooksco.etsy.com</w:t>
      </w:r>
    </w:p>
    <w:p>
      <w:pPr>
        <w:pBdr>
          <w:bottom w:val="single" w:color="2d6a4f" w:sz="6" w:space="4"/>
        </w:pBdr>
        <w:spacing w:after="80" w:before="280"/>
      </w:pPr>
      <w:r>
        <w:rPr>
          <w:rFonts w:ascii="Arial" w:cs="Arial" w:eastAsia="Arial" w:hAnsi="Arial"/>
          <w:b/>
          <w:bCs/>
          <w:color w:val="2d6a4f"/>
          <w:spacing w:val="80"/>
          <w:sz w:val="20"/>
          <w:szCs w:val="20"/>
        </w:rPr>
        <w:t xml:space="preserve">PROFESSIONAL SUMMARY</w:t>
      </w:r>
    </w:p>
    <w:p>
      <w:pPr>
        <w:spacing w:after="120" w:before="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Results-driven accounting professional with over 10 years of experience spanning public accounting, hospitality, homeowners’ association management, and nonprofit finance. Uniquely positioned at the intersection of traditional finance and emerging technology — with certified expertise in cryptocurrency, AI application development, and financial automation. Founder of Luna Abstracted and BrightBooks Collective, building AI-powered accounting tools and digital financial products for small businesses. Proven ability to deliver precision and insight in both team-based and independent work environments.</w:t>
      </w:r>
    </w:p>
    <w:p>
      <w:pPr>
        <w:pBdr>
          <w:bottom w:val="single" w:color="2d6a4f" w:sz="6" w:space="4"/>
        </w:pBdr>
        <w:spacing w:after="80" w:before="280"/>
      </w:pPr>
      <w:r>
        <w:rPr>
          <w:rFonts w:ascii="Arial" w:cs="Arial" w:eastAsia="Arial" w:hAnsi="Arial"/>
          <w:b/>
          <w:bCs/>
          <w:color w:val="2d6a4f"/>
          <w:spacing w:val="80"/>
          <w:sz w:val="20"/>
          <w:szCs w:val="20"/>
        </w:rPr>
        <w:t xml:space="preserve">CORE COMPETENCIES</w:t>
      </w:r>
    </w:p>
    <w:p>
      <w:pPr>
        <w:spacing w:before="60"/>
      </w:pP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80"/>
        <w:gridCol w:w="3480"/>
        <w:gridCol w:w="3480"/>
      </w:tblGrid>
      <w:tr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Full-Cycle Bookkeeping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Month-End &amp; Year-End Close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Bank Reconciliations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AI-Enhanced Workflows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Financial Reporting (GAAP)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Accounts Payable/Receivable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Crypto &amp; Digital Assets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Budget Tracking &amp; Variance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QuickBooks / Sage / PeopleSoft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Process Automation &amp; AI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Payroll &amp; Cash Handling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Financial Process Consulting</w:t>
            </w:r>
          </w:p>
        </w:tc>
      </w:tr>
    </w:tbl>
    <w:p>
      <w:pPr>
        <w:pBdr>
          <w:bottom w:val="single" w:color="2d6a4f" w:sz="6" w:space="4"/>
        </w:pBdr>
        <w:spacing w:after="80" w:before="280"/>
      </w:pPr>
      <w:r>
        <w:rPr>
          <w:rFonts w:ascii="Arial" w:cs="Arial" w:eastAsia="Arial" w:hAnsi="Arial"/>
          <w:b/>
          <w:bCs/>
          <w:color w:val="2d6a4f"/>
          <w:spacing w:val="80"/>
          <w:sz w:val="20"/>
          <w:szCs w:val="20"/>
        </w:rPr>
        <w:t xml:space="preserve">PROFESSIONAL EXPERIENCE</w:t>
      </w:r>
    </w:p>
    <w:p>
      <w:pPr>
        <w:keepNext/>
        <w:tabs>
          <w:tab w:val="right" w:pos="9026"/>
        </w:tabs>
        <w:spacing w:after="20" w:before="20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Founder</w:t>
      </w:r>
      <w:r>
        <w:rPr>
          <w:rFonts w:ascii="Arial" w:cs="Arial" w:eastAsia="Arial" w:hAnsi="Arial"/>
          <w:i/>
          <w:iCs/>
          <w:color w:val="2d6a4f"/>
          <w:sz w:val="20"/>
          <w:szCs w:val="20"/>
        </w:rPr>
        <w:t xml:space="preserve">	Dec 2025 – Present</w:t>
      </w:r>
    </w:p>
    <w:p>
      <w:pPr>
        <w:keepNext/>
        <w:spacing w:after="6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Luna Abstracted  |  Remote  |  Part-Time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Building a portfolio brand at the intersection of accounting, AI, abstract art, and content creation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Developing AI Accountant — an intelligent assistant that automates financial workflows, report generation, and real-time business insights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Produced a two-season podcast exploring accounting, AI, and the future of work via NotebookLM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Building Advisory Council — a community-driven advisory platform on Telegram with TypeScript bot integrations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Created a React-based Command Center dashboard deployed on Cloudflare Pages with PWA capabilities</w:t>
      </w:r>
    </w:p>
    <w:p>
      <w:pPr>
        <w:keepNext/>
        <w:tabs>
          <w:tab w:val="right" w:pos="9026"/>
        </w:tabs>
        <w:spacing w:after="20" w:before="20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Founder</w:t>
      </w:r>
      <w:r>
        <w:rPr>
          <w:rFonts w:ascii="Arial" w:cs="Arial" w:eastAsia="Arial" w:hAnsi="Arial"/>
          <w:i/>
          <w:iCs/>
          <w:color w:val="2d6a4f"/>
          <w:sz w:val="20"/>
          <w:szCs w:val="20"/>
        </w:rPr>
        <w:t xml:space="preserve">	Apr 2025 – Present</w:t>
      </w:r>
    </w:p>
    <w:p>
      <w:pPr>
        <w:keepNext/>
        <w:spacing w:after="6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BrightBooks Collective  |  Remote  |  Part-Time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Founded a digital products business on Etsy specializing in financial tools and templates for small business owners and creatives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Created the Creative Business Finance Toolkit — budgeting templates, financial planning tools, and business resources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Managing multi-platform distribution across Etsy and Gumroad to build scalable, product-led revenue</w:t>
      </w:r>
    </w:p>
    <w:p>
      <w:pPr>
        <w:keepNext/>
        <w:tabs>
          <w:tab w:val="right" w:pos="9026"/>
        </w:tabs>
        <w:spacing w:after="20" w:before="20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Staff Accountant</w:t>
      </w:r>
      <w:r>
        <w:rPr>
          <w:rFonts w:ascii="Arial" w:cs="Arial" w:eastAsia="Arial" w:hAnsi="Arial"/>
          <w:i/>
          <w:iCs/>
          <w:color w:val="2d6a4f"/>
          <w:sz w:val="20"/>
          <w:szCs w:val="20"/>
        </w:rPr>
        <w:t xml:space="preserve">	Apr 2025 – Dec 2025</w:t>
      </w:r>
    </w:p>
    <w:p>
      <w:pPr>
        <w:keepNext/>
        <w:spacing w:after="6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Carrfour Supportive Housing, Inc.  |  Miami, FL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Supported Finance Manager with monthly budget tracking and variance analysis for multiple community grant programs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Processed expense reports, reconciled funding allocations, and created summary dashboards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Collaborated with program managers to ensure timely submission of financial documentation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Improved invoice tracking system, reducing late payments by 30%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Prepared regular reports for stakeholders to aid in budgetary decision-making</w:t>
      </w:r>
    </w:p>
    <w:p>
      <w:pPr>
        <w:keepNext/>
        <w:tabs>
          <w:tab w:val="right" w:pos="9026"/>
        </w:tabs>
        <w:spacing w:after="20" w:before="20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Staff Accountant</w:t>
      </w:r>
      <w:r>
        <w:rPr>
          <w:rFonts w:ascii="Arial" w:cs="Arial" w:eastAsia="Arial" w:hAnsi="Arial"/>
          <w:i/>
          <w:iCs/>
          <w:color w:val="2d6a4f"/>
          <w:sz w:val="20"/>
          <w:szCs w:val="20"/>
        </w:rPr>
        <w:t xml:space="preserve">	Apr 2023 – Apr 2025</w:t>
      </w:r>
    </w:p>
    <w:p>
      <w:pPr>
        <w:keepNext/>
        <w:spacing w:after="6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Mayfair House Hotel &amp; Garden  |  Miami, FL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Oversaw accounts payable for seven outlets in a fast-paced hospitality environment, ensuring accurate and timely processing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Verified purchase orders, resolved discrepancies, and maintained documentation in compliance with accounting standards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Ran monthly aging reports, reconciled vendor statements, and tracked top 20 vendors to ensure accrual accuracy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Managed BirchStreet procurement system — purchase orders, invoice matching, exception clearing, and batch reconciliation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Processed credit applications, negotiated payment terms, and onboarded new vendor accounts</w:t>
      </w:r>
    </w:p>
    <w:p>
      <w:pPr>
        <w:keepNext/>
        <w:tabs>
          <w:tab w:val="right" w:pos="9026"/>
        </w:tabs>
        <w:spacing w:after="20" w:before="20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Property Accountant</w:t>
      </w:r>
      <w:r>
        <w:rPr>
          <w:rFonts w:ascii="Arial" w:cs="Arial" w:eastAsia="Arial" w:hAnsi="Arial"/>
          <w:i/>
          <w:iCs/>
          <w:color w:val="2d6a4f"/>
          <w:sz w:val="20"/>
          <w:szCs w:val="20"/>
        </w:rPr>
        <w:t xml:space="preserve">	Sep 2020 – Apr 2023</w:t>
      </w:r>
    </w:p>
    <w:p>
      <w:pPr>
        <w:keepNext/>
        <w:spacing w:after="6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Juda, Eskew &amp; Associates, P.A.  |  Hybrid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Provided full accounting services including financial reporting, bank reconciliations, and write-ups for assigned condominium and HOA clients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Managed special assessments and processed transfer requests to fund balances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Recorded monthly journal entries, reconciled AR/AP, and booked unassigned items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Entered annual budgets into Accounting CS software for assigned clients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Liaised with property managers and board members as required</w:t>
      </w:r>
    </w:p>
    <w:p>
      <w:pPr>
        <w:keepNext/>
        <w:tabs>
          <w:tab w:val="right" w:pos="9026"/>
        </w:tabs>
        <w:spacing w:after="20" w:before="20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General Accountant</w:t>
      </w:r>
      <w:r>
        <w:rPr>
          <w:rFonts w:ascii="Arial" w:cs="Arial" w:eastAsia="Arial" w:hAnsi="Arial"/>
          <w:i/>
          <w:iCs/>
          <w:color w:val="2d6a4f"/>
          <w:sz w:val="20"/>
          <w:szCs w:val="20"/>
        </w:rPr>
        <w:t xml:space="preserve">	Mar 2018 – Sep 2020</w:t>
      </w:r>
    </w:p>
    <w:p>
      <w:pPr>
        <w:keepNext/>
        <w:spacing w:after="6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W Miami Hotel  |  Miami, FL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Oversaw cash receipts, bank contracts, cash audits, and variance investigations for nine outlets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Managed payroll processes including deductions, allocation schedules, and reporting for 150+ staff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Processed payments, manual check requests, vouchers, and issued gift cards using PeopleSoft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Delivered exceptional service to departments, property managers, and vendors</w:t>
      </w:r>
    </w:p>
    <w:p>
      <w:pPr>
        <w:pBdr>
          <w:bottom w:val="single" w:color="2d6a4f" w:sz="6" w:space="4"/>
        </w:pBdr>
        <w:spacing w:after="80" w:before="280"/>
      </w:pPr>
      <w:r>
        <w:rPr>
          <w:rFonts w:ascii="Arial" w:cs="Arial" w:eastAsia="Arial" w:hAnsi="Arial"/>
          <w:b/>
          <w:bCs/>
          <w:color w:val="2d6a4f"/>
          <w:spacing w:val="80"/>
          <w:sz w:val="20"/>
          <w:szCs w:val="20"/>
        </w:rPr>
        <w:t xml:space="preserve">EARLIER CAREER</w:t>
      </w:r>
    </w:p>
    <w:p>
      <w:pPr>
        <w:spacing w:after="40" w:before="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Key highlights: Streamlined cloud-based accounting transitions (QuickBooks, Sage, Financial Edge, Creative Solutions). Delivered full-cycle accounting across small business, nonprofit, and government sectors.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53"/>
        <w:gridCol w:w="4698"/>
        <w:gridCol w:w="2089"/>
      </w:tblGrid>
      <w:tr>
        <w:tc>
          <w:tcPr>
            <w:tcW w:type="dxa" w:w="36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Staff Accountant — Remote</w:t>
            </w:r>
          </w:p>
        </w:tc>
        <w:tc>
          <w:tcPr>
            <w:tcW w:type="dxa" w:w="46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color w:val="555555"/>
                <w:sz w:val="19"/>
                <w:szCs w:val="19"/>
              </w:rPr>
              <w:t xml:space="preserve">OM Lawn Services, Inc.</w:t>
            </w:r>
          </w:p>
        </w:tc>
        <w:tc>
          <w:tcPr>
            <w:tcW w:type="dxa" w:w="208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color w:val="555555"/>
                <w:sz w:val="19"/>
                <w:szCs w:val="19"/>
              </w:rPr>
              <w:t xml:space="preserve">2017 – 2018</w:t>
            </w:r>
          </w:p>
        </w:tc>
      </w:tr>
      <w:tr>
        <w:tc>
          <w:tcPr>
            <w:tcW w:type="dxa" w:w="36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Staff Accountant</w:t>
            </w:r>
          </w:p>
        </w:tc>
        <w:tc>
          <w:tcPr>
            <w:tcW w:type="dxa" w:w="46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color w:val="555555"/>
                <w:sz w:val="19"/>
                <w:szCs w:val="19"/>
              </w:rPr>
              <w:t xml:space="preserve">Raffa, P.C. (MD, VA, D.C.)</w:t>
            </w:r>
          </w:p>
        </w:tc>
        <w:tc>
          <w:tcPr>
            <w:tcW w:type="dxa" w:w="208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color w:val="555555"/>
                <w:sz w:val="19"/>
                <w:szCs w:val="19"/>
              </w:rPr>
              <w:t xml:space="preserve">2016 – 2017</w:t>
            </w:r>
          </w:p>
        </w:tc>
      </w:tr>
      <w:tr>
        <w:tc>
          <w:tcPr>
            <w:tcW w:type="dxa" w:w="36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Junior Accountant</w:t>
            </w:r>
          </w:p>
        </w:tc>
        <w:tc>
          <w:tcPr>
            <w:tcW w:type="dxa" w:w="46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color w:val="555555"/>
                <w:sz w:val="19"/>
                <w:szCs w:val="19"/>
              </w:rPr>
              <w:t xml:space="preserve">Femwell Group Health, Inc.</w:t>
            </w:r>
          </w:p>
        </w:tc>
        <w:tc>
          <w:tcPr>
            <w:tcW w:type="dxa" w:w="208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color w:val="555555"/>
                <w:sz w:val="19"/>
                <w:szCs w:val="19"/>
              </w:rPr>
              <w:t xml:space="preserve">2015 – 2016</w:t>
            </w:r>
          </w:p>
        </w:tc>
      </w:tr>
      <w:tr>
        <w:tc>
          <w:tcPr>
            <w:tcW w:type="dxa" w:w="36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Accounting Staff</w:t>
            </w:r>
          </w:p>
        </w:tc>
        <w:tc>
          <w:tcPr>
            <w:tcW w:type="dxa" w:w="46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color w:val="555555"/>
                <w:sz w:val="19"/>
                <w:szCs w:val="19"/>
              </w:rPr>
              <w:t xml:space="preserve">Wald, Cohen &amp; Schneider, P.A.</w:t>
            </w:r>
          </w:p>
        </w:tc>
        <w:tc>
          <w:tcPr>
            <w:tcW w:type="dxa" w:w="208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color w:val="555555"/>
                <w:sz w:val="19"/>
                <w:szCs w:val="19"/>
              </w:rPr>
              <w:t xml:space="preserve">2006 – 2015</w:t>
            </w:r>
          </w:p>
        </w:tc>
      </w:tr>
    </w:tbl>
    <w:p>
      <w:pPr>
        <w:pBdr>
          <w:bottom w:val="single" w:color="2d6a4f" w:sz="6" w:space="4"/>
        </w:pBdr>
        <w:spacing w:after="80" w:before="280"/>
      </w:pPr>
      <w:r>
        <w:rPr>
          <w:rFonts w:ascii="Arial" w:cs="Arial" w:eastAsia="Arial" w:hAnsi="Arial"/>
          <w:b/>
          <w:bCs/>
          <w:color w:val="2d6a4f"/>
          <w:spacing w:val="80"/>
          <w:sz w:val="20"/>
          <w:szCs w:val="20"/>
        </w:rPr>
        <w:t xml:space="preserve">CERTIFICATIONS &amp; TRAINING</w:t>
      </w:r>
    </w:p>
    <w:p>
      <w:pPr>
        <w:spacing w:before="60"/>
      </w:pP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7"/>
        <w:gridCol w:w="3133"/>
      </w:tblGrid>
      <w:tr>
        <w:tc>
          <w:tcPr>
            <w:tcW w:type="dxa" w:w="73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Intuit Academy Certification</w:t>
            </w:r>
          </w:p>
        </w:tc>
        <w:tc>
          <w:tcPr>
            <w:tcW w:type="dxa" w:w="31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i/>
                <w:iCs/>
                <w:color w:val="2d6a4f"/>
                <w:sz w:val="20"/>
                <w:szCs w:val="20"/>
              </w:rPr>
              <w:t xml:space="preserve">In Progress (2026)</w:t>
            </w:r>
          </w:p>
        </w:tc>
      </w:tr>
      <w:tr>
        <w:tc>
          <w:tcPr>
            <w:tcW w:type="dxa" w:w="73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Cryptocurrency &amp; Blockchain Certification</w:t>
            </w:r>
          </w:p>
        </w:tc>
        <w:tc>
          <w:tcPr>
            <w:tcW w:type="dxa" w:w="31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i/>
                <w:iCs/>
                <w:color w:val="2d6a4f"/>
                <w:sz w:val="20"/>
                <w:szCs w:val="20"/>
              </w:rPr>
              <w:t xml:space="preserve">Completed (2026)</w:t>
            </w:r>
          </w:p>
        </w:tc>
      </w:tr>
      <w:tr>
        <w:tc>
          <w:tcPr>
            <w:tcW w:type="dxa" w:w="73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Claude Code AI in Action Certificate</w:t>
            </w:r>
          </w:p>
        </w:tc>
        <w:tc>
          <w:tcPr>
            <w:tcW w:type="dxa" w:w="31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i/>
                <w:iCs/>
                <w:color w:val="2d6a4f"/>
                <w:sz w:val="20"/>
                <w:szCs w:val="20"/>
              </w:rPr>
              <w:t xml:space="preserve">Completed (2026)</w:t>
            </w:r>
          </w:p>
        </w:tc>
      </w:tr>
    </w:tbl>
    <w:p>
      <w:pPr>
        <w:pBdr>
          <w:bottom w:val="single" w:color="2d6a4f" w:sz="6" w:space="4"/>
        </w:pBdr>
        <w:spacing w:after="80" w:before="280"/>
      </w:pPr>
      <w:r>
        <w:rPr>
          <w:rFonts w:ascii="Arial" w:cs="Arial" w:eastAsia="Arial" w:hAnsi="Arial"/>
          <w:b/>
          <w:bCs/>
          <w:color w:val="2d6a4f"/>
          <w:spacing w:val="80"/>
          <w:sz w:val="20"/>
          <w:szCs w:val="20"/>
        </w:rPr>
        <w:t xml:space="preserve">EDUCATION</w:t>
      </w:r>
    </w:p>
    <w:p>
      <w:pPr>
        <w:spacing w:after="20" w:before="80"/>
      </w:pPr>
      <w:r>
        <w:rPr>
          <w:rFonts w:ascii="Arial" w:cs="Arial" w:eastAsia="Arial" w:hAnsi="Arial"/>
          <w:b/>
          <w:bCs/>
          <w:color w:val="1a1a2e"/>
          <w:sz w:val="20"/>
          <w:szCs w:val="20"/>
        </w:rPr>
        <w:t xml:space="preserve">Florida International University</w:t>
      </w:r>
    </w:p>
    <w:p>
      <w:pPr>
        <w:spacing w:after="12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Bachelor’s in Public Administration with concentration in Accounting</w:t>
      </w:r>
    </w:p>
    <w:p>
      <w:pPr>
        <w:pBdr>
          <w:bottom w:val="single" w:color="2d6a4f" w:sz="6" w:space="4"/>
        </w:pBdr>
        <w:spacing w:after="80" w:before="280"/>
      </w:pPr>
      <w:r>
        <w:rPr>
          <w:rFonts w:ascii="Arial" w:cs="Arial" w:eastAsia="Arial" w:hAnsi="Arial"/>
          <w:b/>
          <w:bCs/>
          <w:color w:val="2d6a4f"/>
          <w:spacing w:val="80"/>
          <w:sz w:val="20"/>
          <w:szCs w:val="20"/>
        </w:rPr>
        <w:t xml:space="preserve">TECHNICAL PROFICIENCY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333333"/>
          <w:sz w:val="19"/>
          <w:szCs w:val="19"/>
        </w:rPr>
        <w:t xml:space="preserve">Accounting: 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QuickBooks (Desktop &amp; Online), Sage, PeopleSoft, Financial Edge, Creative Solutions, Accounting CS, M3, BirchStreet</w:t>
      </w:r>
    </w:p>
    <w:p>
      <w:pPr>
        <w:spacing w:after="30"/>
      </w:pPr>
      <w:r>
        <w:rPr>
          <w:rFonts w:ascii="Arial" w:cs="Arial" w:eastAsia="Arial" w:hAnsi="Arial"/>
          <w:b/>
          <w:bCs/>
          <w:color w:val="333333"/>
          <w:sz w:val="19"/>
          <w:szCs w:val="19"/>
        </w:rPr>
        <w:t xml:space="preserve">Technology: 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Claude AI, React, TypeScript, Cloudflare Pages, GitHub, NotebookLM, MS Excel (Advanced)</w:t>
      </w:r>
    </w:p>
    <w:p>
      <w:pPr>
        <w:spacing w:after="30"/>
      </w:pPr>
      <w:r>
        <w:rPr>
          <w:rFonts w:ascii="Arial" w:cs="Arial" w:eastAsia="Arial" w:hAnsi="Arial"/>
          <w:b/>
          <w:bCs/>
          <w:color w:val="333333"/>
          <w:sz w:val="19"/>
          <w:szCs w:val="19"/>
        </w:rPr>
        <w:t xml:space="preserve">Platforms: 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Etsy, Gumroad, Telegram, Cloudflare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333333"/>
          <w:sz w:val="19"/>
          <w:szCs w:val="19"/>
        </w:rPr>
        <w:t xml:space="preserve">Languages: 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English (Fluent), Spanish (Fluent)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40" w:hanging="1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2026-04-09T18:11:26.026Z</dcterms:created>
  <dcterms:modified xsi:type="dcterms:W3CDTF">2026-04-09T18:11:26.026Z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