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93A4" w14:textId="036E7072" w:rsidR="0079365F" w:rsidRPr="00400E40" w:rsidRDefault="0079365F" w:rsidP="004B281E">
      <w:pPr>
        <w:spacing w:line="360" w:lineRule="auto"/>
        <w:jc w:val="center"/>
        <w:rPr>
          <w:rFonts w:ascii="Arial" w:hAnsi="Arial" w:cs="Arial"/>
          <w:b/>
          <w:bCs/>
          <w:sz w:val="22"/>
          <w:szCs w:val="22"/>
        </w:rPr>
      </w:pPr>
      <w:r w:rsidRPr="00400E40">
        <w:drawing>
          <wp:inline distT="0" distB="0" distL="0" distR="0" wp14:anchorId="0622E74F" wp14:editId="12859F20">
            <wp:extent cx="2228850" cy="648004"/>
            <wp:effectExtent l="0" t="0" r="0" b="0"/>
            <wp:docPr id="1289988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0223" cy="651311"/>
                    </a:xfrm>
                    <a:prstGeom prst="rect">
                      <a:avLst/>
                    </a:prstGeom>
                    <a:noFill/>
                    <a:ln>
                      <a:noFill/>
                    </a:ln>
                  </pic:spPr>
                </pic:pic>
              </a:graphicData>
            </a:graphic>
          </wp:inline>
        </w:drawing>
      </w:r>
    </w:p>
    <w:p w14:paraId="4911B371" w14:textId="43BD6A17" w:rsidR="00504EC8" w:rsidRPr="00400E40" w:rsidRDefault="00504EC8" w:rsidP="004B281E">
      <w:pPr>
        <w:spacing w:line="360" w:lineRule="auto"/>
        <w:jc w:val="center"/>
        <w:rPr>
          <w:rFonts w:ascii="Arial" w:hAnsi="Arial" w:cs="Arial"/>
          <w:b/>
          <w:bCs/>
          <w:sz w:val="22"/>
          <w:szCs w:val="22"/>
        </w:rPr>
      </w:pPr>
      <w:r w:rsidRPr="00400E40">
        <w:rPr>
          <w:rFonts w:ascii="Arial" w:hAnsi="Arial" w:cs="Arial"/>
          <w:b/>
          <w:bCs/>
          <w:sz w:val="22"/>
          <w:szCs w:val="22"/>
        </w:rPr>
        <w:t>Faculdade de Informática e Administração Paulista</w:t>
      </w:r>
    </w:p>
    <w:p w14:paraId="7BA1B3C6" w14:textId="77777777" w:rsidR="004B281E" w:rsidRPr="00400E40" w:rsidRDefault="004B281E" w:rsidP="004B281E">
      <w:pPr>
        <w:spacing w:line="360" w:lineRule="auto"/>
        <w:jc w:val="center"/>
        <w:rPr>
          <w:rFonts w:ascii="Arial" w:hAnsi="Arial" w:cs="Arial"/>
          <w:b/>
          <w:bCs/>
          <w:sz w:val="22"/>
          <w:szCs w:val="22"/>
        </w:rPr>
      </w:pPr>
    </w:p>
    <w:p w14:paraId="4FC6C5A3" w14:textId="77777777" w:rsidR="00E96B24" w:rsidRPr="00400E40" w:rsidRDefault="00E96B24" w:rsidP="004B281E">
      <w:pPr>
        <w:spacing w:line="360" w:lineRule="auto"/>
        <w:jc w:val="center"/>
        <w:rPr>
          <w:rFonts w:ascii="Arial" w:hAnsi="Arial" w:cs="Arial"/>
          <w:b/>
          <w:bCs/>
          <w:sz w:val="22"/>
          <w:szCs w:val="22"/>
        </w:rPr>
      </w:pPr>
    </w:p>
    <w:p w14:paraId="471DBFA1" w14:textId="77777777" w:rsidR="00504EC8" w:rsidRPr="00400E40" w:rsidRDefault="00504EC8" w:rsidP="004B281E">
      <w:pPr>
        <w:spacing w:line="360" w:lineRule="auto"/>
        <w:jc w:val="center"/>
        <w:rPr>
          <w:rFonts w:ascii="Arial" w:hAnsi="Arial" w:cs="Arial"/>
          <w:b/>
          <w:bCs/>
          <w:sz w:val="36"/>
          <w:szCs w:val="36"/>
        </w:rPr>
      </w:pPr>
      <w:r w:rsidRPr="00400E40">
        <w:rPr>
          <w:rFonts w:ascii="Arial" w:hAnsi="Arial" w:cs="Arial"/>
          <w:b/>
          <w:bCs/>
          <w:sz w:val="36"/>
          <w:szCs w:val="36"/>
        </w:rPr>
        <w:t>TECH CHALLENGE</w:t>
      </w:r>
    </w:p>
    <w:p w14:paraId="78AF60EB" w14:textId="77777777" w:rsidR="004B281E" w:rsidRPr="00400E40" w:rsidRDefault="004B281E" w:rsidP="004B281E">
      <w:pPr>
        <w:spacing w:line="360" w:lineRule="auto"/>
        <w:jc w:val="center"/>
        <w:rPr>
          <w:rFonts w:ascii="Arial" w:hAnsi="Arial" w:cs="Arial"/>
          <w:b/>
          <w:bCs/>
          <w:sz w:val="36"/>
          <w:szCs w:val="36"/>
        </w:rPr>
      </w:pPr>
    </w:p>
    <w:p w14:paraId="5B4D6B90" w14:textId="77777777" w:rsidR="00504EC8" w:rsidRPr="00400E40" w:rsidRDefault="00504EC8" w:rsidP="00541784">
      <w:pPr>
        <w:spacing w:line="360" w:lineRule="auto"/>
        <w:jc w:val="center"/>
        <w:rPr>
          <w:rFonts w:ascii="Arial" w:hAnsi="Arial" w:cs="Arial"/>
          <w:b/>
          <w:bCs/>
          <w:sz w:val="32"/>
          <w:szCs w:val="32"/>
        </w:rPr>
      </w:pPr>
      <w:r w:rsidRPr="00400E40">
        <w:rPr>
          <w:rFonts w:ascii="Arial" w:hAnsi="Arial" w:cs="Arial"/>
          <w:b/>
          <w:bCs/>
          <w:sz w:val="32"/>
          <w:szCs w:val="32"/>
        </w:rPr>
        <w:t>ANÁLISE DE DADOS DO E-COMMERCE BRASILEIRO (OLIST)</w:t>
      </w:r>
    </w:p>
    <w:p w14:paraId="3C6509FD" w14:textId="77777777" w:rsidR="00E96B24" w:rsidRPr="00400E40" w:rsidRDefault="00E96B24" w:rsidP="00504EC8">
      <w:pPr>
        <w:spacing w:line="360" w:lineRule="auto"/>
        <w:jc w:val="both"/>
        <w:rPr>
          <w:rFonts w:ascii="Arial" w:hAnsi="Arial" w:cs="Arial"/>
          <w:b/>
          <w:bCs/>
          <w:sz w:val="32"/>
          <w:szCs w:val="32"/>
        </w:rPr>
      </w:pPr>
    </w:p>
    <w:p w14:paraId="41686F0E" w14:textId="77777777" w:rsidR="00504EC8" w:rsidRPr="00400E40" w:rsidRDefault="00504EC8" w:rsidP="00E96B24">
      <w:pPr>
        <w:spacing w:line="360" w:lineRule="auto"/>
        <w:jc w:val="center"/>
        <w:rPr>
          <w:rFonts w:ascii="Arial" w:hAnsi="Arial" w:cs="Arial"/>
          <w:b/>
          <w:bCs/>
          <w:sz w:val="28"/>
          <w:szCs w:val="28"/>
        </w:rPr>
      </w:pPr>
      <w:r w:rsidRPr="00400E40">
        <w:rPr>
          <w:rFonts w:ascii="Arial" w:hAnsi="Arial" w:cs="Arial"/>
          <w:b/>
          <w:bCs/>
          <w:sz w:val="28"/>
          <w:szCs w:val="28"/>
        </w:rPr>
        <w:t>Pós-Graduação em Data Analytics</w:t>
      </w:r>
    </w:p>
    <w:p w14:paraId="3F68C0B7" w14:textId="77777777" w:rsidR="00E96B24" w:rsidRPr="00400E40" w:rsidRDefault="00E96B24" w:rsidP="00504EC8">
      <w:pPr>
        <w:spacing w:line="360" w:lineRule="auto"/>
        <w:jc w:val="both"/>
        <w:rPr>
          <w:rFonts w:ascii="Arial" w:hAnsi="Arial" w:cs="Arial"/>
          <w:b/>
          <w:bCs/>
        </w:rPr>
      </w:pPr>
    </w:p>
    <w:p w14:paraId="5E68D9F6" w14:textId="77777777" w:rsidR="00E96B24" w:rsidRPr="00400E40" w:rsidRDefault="00E96B24" w:rsidP="00504EC8">
      <w:pPr>
        <w:spacing w:line="360" w:lineRule="auto"/>
        <w:jc w:val="both"/>
        <w:rPr>
          <w:rFonts w:ascii="Arial" w:hAnsi="Arial" w:cs="Arial"/>
          <w:b/>
          <w:bCs/>
        </w:rPr>
      </w:pPr>
    </w:p>
    <w:p w14:paraId="4D086400" w14:textId="77777777" w:rsidR="00E96B24" w:rsidRPr="00400E40" w:rsidRDefault="00E96B24" w:rsidP="00504EC8">
      <w:pPr>
        <w:spacing w:line="360" w:lineRule="auto"/>
        <w:jc w:val="both"/>
        <w:rPr>
          <w:rFonts w:ascii="Arial" w:hAnsi="Arial" w:cs="Arial"/>
          <w:b/>
          <w:bCs/>
        </w:rPr>
      </w:pPr>
    </w:p>
    <w:p w14:paraId="5E7934C4" w14:textId="18D56174" w:rsidR="00504EC8" w:rsidRPr="00400E40" w:rsidRDefault="00504EC8" w:rsidP="00504EC8">
      <w:pPr>
        <w:spacing w:line="360" w:lineRule="auto"/>
        <w:jc w:val="both"/>
        <w:rPr>
          <w:rFonts w:ascii="Arial" w:hAnsi="Arial" w:cs="Arial"/>
          <w:b/>
          <w:bCs/>
        </w:rPr>
      </w:pPr>
      <w:r w:rsidRPr="00400E40">
        <w:rPr>
          <w:rFonts w:ascii="Arial" w:hAnsi="Arial" w:cs="Arial"/>
          <w:b/>
          <w:bCs/>
        </w:rPr>
        <w:t>Integrantes do Grupo:</w:t>
      </w:r>
    </w:p>
    <w:p w14:paraId="4F47405D" w14:textId="6C3E4480" w:rsidR="0075637A" w:rsidRPr="00400E40" w:rsidRDefault="0075637A" w:rsidP="00504EC8">
      <w:pPr>
        <w:numPr>
          <w:ilvl w:val="0"/>
          <w:numId w:val="10"/>
        </w:numPr>
        <w:spacing w:line="360" w:lineRule="auto"/>
        <w:jc w:val="both"/>
        <w:rPr>
          <w:rFonts w:ascii="Arial" w:hAnsi="Arial" w:cs="Arial"/>
          <w:b/>
          <w:bCs/>
        </w:rPr>
      </w:pPr>
      <w:r w:rsidRPr="00400E40">
        <w:rPr>
          <w:rFonts w:ascii="Arial" w:hAnsi="Arial" w:cs="Arial"/>
          <w:b/>
          <w:bCs/>
        </w:rPr>
        <w:t>Arthur Luna da Silva</w:t>
      </w:r>
    </w:p>
    <w:p w14:paraId="7EDDB421" w14:textId="3C681970" w:rsidR="00D7271B" w:rsidRPr="00400E40" w:rsidRDefault="00D7271B" w:rsidP="00504EC8">
      <w:pPr>
        <w:numPr>
          <w:ilvl w:val="0"/>
          <w:numId w:val="10"/>
        </w:numPr>
        <w:spacing w:line="360" w:lineRule="auto"/>
        <w:jc w:val="both"/>
        <w:rPr>
          <w:rFonts w:ascii="Arial" w:hAnsi="Arial" w:cs="Arial"/>
          <w:b/>
          <w:bCs/>
        </w:rPr>
      </w:pPr>
      <w:r w:rsidRPr="00400E40">
        <w:rPr>
          <w:rFonts w:ascii="Arial" w:hAnsi="Arial" w:cs="Arial"/>
          <w:b/>
          <w:bCs/>
        </w:rPr>
        <w:t>Isaque da Silva Lacerda</w:t>
      </w:r>
    </w:p>
    <w:p w14:paraId="6AEA2462" w14:textId="7483AE83" w:rsidR="00504EC8" w:rsidRPr="00400E40" w:rsidRDefault="00504EC8" w:rsidP="00504EC8">
      <w:pPr>
        <w:numPr>
          <w:ilvl w:val="0"/>
          <w:numId w:val="10"/>
        </w:numPr>
        <w:spacing w:line="360" w:lineRule="auto"/>
        <w:jc w:val="both"/>
        <w:rPr>
          <w:rFonts w:ascii="Arial" w:hAnsi="Arial" w:cs="Arial"/>
          <w:b/>
          <w:bCs/>
        </w:rPr>
      </w:pPr>
      <w:r w:rsidRPr="00400E40">
        <w:rPr>
          <w:rFonts w:ascii="Arial" w:hAnsi="Arial" w:cs="Arial"/>
          <w:b/>
          <w:bCs/>
        </w:rPr>
        <w:t>Nat</w:t>
      </w:r>
      <w:r w:rsidR="00606C3A">
        <w:rPr>
          <w:rFonts w:ascii="Arial" w:hAnsi="Arial" w:cs="Arial"/>
          <w:b/>
          <w:bCs/>
        </w:rPr>
        <w:t>á</w:t>
      </w:r>
      <w:r w:rsidRPr="00400E40">
        <w:rPr>
          <w:rFonts w:ascii="Arial" w:hAnsi="Arial" w:cs="Arial"/>
          <w:b/>
          <w:bCs/>
        </w:rPr>
        <w:t>lia Vartuli</w:t>
      </w:r>
      <w:r w:rsidR="00D7271B" w:rsidRPr="00400E40">
        <w:rPr>
          <w:rFonts w:ascii="Arial" w:hAnsi="Arial" w:cs="Arial"/>
          <w:b/>
          <w:bCs/>
        </w:rPr>
        <w:t xml:space="preserve"> Cordeiro Boletig</w:t>
      </w:r>
    </w:p>
    <w:p w14:paraId="3EE7E4C4" w14:textId="23100CEB" w:rsidR="00D7271B" w:rsidRPr="00400E40" w:rsidRDefault="00D7271B" w:rsidP="00504EC8">
      <w:pPr>
        <w:numPr>
          <w:ilvl w:val="0"/>
          <w:numId w:val="10"/>
        </w:numPr>
        <w:spacing w:line="360" w:lineRule="auto"/>
        <w:jc w:val="both"/>
        <w:rPr>
          <w:rFonts w:ascii="Arial" w:hAnsi="Arial" w:cs="Arial"/>
          <w:b/>
          <w:bCs/>
        </w:rPr>
      </w:pPr>
      <w:r w:rsidRPr="00400E40">
        <w:rPr>
          <w:rFonts w:ascii="Arial" w:hAnsi="Arial" w:cs="Arial"/>
          <w:b/>
          <w:bCs/>
        </w:rPr>
        <w:t>Paulo Emanuel de Souza Coutinho</w:t>
      </w:r>
    </w:p>
    <w:p w14:paraId="5C5AD78E" w14:textId="77777777" w:rsidR="00E96B24" w:rsidRPr="00400E40" w:rsidRDefault="00E96B24" w:rsidP="00504EC8">
      <w:pPr>
        <w:spacing w:line="360" w:lineRule="auto"/>
        <w:jc w:val="both"/>
        <w:rPr>
          <w:rFonts w:ascii="Arial" w:hAnsi="Arial" w:cs="Arial"/>
          <w:b/>
          <w:bCs/>
          <w:sz w:val="22"/>
          <w:szCs w:val="22"/>
        </w:rPr>
      </w:pPr>
    </w:p>
    <w:p w14:paraId="5397E3D7" w14:textId="494E4FDE" w:rsidR="00504EC8" w:rsidRPr="00400E40" w:rsidRDefault="00504EC8" w:rsidP="00504EC8">
      <w:pPr>
        <w:spacing w:line="360" w:lineRule="auto"/>
        <w:jc w:val="both"/>
        <w:rPr>
          <w:rFonts w:ascii="Arial" w:hAnsi="Arial" w:cs="Arial"/>
          <w:b/>
          <w:bCs/>
          <w:sz w:val="22"/>
          <w:szCs w:val="22"/>
        </w:rPr>
      </w:pPr>
      <w:r w:rsidRPr="00400E40">
        <w:rPr>
          <w:rFonts w:ascii="Arial" w:hAnsi="Arial" w:cs="Arial"/>
          <w:b/>
          <w:bCs/>
          <w:sz w:val="22"/>
          <w:szCs w:val="22"/>
        </w:rPr>
        <w:t>Junho/2026</w:t>
      </w:r>
    </w:p>
    <w:p w14:paraId="29A4798F" w14:textId="5AF17BF2" w:rsidR="009A698C" w:rsidRPr="00400E40" w:rsidRDefault="009A698C" w:rsidP="005D1865">
      <w:pPr>
        <w:spacing w:line="360" w:lineRule="auto"/>
        <w:jc w:val="both"/>
        <w:rPr>
          <w:rFonts w:ascii="Arial" w:hAnsi="Arial" w:cs="Arial"/>
          <w:b/>
          <w:bCs/>
          <w:sz w:val="28"/>
          <w:szCs w:val="28"/>
        </w:rPr>
      </w:pPr>
      <w:r w:rsidRPr="00400E40">
        <w:rPr>
          <w:rFonts w:ascii="Arial" w:hAnsi="Arial" w:cs="Arial"/>
          <w:b/>
          <w:bCs/>
          <w:sz w:val="28"/>
          <w:szCs w:val="28"/>
        </w:rPr>
        <w:t>Sum</w:t>
      </w:r>
      <w:r w:rsidR="00E7608E" w:rsidRPr="00400E40">
        <w:rPr>
          <w:rFonts w:ascii="Arial" w:hAnsi="Arial" w:cs="Arial"/>
          <w:b/>
          <w:bCs/>
          <w:sz w:val="28"/>
          <w:szCs w:val="28"/>
        </w:rPr>
        <w:t>á</w:t>
      </w:r>
      <w:r w:rsidRPr="00400E40">
        <w:rPr>
          <w:rFonts w:ascii="Arial" w:hAnsi="Arial" w:cs="Arial"/>
          <w:b/>
          <w:bCs/>
          <w:sz w:val="28"/>
          <w:szCs w:val="28"/>
        </w:rPr>
        <w:t>rio</w:t>
      </w:r>
    </w:p>
    <w:sdt>
      <w:sdtPr>
        <w:id w:val="1941555583"/>
        <w:docPartObj>
          <w:docPartGallery w:val="Table of Contents"/>
          <w:docPartUnique/>
        </w:docPartObj>
      </w:sdtPr>
      <w:sdtEndPr>
        <w:rPr>
          <w:b/>
          <w:bCs/>
        </w:rPr>
      </w:sdtEndPr>
      <w:sdtContent>
        <w:p w14:paraId="157A9F9E" w14:textId="4D37AEDE" w:rsidR="00057AD3" w:rsidRDefault="005436C8">
          <w:pPr>
            <w:pStyle w:val="TOC1"/>
            <w:tabs>
              <w:tab w:val="left" w:pos="480"/>
              <w:tab w:val="right" w:leader="dot" w:pos="8828"/>
            </w:tabs>
            <w:rPr>
              <w:rFonts w:eastAsiaTheme="minorEastAsia"/>
              <w:lang w:val="es-MX" w:eastAsia="es-MX"/>
            </w:rPr>
          </w:pPr>
          <w:r w:rsidRPr="00400E40">
            <w:fldChar w:fldCharType="begin"/>
          </w:r>
          <w:r w:rsidRPr="00400E40">
            <w:instrText xml:space="preserve"> TOC \o "1-3" \h \z \u </w:instrText>
          </w:r>
          <w:r w:rsidRPr="00400E40">
            <w:fldChar w:fldCharType="separate"/>
          </w:r>
          <w:hyperlink w:anchor="_Toc232533209" w:history="1">
            <w:r w:rsidR="00057AD3" w:rsidRPr="00B2433A">
              <w:rPr>
                <w:rStyle w:val="Hyperlink"/>
              </w:rPr>
              <w:t>1.</w:t>
            </w:r>
            <w:r w:rsidR="00057AD3">
              <w:rPr>
                <w:rFonts w:eastAsiaTheme="minorEastAsia"/>
                <w:lang w:val="es-MX" w:eastAsia="es-MX"/>
              </w:rPr>
              <w:tab/>
            </w:r>
            <w:r w:rsidR="00057AD3" w:rsidRPr="00B2433A">
              <w:rPr>
                <w:rStyle w:val="Hyperlink"/>
              </w:rPr>
              <w:t>Introdução</w:t>
            </w:r>
            <w:r w:rsidR="00057AD3">
              <w:rPr>
                <w:webHidden/>
              </w:rPr>
              <w:tab/>
            </w:r>
            <w:r w:rsidR="00057AD3">
              <w:rPr>
                <w:webHidden/>
              </w:rPr>
              <w:fldChar w:fldCharType="begin"/>
            </w:r>
            <w:r w:rsidR="00057AD3">
              <w:rPr>
                <w:webHidden/>
              </w:rPr>
              <w:instrText xml:space="preserve"> PAGEREF _Toc232533209 \h </w:instrText>
            </w:r>
            <w:r w:rsidR="00057AD3">
              <w:rPr>
                <w:webHidden/>
              </w:rPr>
            </w:r>
            <w:r w:rsidR="00057AD3">
              <w:rPr>
                <w:webHidden/>
              </w:rPr>
              <w:fldChar w:fldCharType="separate"/>
            </w:r>
            <w:r w:rsidR="00057AD3">
              <w:rPr>
                <w:webHidden/>
              </w:rPr>
              <w:t>3</w:t>
            </w:r>
            <w:r w:rsidR="00057AD3">
              <w:rPr>
                <w:webHidden/>
              </w:rPr>
              <w:fldChar w:fldCharType="end"/>
            </w:r>
          </w:hyperlink>
        </w:p>
        <w:p w14:paraId="1C4A3B1B" w14:textId="640E93B9" w:rsidR="00057AD3" w:rsidRDefault="00057AD3">
          <w:pPr>
            <w:pStyle w:val="TOC1"/>
            <w:tabs>
              <w:tab w:val="left" w:pos="480"/>
              <w:tab w:val="right" w:leader="dot" w:pos="8828"/>
            </w:tabs>
            <w:rPr>
              <w:rFonts w:eastAsiaTheme="minorEastAsia"/>
              <w:lang w:val="es-MX" w:eastAsia="es-MX"/>
            </w:rPr>
          </w:pPr>
          <w:hyperlink w:anchor="_Toc232533210" w:history="1">
            <w:r w:rsidRPr="00B2433A">
              <w:rPr>
                <w:rStyle w:val="Hyperlink"/>
              </w:rPr>
              <w:t>2.</w:t>
            </w:r>
            <w:r>
              <w:rPr>
                <w:rFonts w:eastAsiaTheme="minorEastAsia"/>
                <w:lang w:val="es-MX" w:eastAsia="es-MX"/>
              </w:rPr>
              <w:tab/>
            </w:r>
            <w:r w:rsidRPr="00B2433A">
              <w:rPr>
                <w:rStyle w:val="Hyperlink"/>
              </w:rPr>
              <w:t>Metodologia</w:t>
            </w:r>
            <w:r>
              <w:rPr>
                <w:webHidden/>
              </w:rPr>
              <w:tab/>
            </w:r>
            <w:r>
              <w:rPr>
                <w:webHidden/>
              </w:rPr>
              <w:fldChar w:fldCharType="begin"/>
            </w:r>
            <w:r>
              <w:rPr>
                <w:webHidden/>
              </w:rPr>
              <w:instrText xml:space="preserve"> PAGEREF _Toc232533210 \h </w:instrText>
            </w:r>
            <w:r>
              <w:rPr>
                <w:webHidden/>
              </w:rPr>
            </w:r>
            <w:r>
              <w:rPr>
                <w:webHidden/>
              </w:rPr>
              <w:fldChar w:fldCharType="separate"/>
            </w:r>
            <w:r>
              <w:rPr>
                <w:webHidden/>
              </w:rPr>
              <w:t>3</w:t>
            </w:r>
            <w:r>
              <w:rPr>
                <w:webHidden/>
              </w:rPr>
              <w:fldChar w:fldCharType="end"/>
            </w:r>
          </w:hyperlink>
        </w:p>
        <w:p w14:paraId="66CA3D75" w14:textId="011187F2" w:rsidR="00057AD3" w:rsidRDefault="00057AD3">
          <w:pPr>
            <w:pStyle w:val="TOC2"/>
            <w:tabs>
              <w:tab w:val="left" w:pos="960"/>
              <w:tab w:val="right" w:leader="dot" w:pos="8828"/>
            </w:tabs>
            <w:rPr>
              <w:rFonts w:eastAsiaTheme="minorEastAsia"/>
              <w:lang w:val="es-MX" w:eastAsia="es-MX"/>
            </w:rPr>
          </w:pPr>
          <w:hyperlink w:anchor="_Toc232533211" w:history="1">
            <w:r w:rsidRPr="00B2433A">
              <w:rPr>
                <w:rStyle w:val="Hyperlink"/>
              </w:rPr>
              <w:t>2.1.</w:t>
            </w:r>
            <w:r>
              <w:rPr>
                <w:rFonts w:eastAsiaTheme="minorEastAsia"/>
                <w:lang w:val="es-MX" w:eastAsia="es-MX"/>
              </w:rPr>
              <w:tab/>
            </w:r>
            <w:r w:rsidRPr="00B2433A">
              <w:rPr>
                <w:rStyle w:val="Hyperlink"/>
              </w:rPr>
              <w:t>Fonte dos Dados</w:t>
            </w:r>
            <w:r>
              <w:rPr>
                <w:webHidden/>
              </w:rPr>
              <w:tab/>
            </w:r>
            <w:r>
              <w:rPr>
                <w:webHidden/>
              </w:rPr>
              <w:fldChar w:fldCharType="begin"/>
            </w:r>
            <w:r>
              <w:rPr>
                <w:webHidden/>
              </w:rPr>
              <w:instrText xml:space="preserve"> PAGEREF _Toc232533211 \h </w:instrText>
            </w:r>
            <w:r>
              <w:rPr>
                <w:webHidden/>
              </w:rPr>
            </w:r>
            <w:r>
              <w:rPr>
                <w:webHidden/>
              </w:rPr>
              <w:fldChar w:fldCharType="separate"/>
            </w:r>
            <w:r>
              <w:rPr>
                <w:webHidden/>
              </w:rPr>
              <w:t>3</w:t>
            </w:r>
            <w:r>
              <w:rPr>
                <w:webHidden/>
              </w:rPr>
              <w:fldChar w:fldCharType="end"/>
            </w:r>
          </w:hyperlink>
        </w:p>
        <w:p w14:paraId="77A48E00" w14:textId="3F319CB2" w:rsidR="00057AD3" w:rsidRDefault="00057AD3">
          <w:pPr>
            <w:pStyle w:val="TOC2"/>
            <w:tabs>
              <w:tab w:val="left" w:pos="960"/>
              <w:tab w:val="right" w:leader="dot" w:pos="8828"/>
            </w:tabs>
            <w:rPr>
              <w:rFonts w:eastAsiaTheme="minorEastAsia"/>
              <w:lang w:val="es-MX" w:eastAsia="es-MX"/>
            </w:rPr>
          </w:pPr>
          <w:hyperlink w:anchor="_Toc232533212" w:history="1">
            <w:r w:rsidRPr="00B2433A">
              <w:rPr>
                <w:rStyle w:val="Hyperlink"/>
              </w:rPr>
              <w:t>2.2.</w:t>
            </w:r>
            <w:r>
              <w:rPr>
                <w:rFonts w:eastAsiaTheme="minorEastAsia"/>
                <w:lang w:val="es-MX" w:eastAsia="es-MX"/>
              </w:rPr>
              <w:tab/>
            </w:r>
            <w:r w:rsidRPr="00B2433A">
              <w:rPr>
                <w:rStyle w:val="Hyperlink"/>
              </w:rPr>
              <w:t>Tratamento e Qualidade dos Dados</w:t>
            </w:r>
            <w:r>
              <w:rPr>
                <w:webHidden/>
              </w:rPr>
              <w:tab/>
            </w:r>
            <w:r>
              <w:rPr>
                <w:webHidden/>
              </w:rPr>
              <w:fldChar w:fldCharType="begin"/>
            </w:r>
            <w:r>
              <w:rPr>
                <w:webHidden/>
              </w:rPr>
              <w:instrText xml:space="preserve"> PAGEREF _Toc232533212 \h </w:instrText>
            </w:r>
            <w:r>
              <w:rPr>
                <w:webHidden/>
              </w:rPr>
            </w:r>
            <w:r>
              <w:rPr>
                <w:webHidden/>
              </w:rPr>
              <w:fldChar w:fldCharType="separate"/>
            </w:r>
            <w:r>
              <w:rPr>
                <w:webHidden/>
              </w:rPr>
              <w:t>3</w:t>
            </w:r>
            <w:r>
              <w:rPr>
                <w:webHidden/>
              </w:rPr>
              <w:fldChar w:fldCharType="end"/>
            </w:r>
          </w:hyperlink>
        </w:p>
        <w:p w14:paraId="7EE88C15" w14:textId="757B834B" w:rsidR="00057AD3" w:rsidRDefault="00057AD3">
          <w:pPr>
            <w:pStyle w:val="TOC2"/>
            <w:tabs>
              <w:tab w:val="left" w:pos="960"/>
              <w:tab w:val="right" w:leader="dot" w:pos="8828"/>
            </w:tabs>
            <w:rPr>
              <w:rFonts w:eastAsiaTheme="minorEastAsia"/>
              <w:lang w:val="es-MX" w:eastAsia="es-MX"/>
            </w:rPr>
          </w:pPr>
          <w:hyperlink w:anchor="_Toc232533213" w:history="1">
            <w:r w:rsidRPr="00B2433A">
              <w:rPr>
                <w:rStyle w:val="Hyperlink"/>
              </w:rPr>
              <w:t>2.3.</w:t>
            </w:r>
            <w:r>
              <w:rPr>
                <w:rFonts w:eastAsiaTheme="minorEastAsia"/>
                <w:lang w:val="es-MX" w:eastAsia="es-MX"/>
              </w:rPr>
              <w:tab/>
            </w:r>
            <w:r w:rsidRPr="00B2433A">
              <w:rPr>
                <w:rStyle w:val="Hyperlink"/>
              </w:rPr>
              <w:t>Limitações</w:t>
            </w:r>
            <w:r>
              <w:rPr>
                <w:webHidden/>
              </w:rPr>
              <w:tab/>
            </w:r>
            <w:r>
              <w:rPr>
                <w:webHidden/>
              </w:rPr>
              <w:fldChar w:fldCharType="begin"/>
            </w:r>
            <w:r>
              <w:rPr>
                <w:webHidden/>
              </w:rPr>
              <w:instrText xml:space="preserve"> PAGEREF _Toc232533213 \h </w:instrText>
            </w:r>
            <w:r>
              <w:rPr>
                <w:webHidden/>
              </w:rPr>
            </w:r>
            <w:r>
              <w:rPr>
                <w:webHidden/>
              </w:rPr>
              <w:fldChar w:fldCharType="separate"/>
            </w:r>
            <w:r>
              <w:rPr>
                <w:webHidden/>
              </w:rPr>
              <w:t>4</w:t>
            </w:r>
            <w:r>
              <w:rPr>
                <w:webHidden/>
              </w:rPr>
              <w:fldChar w:fldCharType="end"/>
            </w:r>
          </w:hyperlink>
        </w:p>
        <w:p w14:paraId="3A530C06" w14:textId="363816B3" w:rsidR="00057AD3" w:rsidRDefault="00057AD3">
          <w:pPr>
            <w:pStyle w:val="TOC1"/>
            <w:tabs>
              <w:tab w:val="left" w:pos="480"/>
              <w:tab w:val="right" w:leader="dot" w:pos="8828"/>
            </w:tabs>
            <w:rPr>
              <w:rFonts w:eastAsiaTheme="minorEastAsia"/>
              <w:lang w:val="es-MX" w:eastAsia="es-MX"/>
            </w:rPr>
          </w:pPr>
          <w:hyperlink w:anchor="_Toc232533214" w:history="1">
            <w:r w:rsidRPr="00B2433A">
              <w:rPr>
                <w:rStyle w:val="Hyperlink"/>
              </w:rPr>
              <w:t>3.</w:t>
            </w:r>
            <w:r>
              <w:rPr>
                <w:rFonts w:eastAsiaTheme="minorEastAsia"/>
                <w:lang w:val="es-MX" w:eastAsia="es-MX"/>
              </w:rPr>
              <w:tab/>
            </w:r>
            <w:r w:rsidRPr="00B2433A">
              <w:rPr>
                <w:rStyle w:val="Hyperlink"/>
              </w:rPr>
              <w:t>Visão Geral do Negócio</w:t>
            </w:r>
            <w:r>
              <w:rPr>
                <w:webHidden/>
              </w:rPr>
              <w:tab/>
            </w:r>
            <w:r>
              <w:rPr>
                <w:webHidden/>
              </w:rPr>
              <w:fldChar w:fldCharType="begin"/>
            </w:r>
            <w:r>
              <w:rPr>
                <w:webHidden/>
              </w:rPr>
              <w:instrText xml:space="preserve"> PAGEREF _Toc232533214 \h </w:instrText>
            </w:r>
            <w:r>
              <w:rPr>
                <w:webHidden/>
              </w:rPr>
            </w:r>
            <w:r>
              <w:rPr>
                <w:webHidden/>
              </w:rPr>
              <w:fldChar w:fldCharType="separate"/>
            </w:r>
            <w:r>
              <w:rPr>
                <w:webHidden/>
              </w:rPr>
              <w:t>4</w:t>
            </w:r>
            <w:r>
              <w:rPr>
                <w:webHidden/>
              </w:rPr>
              <w:fldChar w:fldCharType="end"/>
            </w:r>
          </w:hyperlink>
        </w:p>
        <w:p w14:paraId="1F01088A" w14:textId="3D561BA0" w:rsidR="00057AD3" w:rsidRDefault="00057AD3">
          <w:pPr>
            <w:pStyle w:val="TOC1"/>
            <w:tabs>
              <w:tab w:val="left" w:pos="480"/>
              <w:tab w:val="right" w:leader="dot" w:pos="8828"/>
            </w:tabs>
            <w:rPr>
              <w:rFonts w:eastAsiaTheme="minorEastAsia"/>
              <w:lang w:val="es-MX" w:eastAsia="es-MX"/>
            </w:rPr>
          </w:pPr>
          <w:hyperlink w:anchor="_Toc232533215" w:history="1">
            <w:r w:rsidRPr="00B2433A">
              <w:rPr>
                <w:rStyle w:val="Hyperlink"/>
              </w:rPr>
              <w:t>4.</w:t>
            </w:r>
            <w:r>
              <w:rPr>
                <w:rFonts w:eastAsiaTheme="minorEastAsia"/>
                <w:lang w:val="es-MX" w:eastAsia="es-MX"/>
              </w:rPr>
              <w:tab/>
            </w:r>
            <w:r w:rsidRPr="00B2433A">
              <w:rPr>
                <w:rStyle w:val="Hyperlink"/>
              </w:rPr>
              <w:t>Análise</w:t>
            </w:r>
            <w:r>
              <w:rPr>
                <w:webHidden/>
              </w:rPr>
              <w:tab/>
            </w:r>
            <w:r>
              <w:rPr>
                <w:webHidden/>
              </w:rPr>
              <w:fldChar w:fldCharType="begin"/>
            </w:r>
            <w:r>
              <w:rPr>
                <w:webHidden/>
              </w:rPr>
              <w:instrText xml:space="preserve"> PAGEREF _Toc232533215 \h </w:instrText>
            </w:r>
            <w:r>
              <w:rPr>
                <w:webHidden/>
              </w:rPr>
            </w:r>
            <w:r>
              <w:rPr>
                <w:webHidden/>
              </w:rPr>
              <w:fldChar w:fldCharType="separate"/>
            </w:r>
            <w:r>
              <w:rPr>
                <w:webHidden/>
              </w:rPr>
              <w:t>5</w:t>
            </w:r>
            <w:r>
              <w:rPr>
                <w:webHidden/>
              </w:rPr>
              <w:fldChar w:fldCharType="end"/>
            </w:r>
          </w:hyperlink>
        </w:p>
        <w:p w14:paraId="05B15F1E" w14:textId="503D7A95" w:rsidR="00057AD3" w:rsidRDefault="00057AD3">
          <w:pPr>
            <w:pStyle w:val="TOC2"/>
            <w:tabs>
              <w:tab w:val="left" w:pos="960"/>
              <w:tab w:val="right" w:leader="dot" w:pos="8828"/>
            </w:tabs>
            <w:rPr>
              <w:rFonts w:eastAsiaTheme="minorEastAsia"/>
              <w:lang w:val="es-MX" w:eastAsia="es-MX"/>
            </w:rPr>
          </w:pPr>
          <w:hyperlink w:anchor="_Toc232533216" w:history="1">
            <w:r w:rsidRPr="00B2433A">
              <w:rPr>
                <w:rStyle w:val="Hyperlink"/>
              </w:rPr>
              <w:t>4.1.</w:t>
            </w:r>
            <w:r>
              <w:rPr>
                <w:rFonts w:eastAsiaTheme="minorEastAsia"/>
                <w:lang w:val="es-MX" w:eastAsia="es-MX"/>
              </w:rPr>
              <w:tab/>
            </w:r>
            <w:r w:rsidRPr="00B2433A">
              <w:rPr>
                <w:rStyle w:val="Hyperlink"/>
              </w:rPr>
              <w:t>Crescimento e Receita</w:t>
            </w:r>
            <w:r>
              <w:rPr>
                <w:webHidden/>
              </w:rPr>
              <w:tab/>
            </w:r>
            <w:r>
              <w:rPr>
                <w:webHidden/>
              </w:rPr>
              <w:fldChar w:fldCharType="begin"/>
            </w:r>
            <w:r>
              <w:rPr>
                <w:webHidden/>
              </w:rPr>
              <w:instrText xml:space="preserve"> PAGEREF _Toc232533216 \h </w:instrText>
            </w:r>
            <w:r>
              <w:rPr>
                <w:webHidden/>
              </w:rPr>
            </w:r>
            <w:r>
              <w:rPr>
                <w:webHidden/>
              </w:rPr>
              <w:fldChar w:fldCharType="separate"/>
            </w:r>
            <w:r>
              <w:rPr>
                <w:webHidden/>
              </w:rPr>
              <w:t>5</w:t>
            </w:r>
            <w:r>
              <w:rPr>
                <w:webHidden/>
              </w:rPr>
              <w:fldChar w:fldCharType="end"/>
            </w:r>
          </w:hyperlink>
        </w:p>
        <w:p w14:paraId="009AB23B" w14:textId="173AD313" w:rsidR="00057AD3" w:rsidRDefault="00057AD3">
          <w:pPr>
            <w:pStyle w:val="TOC2"/>
            <w:tabs>
              <w:tab w:val="left" w:pos="960"/>
              <w:tab w:val="right" w:leader="dot" w:pos="8828"/>
            </w:tabs>
            <w:rPr>
              <w:rFonts w:eastAsiaTheme="minorEastAsia"/>
              <w:lang w:val="es-MX" w:eastAsia="es-MX"/>
            </w:rPr>
          </w:pPr>
          <w:hyperlink w:anchor="_Toc232533217" w:history="1">
            <w:r w:rsidRPr="00B2433A">
              <w:rPr>
                <w:rStyle w:val="Hyperlink"/>
              </w:rPr>
              <w:t>4.2.</w:t>
            </w:r>
            <w:r>
              <w:rPr>
                <w:rFonts w:eastAsiaTheme="minorEastAsia"/>
                <w:lang w:val="es-MX" w:eastAsia="es-MX"/>
              </w:rPr>
              <w:tab/>
            </w:r>
            <w:r w:rsidRPr="00B2433A">
              <w:rPr>
                <w:rStyle w:val="Hyperlink"/>
              </w:rPr>
              <w:t>Análise Geográfica</w:t>
            </w:r>
            <w:r>
              <w:rPr>
                <w:webHidden/>
              </w:rPr>
              <w:tab/>
            </w:r>
            <w:r>
              <w:rPr>
                <w:webHidden/>
              </w:rPr>
              <w:fldChar w:fldCharType="begin"/>
            </w:r>
            <w:r>
              <w:rPr>
                <w:webHidden/>
              </w:rPr>
              <w:instrText xml:space="preserve"> PAGEREF _Toc232533217 \h </w:instrText>
            </w:r>
            <w:r>
              <w:rPr>
                <w:webHidden/>
              </w:rPr>
            </w:r>
            <w:r>
              <w:rPr>
                <w:webHidden/>
              </w:rPr>
              <w:fldChar w:fldCharType="separate"/>
            </w:r>
            <w:r>
              <w:rPr>
                <w:webHidden/>
              </w:rPr>
              <w:t>6</w:t>
            </w:r>
            <w:r>
              <w:rPr>
                <w:webHidden/>
              </w:rPr>
              <w:fldChar w:fldCharType="end"/>
            </w:r>
          </w:hyperlink>
        </w:p>
        <w:p w14:paraId="49B43AFA" w14:textId="55A84B9C" w:rsidR="00057AD3" w:rsidRDefault="00057AD3">
          <w:pPr>
            <w:pStyle w:val="TOC2"/>
            <w:tabs>
              <w:tab w:val="left" w:pos="960"/>
              <w:tab w:val="right" w:leader="dot" w:pos="8828"/>
            </w:tabs>
            <w:rPr>
              <w:rFonts w:eastAsiaTheme="minorEastAsia"/>
              <w:lang w:val="es-MX" w:eastAsia="es-MX"/>
            </w:rPr>
          </w:pPr>
          <w:hyperlink w:anchor="_Toc232533218" w:history="1">
            <w:r w:rsidRPr="00B2433A">
              <w:rPr>
                <w:rStyle w:val="Hyperlink"/>
              </w:rPr>
              <w:t>4.3.</w:t>
            </w:r>
            <w:r>
              <w:rPr>
                <w:rFonts w:eastAsiaTheme="minorEastAsia"/>
                <w:lang w:val="es-MX" w:eastAsia="es-MX"/>
              </w:rPr>
              <w:tab/>
            </w:r>
            <w:r w:rsidRPr="00B2433A">
              <w:rPr>
                <w:rStyle w:val="Hyperlink"/>
              </w:rPr>
              <w:t>Categorias de Produtos</w:t>
            </w:r>
            <w:r>
              <w:rPr>
                <w:webHidden/>
              </w:rPr>
              <w:tab/>
            </w:r>
            <w:r>
              <w:rPr>
                <w:webHidden/>
              </w:rPr>
              <w:fldChar w:fldCharType="begin"/>
            </w:r>
            <w:r>
              <w:rPr>
                <w:webHidden/>
              </w:rPr>
              <w:instrText xml:space="preserve"> PAGEREF _Toc232533218 \h </w:instrText>
            </w:r>
            <w:r>
              <w:rPr>
                <w:webHidden/>
              </w:rPr>
            </w:r>
            <w:r>
              <w:rPr>
                <w:webHidden/>
              </w:rPr>
              <w:fldChar w:fldCharType="separate"/>
            </w:r>
            <w:r>
              <w:rPr>
                <w:webHidden/>
              </w:rPr>
              <w:t>8</w:t>
            </w:r>
            <w:r>
              <w:rPr>
                <w:webHidden/>
              </w:rPr>
              <w:fldChar w:fldCharType="end"/>
            </w:r>
          </w:hyperlink>
        </w:p>
        <w:p w14:paraId="224775D8" w14:textId="4DA98549" w:rsidR="00057AD3" w:rsidRDefault="00057AD3">
          <w:pPr>
            <w:pStyle w:val="TOC2"/>
            <w:tabs>
              <w:tab w:val="left" w:pos="960"/>
              <w:tab w:val="right" w:leader="dot" w:pos="8828"/>
            </w:tabs>
            <w:rPr>
              <w:rFonts w:eastAsiaTheme="minorEastAsia"/>
              <w:lang w:val="es-MX" w:eastAsia="es-MX"/>
            </w:rPr>
          </w:pPr>
          <w:hyperlink w:anchor="_Toc232533219" w:history="1">
            <w:r w:rsidRPr="00B2433A">
              <w:rPr>
                <w:rStyle w:val="Hyperlink"/>
              </w:rPr>
              <w:t>4.4.</w:t>
            </w:r>
            <w:r>
              <w:rPr>
                <w:rFonts w:eastAsiaTheme="minorEastAsia"/>
                <w:lang w:val="es-MX" w:eastAsia="es-MX"/>
              </w:rPr>
              <w:tab/>
            </w:r>
            <w:r w:rsidRPr="00B2433A">
              <w:rPr>
                <w:rStyle w:val="Hyperlink"/>
              </w:rPr>
              <w:t>Logística e Satisfação do Cliente</w:t>
            </w:r>
            <w:r>
              <w:rPr>
                <w:webHidden/>
              </w:rPr>
              <w:tab/>
            </w:r>
            <w:r>
              <w:rPr>
                <w:webHidden/>
              </w:rPr>
              <w:fldChar w:fldCharType="begin"/>
            </w:r>
            <w:r>
              <w:rPr>
                <w:webHidden/>
              </w:rPr>
              <w:instrText xml:space="preserve"> PAGEREF _Toc232533219 \h </w:instrText>
            </w:r>
            <w:r>
              <w:rPr>
                <w:webHidden/>
              </w:rPr>
            </w:r>
            <w:r>
              <w:rPr>
                <w:webHidden/>
              </w:rPr>
              <w:fldChar w:fldCharType="separate"/>
            </w:r>
            <w:r>
              <w:rPr>
                <w:webHidden/>
              </w:rPr>
              <w:t>10</w:t>
            </w:r>
            <w:r>
              <w:rPr>
                <w:webHidden/>
              </w:rPr>
              <w:fldChar w:fldCharType="end"/>
            </w:r>
          </w:hyperlink>
        </w:p>
        <w:p w14:paraId="2A80A96D" w14:textId="59FF27D2" w:rsidR="00057AD3" w:rsidRDefault="00057AD3">
          <w:pPr>
            <w:pStyle w:val="TOC2"/>
            <w:tabs>
              <w:tab w:val="left" w:pos="960"/>
              <w:tab w:val="right" w:leader="dot" w:pos="8828"/>
            </w:tabs>
            <w:rPr>
              <w:rFonts w:eastAsiaTheme="minorEastAsia"/>
              <w:lang w:val="es-MX" w:eastAsia="es-MX"/>
            </w:rPr>
          </w:pPr>
          <w:hyperlink w:anchor="_Toc232533220" w:history="1">
            <w:r w:rsidRPr="00B2433A">
              <w:rPr>
                <w:rStyle w:val="Hyperlink"/>
              </w:rPr>
              <w:t>4.5.</w:t>
            </w:r>
            <w:r>
              <w:rPr>
                <w:rFonts w:eastAsiaTheme="minorEastAsia"/>
                <w:lang w:val="es-MX" w:eastAsia="es-MX"/>
              </w:rPr>
              <w:tab/>
            </w:r>
            <w:r w:rsidRPr="00B2433A">
              <w:rPr>
                <w:rStyle w:val="Hyperlink"/>
              </w:rPr>
              <w:t>Comportamento dos Clientes</w:t>
            </w:r>
            <w:r>
              <w:rPr>
                <w:webHidden/>
              </w:rPr>
              <w:tab/>
            </w:r>
            <w:r>
              <w:rPr>
                <w:webHidden/>
              </w:rPr>
              <w:fldChar w:fldCharType="begin"/>
            </w:r>
            <w:r>
              <w:rPr>
                <w:webHidden/>
              </w:rPr>
              <w:instrText xml:space="preserve"> PAGEREF _Toc232533220 \h </w:instrText>
            </w:r>
            <w:r>
              <w:rPr>
                <w:webHidden/>
              </w:rPr>
            </w:r>
            <w:r>
              <w:rPr>
                <w:webHidden/>
              </w:rPr>
              <w:fldChar w:fldCharType="separate"/>
            </w:r>
            <w:r>
              <w:rPr>
                <w:webHidden/>
              </w:rPr>
              <w:t>13</w:t>
            </w:r>
            <w:r>
              <w:rPr>
                <w:webHidden/>
              </w:rPr>
              <w:fldChar w:fldCharType="end"/>
            </w:r>
          </w:hyperlink>
        </w:p>
        <w:p w14:paraId="24F078CA" w14:textId="337A8A00" w:rsidR="00057AD3" w:rsidRDefault="00057AD3">
          <w:pPr>
            <w:pStyle w:val="TOC2"/>
            <w:tabs>
              <w:tab w:val="left" w:pos="960"/>
              <w:tab w:val="right" w:leader="dot" w:pos="8828"/>
            </w:tabs>
            <w:rPr>
              <w:rFonts w:eastAsiaTheme="minorEastAsia"/>
              <w:lang w:val="es-MX" w:eastAsia="es-MX"/>
            </w:rPr>
          </w:pPr>
          <w:hyperlink w:anchor="_Toc232533221" w:history="1">
            <w:r w:rsidRPr="00B2433A">
              <w:rPr>
                <w:rStyle w:val="Hyperlink"/>
              </w:rPr>
              <w:t>4.6.</w:t>
            </w:r>
            <w:r>
              <w:rPr>
                <w:rFonts w:eastAsiaTheme="minorEastAsia"/>
                <w:lang w:val="es-MX" w:eastAsia="es-MX"/>
              </w:rPr>
              <w:tab/>
            </w:r>
            <w:r w:rsidRPr="00B2433A">
              <w:rPr>
                <w:rStyle w:val="Hyperlink"/>
              </w:rPr>
              <w:t>Análise Preditiva</w:t>
            </w:r>
            <w:r>
              <w:rPr>
                <w:webHidden/>
              </w:rPr>
              <w:tab/>
            </w:r>
            <w:r>
              <w:rPr>
                <w:webHidden/>
              </w:rPr>
              <w:fldChar w:fldCharType="begin"/>
            </w:r>
            <w:r>
              <w:rPr>
                <w:webHidden/>
              </w:rPr>
              <w:instrText xml:space="preserve"> PAGEREF _Toc232533221 \h </w:instrText>
            </w:r>
            <w:r>
              <w:rPr>
                <w:webHidden/>
              </w:rPr>
            </w:r>
            <w:r>
              <w:rPr>
                <w:webHidden/>
              </w:rPr>
              <w:fldChar w:fldCharType="separate"/>
            </w:r>
            <w:r>
              <w:rPr>
                <w:webHidden/>
              </w:rPr>
              <w:t>15</w:t>
            </w:r>
            <w:r>
              <w:rPr>
                <w:webHidden/>
              </w:rPr>
              <w:fldChar w:fldCharType="end"/>
            </w:r>
          </w:hyperlink>
        </w:p>
        <w:p w14:paraId="3856AE15" w14:textId="314B6B96" w:rsidR="00057AD3" w:rsidRDefault="00057AD3">
          <w:pPr>
            <w:pStyle w:val="TOC1"/>
            <w:tabs>
              <w:tab w:val="left" w:pos="480"/>
              <w:tab w:val="right" w:leader="dot" w:pos="8828"/>
            </w:tabs>
            <w:rPr>
              <w:rFonts w:eastAsiaTheme="minorEastAsia"/>
              <w:lang w:val="es-MX" w:eastAsia="es-MX"/>
            </w:rPr>
          </w:pPr>
          <w:hyperlink w:anchor="_Toc232533222" w:history="1">
            <w:r w:rsidRPr="00B2433A">
              <w:rPr>
                <w:rStyle w:val="Hyperlink"/>
              </w:rPr>
              <w:t>5.</w:t>
            </w:r>
            <w:r>
              <w:rPr>
                <w:rFonts w:eastAsiaTheme="minorEastAsia"/>
                <w:lang w:val="es-MX" w:eastAsia="es-MX"/>
              </w:rPr>
              <w:tab/>
            </w:r>
            <w:r w:rsidRPr="00B2433A">
              <w:rPr>
                <w:rStyle w:val="Hyperlink"/>
              </w:rPr>
              <w:t>Insights Estratégicos e Oportunidades de Negócio</w:t>
            </w:r>
            <w:r>
              <w:rPr>
                <w:webHidden/>
              </w:rPr>
              <w:tab/>
            </w:r>
            <w:r>
              <w:rPr>
                <w:webHidden/>
              </w:rPr>
              <w:fldChar w:fldCharType="begin"/>
            </w:r>
            <w:r>
              <w:rPr>
                <w:webHidden/>
              </w:rPr>
              <w:instrText xml:space="preserve"> PAGEREF _Toc232533222 \h </w:instrText>
            </w:r>
            <w:r>
              <w:rPr>
                <w:webHidden/>
              </w:rPr>
            </w:r>
            <w:r>
              <w:rPr>
                <w:webHidden/>
              </w:rPr>
              <w:fldChar w:fldCharType="separate"/>
            </w:r>
            <w:r>
              <w:rPr>
                <w:webHidden/>
              </w:rPr>
              <w:t>16</w:t>
            </w:r>
            <w:r>
              <w:rPr>
                <w:webHidden/>
              </w:rPr>
              <w:fldChar w:fldCharType="end"/>
            </w:r>
          </w:hyperlink>
        </w:p>
        <w:p w14:paraId="70612727" w14:textId="6CCB137B" w:rsidR="00057AD3" w:rsidRDefault="00057AD3">
          <w:pPr>
            <w:pStyle w:val="TOC1"/>
            <w:tabs>
              <w:tab w:val="left" w:pos="480"/>
              <w:tab w:val="right" w:leader="dot" w:pos="8828"/>
            </w:tabs>
            <w:rPr>
              <w:rFonts w:eastAsiaTheme="minorEastAsia"/>
              <w:lang w:val="es-MX" w:eastAsia="es-MX"/>
            </w:rPr>
          </w:pPr>
          <w:hyperlink w:anchor="_Toc232533223" w:history="1">
            <w:r w:rsidRPr="00B2433A">
              <w:rPr>
                <w:rStyle w:val="Hyperlink"/>
              </w:rPr>
              <w:t>6.</w:t>
            </w:r>
            <w:r>
              <w:rPr>
                <w:rFonts w:eastAsiaTheme="minorEastAsia"/>
                <w:lang w:val="es-MX" w:eastAsia="es-MX"/>
              </w:rPr>
              <w:tab/>
            </w:r>
            <w:r w:rsidRPr="00B2433A">
              <w:rPr>
                <w:rStyle w:val="Hyperlink"/>
              </w:rPr>
              <w:t>Conclusão</w:t>
            </w:r>
            <w:r>
              <w:rPr>
                <w:webHidden/>
              </w:rPr>
              <w:tab/>
            </w:r>
            <w:r>
              <w:rPr>
                <w:webHidden/>
              </w:rPr>
              <w:fldChar w:fldCharType="begin"/>
            </w:r>
            <w:r>
              <w:rPr>
                <w:webHidden/>
              </w:rPr>
              <w:instrText xml:space="preserve"> PAGEREF _Toc232533223 \h </w:instrText>
            </w:r>
            <w:r>
              <w:rPr>
                <w:webHidden/>
              </w:rPr>
            </w:r>
            <w:r>
              <w:rPr>
                <w:webHidden/>
              </w:rPr>
              <w:fldChar w:fldCharType="separate"/>
            </w:r>
            <w:r>
              <w:rPr>
                <w:webHidden/>
              </w:rPr>
              <w:t>18</w:t>
            </w:r>
            <w:r>
              <w:rPr>
                <w:webHidden/>
              </w:rPr>
              <w:fldChar w:fldCharType="end"/>
            </w:r>
          </w:hyperlink>
        </w:p>
        <w:p w14:paraId="5A2806F7" w14:textId="2133A795" w:rsidR="00057AD3" w:rsidRDefault="00057AD3">
          <w:pPr>
            <w:pStyle w:val="TOC1"/>
            <w:tabs>
              <w:tab w:val="left" w:pos="480"/>
              <w:tab w:val="right" w:leader="dot" w:pos="8828"/>
            </w:tabs>
            <w:rPr>
              <w:rFonts w:eastAsiaTheme="minorEastAsia"/>
              <w:lang w:val="es-MX" w:eastAsia="es-MX"/>
            </w:rPr>
          </w:pPr>
          <w:hyperlink w:anchor="_Toc232533224" w:history="1">
            <w:r w:rsidRPr="00B2433A">
              <w:rPr>
                <w:rStyle w:val="Hyperlink"/>
              </w:rPr>
              <w:t>7.</w:t>
            </w:r>
            <w:r>
              <w:rPr>
                <w:rFonts w:eastAsiaTheme="minorEastAsia"/>
                <w:lang w:val="es-MX" w:eastAsia="es-MX"/>
              </w:rPr>
              <w:tab/>
            </w:r>
            <w:r w:rsidRPr="00B2433A">
              <w:rPr>
                <w:rStyle w:val="Hyperlink"/>
              </w:rPr>
              <w:t>Referências</w:t>
            </w:r>
            <w:r>
              <w:rPr>
                <w:webHidden/>
              </w:rPr>
              <w:tab/>
            </w:r>
            <w:r>
              <w:rPr>
                <w:webHidden/>
              </w:rPr>
              <w:fldChar w:fldCharType="begin"/>
            </w:r>
            <w:r>
              <w:rPr>
                <w:webHidden/>
              </w:rPr>
              <w:instrText xml:space="preserve"> PAGEREF _Toc232533224 \h </w:instrText>
            </w:r>
            <w:r>
              <w:rPr>
                <w:webHidden/>
              </w:rPr>
            </w:r>
            <w:r>
              <w:rPr>
                <w:webHidden/>
              </w:rPr>
              <w:fldChar w:fldCharType="separate"/>
            </w:r>
            <w:r>
              <w:rPr>
                <w:webHidden/>
              </w:rPr>
              <w:t>19</w:t>
            </w:r>
            <w:r>
              <w:rPr>
                <w:webHidden/>
              </w:rPr>
              <w:fldChar w:fldCharType="end"/>
            </w:r>
          </w:hyperlink>
        </w:p>
        <w:p w14:paraId="778CE449" w14:textId="4CA01F0D" w:rsidR="005436C8" w:rsidRPr="00400E40" w:rsidRDefault="005436C8">
          <w:r w:rsidRPr="00400E40">
            <w:rPr>
              <w:b/>
              <w:bCs/>
            </w:rPr>
            <w:fldChar w:fldCharType="end"/>
          </w:r>
        </w:p>
      </w:sdtContent>
    </w:sdt>
    <w:p w14:paraId="017F2FEF" w14:textId="77777777" w:rsidR="007A32E2" w:rsidRPr="00400E40" w:rsidRDefault="007A32E2" w:rsidP="005D1865">
      <w:pPr>
        <w:spacing w:line="360" w:lineRule="auto"/>
        <w:jc w:val="both"/>
        <w:rPr>
          <w:rFonts w:ascii="Arial" w:hAnsi="Arial" w:cs="Arial"/>
          <w:b/>
          <w:bCs/>
          <w:sz w:val="22"/>
          <w:szCs w:val="22"/>
        </w:rPr>
      </w:pPr>
    </w:p>
    <w:p w14:paraId="51E521E5" w14:textId="77777777" w:rsidR="007A32E2" w:rsidRPr="00400E40" w:rsidRDefault="007A32E2" w:rsidP="005D1865">
      <w:pPr>
        <w:spacing w:line="360" w:lineRule="auto"/>
        <w:jc w:val="both"/>
        <w:rPr>
          <w:rFonts w:ascii="Arial" w:hAnsi="Arial" w:cs="Arial"/>
          <w:b/>
          <w:bCs/>
          <w:sz w:val="22"/>
          <w:szCs w:val="22"/>
        </w:rPr>
      </w:pPr>
    </w:p>
    <w:p w14:paraId="147B5294" w14:textId="77777777" w:rsidR="007A32E2" w:rsidRPr="00400E40" w:rsidRDefault="007A32E2" w:rsidP="005D1865">
      <w:pPr>
        <w:spacing w:line="360" w:lineRule="auto"/>
        <w:jc w:val="both"/>
        <w:rPr>
          <w:rFonts w:ascii="Arial" w:hAnsi="Arial" w:cs="Arial"/>
          <w:b/>
          <w:bCs/>
          <w:sz w:val="22"/>
          <w:szCs w:val="22"/>
        </w:rPr>
      </w:pPr>
    </w:p>
    <w:p w14:paraId="72BEB89B" w14:textId="77777777" w:rsidR="007A32E2" w:rsidRPr="00400E40" w:rsidRDefault="007A32E2" w:rsidP="005D1865">
      <w:pPr>
        <w:spacing w:line="360" w:lineRule="auto"/>
        <w:jc w:val="both"/>
        <w:rPr>
          <w:rFonts w:ascii="Arial" w:hAnsi="Arial" w:cs="Arial"/>
          <w:b/>
          <w:bCs/>
          <w:sz w:val="22"/>
          <w:szCs w:val="22"/>
        </w:rPr>
      </w:pPr>
    </w:p>
    <w:p w14:paraId="049047F2" w14:textId="77777777" w:rsidR="007A32E2" w:rsidRPr="00400E40" w:rsidRDefault="007A32E2" w:rsidP="005D1865">
      <w:pPr>
        <w:spacing w:line="360" w:lineRule="auto"/>
        <w:jc w:val="both"/>
        <w:rPr>
          <w:rFonts w:ascii="Arial" w:hAnsi="Arial" w:cs="Arial"/>
          <w:b/>
          <w:bCs/>
          <w:sz w:val="22"/>
          <w:szCs w:val="22"/>
        </w:rPr>
      </w:pPr>
    </w:p>
    <w:p w14:paraId="5322A96C" w14:textId="77777777" w:rsidR="007A32E2" w:rsidRPr="00400E40" w:rsidRDefault="007A32E2" w:rsidP="005D1865">
      <w:pPr>
        <w:spacing w:line="360" w:lineRule="auto"/>
        <w:jc w:val="both"/>
        <w:rPr>
          <w:rFonts w:ascii="Arial" w:hAnsi="Arial" w:cs="Arial"/>
          <w:b/>
          <w:bCs/>
          <w:sz w:val="22"/>
          <w:szCs w:val="22"/>
        </w:rPr>
      </w:pPr>
    </w:p>
    <w:p w14:paraId="38E7B553" w14:textId="77777777" w:rsidR="007A32E2" w:rsidRPr="00400E40" w:rsidRDefault="007A32E2" w:rsidP="005D1865">
      <w:pPr>
        <w:spacing w:line="360" w:lineRule="auto"/>
        <w:jc w:val="both"/>
        <w:rPr>
          <w:rFonts w:ascii="Arial" w:hAnsi="Arial" w:cs="Arial"/>
          <w:b/>
          <w:bCs/>
          <w:sz w:val="22"/>
          <w:szCs w:val="22"/>
        </w:rPr>
      </w:pPr>
    </w:p>
    <w:p w14:paraId="7BBB5B7B" w14:textId="77777777" w:rsidR="007A32E2" w:rsidRPr="00400E40" w:rsidRDefault="007A32E2" w:rsidP="005D1865">
      <w:pPr>
        <w:spacing w:line="360" w:lineRule="auto"/>
        <w:jc w:val="both"/>
        <w:rPr>
          <w:rFonts w:ascii="Arial" w:hAnsi="Arial" w:cs="Arial"/>
          <w:b/>
          <w:bCs/>
          <w:sz w:val="22"/>
          <w:szCs w:val="22"/>
        </w:rPr>
      </w:pPr>
    </w:p>
    <w:p w14:paraId="7A90DDBB" w14:textId="77777777" w:rsidR="007A32E2" w:rsidRPr="00400E40" w:rsidRDefault="007A32E2" w:rsidP="005D1865">
      <w:pPr>
        <w:spacing w:line="360" w:lineRule="auto"/>
        <w:jc w:val="both"/>
        <w:rPr>
          <w:rFonts w:ascii="Arial" w:hAnsi="Arial" w:cs="Arial"/>
          <w:b/>
          <w:bCs/>
          <w:sz w:val="22"/>
          <w:szCs w:val="22"/>
        </w:rPr>
      </w:pPr>
    </w:p>
    <w:p w14:paraId="1F038339" w14:textId="77777777" w:rsidR="007A32E2" w:rsidRPr="00400E40" w:rsidRDefault="007A32E2" w:rsidP="005D1865">
      <w:pPr>
        <w:spacing w:line="360" w:lineRule="auto"/>
        <w:jc w:val="both"/>
        <w:rPr>
          <w:rFonts w:ascii="Arial" w:hAnsi="Arial" w:cs="Arial"/>
          <w:b/>
          <w:bCs/>
          <w:sz w:val="22"/>
          <w:szCs w:val="22"/>
        </w:rPr>
      </w:pPr>
    </w:p>
    <w:p w14:paraId="40034B09" w14:textId="4E944D53" w:rsidR="005724AA" w:rsidRPr="00400E40" w:rsidRDefault="005724AA" w:rsidP="00663689">
      <w:pPr>
        <w:pStyle w:val="Heading1"/>
      </w:pPr>
      <w:bookmarkStart w:id="0" w:name="_Toc232533209"/>
      <w:r w:rsidRPr="00400E40">
        <w:t>Introdução</w:t>
      </w:r>
      <w:bookmarkEnd w:id="0"/>
    </w:p>
    <w:p w14:paraId="59627734" w14:textId="77777777" w:rsidR="005724AA" w:rsidRPr="00400E40" w:rsidRDefault="005724AA" w:rsidP="00057AD3">
      <w:pPr>
        <w:spacing w:line="360" w:lineRule="auto"/>
        <w:jc w:val="both"/>
        <w:rPr>
          <w:rFonts w:ascii="Arial" w:hAnsi="Arial" w:cs="Arial"/>
          <w:sz w:val="22"/>
          <w:szCs w:val="22"/>
        </w:rPr>
      </w:pPr>
      <w:r w:rsidRPr="00400E40">
        <w:rPr>
          <w:rFonts w:ascii="Arial" w:hAnsi="Arial" w:cs="Arial"/>
          <w:sz w:val="22"/>
          <w:szCs w:val="22"/>
        </w:rPr>
        <w:t>O objetivo deste trabalho é analisar o conjunto de dados público da Olist, uma das maiores plataformas de marketplace do Brasil, com o intuito de identificar padrões de comportamento dos consumidores, desempenho comercial, eficiência logística e oportunidades de negócio.</w:t>
      </w:r>
    </w:p>
    <w:p w14:paraId="3183E50D" w14:textId="77777777" w:rsidR="005724AA" w:rsidRPr="00400E40" w:rsidRDefault="005724AA" w:rsidP="00057AD3">
      <w:pPr>
        <w:spacing w:line="360" w:lineRule="auto"/>
        <w:jc w:val="both"/>
        <w:rPr>
          <w:rFonts w:ascii="Arial" w:hAnsi="Arial" w:cs="Arial"/>
          <w:sz w:val="22"/>
          <w:szCs w:val="22"/>
        </w:rPr>
      </w:pPr>
      <w:r w:rsidRPr="00400E40">
        <w:rPr>
          <w:rFonts w:ascii="Arial" w:hAnsi="Arial" w:cs="Arial"/>
          <w:sz w:val="22"/>
          <w:szCs w:val="22"/>
        </w:rPr>
        <w:t>A base contempla informações sobre pedidos, clientes, produtos, vendedores, pagamentos e avaliações realizadas entre os anos de 2016 e 2018.</w:t>
      </w:r>
    </w:p>
    <w:p w14:paraId="2BF6F16D" w14:textId="77777777" w:rsidR="005724AA" w:rsidRPr="00400E40" w:rsidRDefault="005724AA" w:rsidP="00057AD3">
      <w:pPr>
        <w:spacing w:line="360" w:lineRule="auto"/>
        <w:jc w:val="both"/>
        <w:rPr>
          <w:rFonts w:ascii="Arial" w:hAnsi="Arial" w:cs="Arial"/>
          <w:sz w:val="22"/>
          <w:szCs w:val="22"/>
        </w:rPr>
      </w:pPr>
      <w:r w:rsidRPr="00400E40">
        <w:rPr>
          <w:rFonts w:ascii="Arial" w:hAnsi="Arial" w:cs="Arial"/>
          <w:sz w:val="22"/>
          <w:szCs w:val="22"/>
        </w:rPr>
        <w:t>Para garantir maior consistência estatística, os registros referentes ao ano de 2016 foram desconsiderados por representarem o início da operação da plataforma, com volume reduzido de transações. Da mesma forma, os registros de setembro de 2018 foram excluídos por se tratar de um período incompleto.</w:t>
      </w:r>
    </w:p>
    <w:p w14:paraId="3B98A3F0" w14:textId="77777777" w:rsidR="005724AA" w:rsidRPr="00400E40" w:rsidRDefault="005724AA" w:rsidP="00057AD3">
      <w:pPr>
        <w:spacing w:line="360" w:lineRule="auto"/>
        <w:jc w:val="both"/>
        <w:rPr>
          <w:rFonts w:ascii="Arial" w:hAnsi="Arial" w:cs="Arial"/>
          <w:sz w:val="22"/>
          <w:szCs w:val="22"/>
        </w:rPr>
      </w:pPr>
      <w:r w:rsidRPr="00400E40">
        <w:rPr>
          <w:rFonts w:ascii="Arial" w:hAnsi="Arial" w:cs="Arial"/>
          <w:sz w:val="22"/>
          <w:szCs w:val="22"/>
        </w:rPr>
        <w:t>As análises foram desenvolvidas utilizando Python no Google Colab, com apoio das bibliotecas Pandas, Matplotlib e Seaborn.</w:t>
      </w:r>
    </w:p>
    <w:p w14:paraId="4F7DEE90" w14:textId="3A93C8F1" w:rsidR="005724AA" w:rsidRPr="00400E40" w:rsidRDefault="005724AA" w:rsidP="005436C8">
      <w:pPr>
        <w:pStyle w:val="Heading1"/>
      </w:pPr>
      <w:bookmarkStart w:id="1" w:name="_Toc232533210"/>
      <w:r w:rsidRPr="00400E40">
        <w:t>Metodologia</w:t>
      </w:r>
      <w:bookmarkEnd w:id="1"/>
    </w:p>
    <w:p w14:paraId="47835350" w14:textId="727F9F41" w:rsidR="009943DB" w:rsidRPr="00400E40" w:rsidRDefault="00042612" w:rsidP="00057AD3">
      <w:pPr>
        <w:spacing w:line="360" w:lineRule="auto"/>
        <w:jc w:val="both"/>
        <w:rPr>
          <w:rFonts w:ascii="Arial" w:hAnsi="Arial" w:cs="Arial"/>
          <w:sz w:val="22"/>
          <w:szCs w:val="22"/>
        </w:rPr>
      </w:pPr>
      <w:r w:rsidRPr="00C86E43">
        <w:rPr>
          <w:rFonts w:ascii="Arial" w:hAnsi="Arial" w:cs="Arial"/>
          <w:sz w:val="22"/>
          <w:szCs w:val="22"/>
        </w:rPr>
        <w:t>Para garantir a precisão e a confiabilidade das conclusões e recomendações apresentadas aos investidores e acionistas, nossa análise seguiu um processo objetivo e estritamente focado no negócio.</w:t>
      </w:r>
    </w:p>
    <w:p w14:paraId="44BD5FB4" w14:textId="448F6930" w:rsidR="00C4082E" w:rsidRPr="00400E40" w:rsidRDefault="00C4082E" w:rsidP="00D6104C">
      <w:pPr>
        <w:pStyle w:val="Heading2"/>
      </w:pPr>
      <w:bookmarkStart w:id="2" w:name="_Toc232533211"/>
      <w:r w:rsidRPr="00400E40">
        <w:t>Fonte dos Dados</w:t>
      </w:r>
      <w:bookmarkEnd w:id="2"/>
    </w:p>
    <w:p w14:paraId="0836A3B1" w14:textId="77777777" w:rsidR="00C4082E" w:rsidRPr="00400E40" w:rsidRDefault="00C4082E" w:rsidP="00057AD3">
      <w:pPr>
        <w:spacing w:line="360" w:lineRule="auto"/>
        <w:jc w:val="both"/>
        <w:rPr>
          <w:rFonts w:ascii="Arial" w:hAnsi="Arial" w:cs="Arial"/>
          <w:sz w:val="22"/>
          <w:szCs w:val="22"/>
        </w:rPr>
      </w:pPr>
      <w:r w:rsidRPr="00400E40">
        <w:rPr>
          <w:rFonts w:ascii="Arial" w:hAnsi="Arial" w:cs="Arial"/>
          <w:sz w:val="22"/>
          <w:szCs w:val="22"/>
        </w:rPr>
        <w:t>Foi utilizado o conjunto de dados público Brazilian E-Commerce Public Dataset by Olist, disponibilizado pela plataforma Kaggle. A base contém informações de pedidos, clientes, produtos, vendedores, pagamentos e avaliações realizadas entre 2016 e 2018.</w:t>
      </w:r>
    </w:p>
    <w:p w14:paraId="2F8DC5F1" w14:textId="77777777" w:rsidR="00C4082E" w:rsidRPr="00400E40" w:rsidRDefault="00C4082E" w:rsidP="00D6104C">
      <w:pPr>
        <w:pStyle w:val="Heading2"/>
      </w:pPr>
      <w:bookmarkStart w:id="3" w:name="_Toc232533212"/>
      <w:r w:rsidRPr="00400E40">
        <w:t>Tratamento e Qualidade dos Dados</w:t>
      </w:r>
      <w:bookmarkEnd w:id="3"/>
    </w:p>
    <w:p w14:paraId="72215F22" w14:textId="6E5EEDE0" w:rsidR="00C86E43" w:rsidRPr="00C86E43" w:rsidRDefault="00C86E43" w:rsidP="00057AD3">
      <w:pPr>
        <w:spacing w:line="360" w:lineRule="auto"/>
        <w:jc w:val="both"/>
        <w:rPr>
          <w:rFonts w:ascii="Arial" w:hAnsi="Arial" w:cs="Arial"/>
          <w:sz w:val="22"/>
          <w:szCs w:val="22"/>
        </w:rPr>
      </w:pPr>
      <w:r w:rsidRPr="00C86E43">
        <w:rPr>
          <w:rFonts w:ascii="Arial" w:hAnsi="Arial" w:cs="Arial"/>
          <w:sz w:val="22"/>
          <w:szCs w:val="22"/>
        </w:rPr>
        <w:t>O escopo temporal foi delimitado ao período contínuo de janeiro de 2017 a agosto de 2018, assegurando a eliminação de quaisquer registros imaturos ou de meses incompletos que pudessem distorcer a visão real da operação.</w:t>
      </w:r>
    </w:p>
    <w:p w14:paraId="618126E5" w14:textId="3E2BA479" w:rsidR="00C86E43" w:rsidRPr="00C86E43" w:rsidRDefault="00C86E43" w:rsidP="00057AD3">
      <w:pPr>
        <w:spacing w:line="360" w:lineRule="auto"/>
        <w:jc w:val="both"/>
        <w:rPr>
          <w:rFonts w:ascii="Arial" w:hAnsi="Arial" w:cs="Arial"/>
          <w:sz w:val="22"/>
          <w:szCs w:val="22"/>
        </w:rPr>
      </w:pPr>
      <w:r w:rsidRPr="00C86E43">
        <w:rPr>
          <w:rFonts w:ascii="Arial" w:hAnsi="Arial" w:cs="Arial"/>
          <w:sz w:val="22"/>
          <w:szCs w:val="22"/>
        </w:rPr>
        <w:t>O trabalho foi estruturado para traduzir o volume transacional em direcionamentos estratégicos. Inicialmente, organizamos e validamos os dados da companhia, consolidando os registros de pedidos, produtos, clientes e avaliações em uma única fonte de informações confiável e foram considerados apenas pedidos com ao menos um item associado, excluindo registros sem transação efetiva. Esse critério garante que a análise reflita exclusivamente pedidos com impacto real na receita. A partir dessa base unificada, construímos os indicadores operacionais e financeiros (KPIs) necessários para compreender o comportamento de compra e a eficiência logística. Por fim, utilizamos esse histórico validado para criar projeções das vendas futuras, garantindo que as teses de investimento deste relatório sejam embasadas em evidências concretas.</w:t>
      </w:r>
    </w:p>
    <w:p w14:paraId="254F17D8" w14:textId="77777777" w:rsidR="00C4082E" w:rsidRPr="00400E40" w:rsidRDefault="00C4082E" w:rsidP="00D6104C">
      <w:pPr>
        <w:pStyle w:val="Heading2"/>
      </w:pPr>
      <w:bookmarkStart w:id="4" w:name="_Toc232533213"/>
      <w:r w:rsidRPr="00400E40">
        <w:t>Limitações</w:t>
      </w:r>
      <w:bookmarkEnd w:id="4"/>
    </w:p>
    <w:p w14:paraId="2726F6B9" w14:textId="0809D976" w:rsidR="00C4082E" w:rsidRPr="00400E40" w:rsidRDefault="00C4082E" w:rsidP="00057AD3">
      <w:pPr>
        <w:spacing w:line="360" w:lineRule="auto"/>
        <w:jc w:val="both"/>
        <w:rPr>
          <w:rFonts w:ascii="Arial" w:hAnsi="Arial" w:cs="Arial"/>
          <w:sz w:val="22"/>
          <w:szCs w:val="22"/>
        </w:rPr>
      </w:pPr>
      <w:r w:rsidRPr="00400E40">
        <w:rPr>
          <w:rFonts w:ascii="Arial" w:hAnsi="Arial" w:cs="Arial"/>
          <w:sz w:val="22"/>
          <w:szCs w:val="22"/>
        </w:rPr>
        <w:t>Os dados analisados contemplam o período entre 2017 e agosto de 2018, não refletindo o comportamento atual do mercado de e-commerce brasileiro. Além disso, por se tratar de uma base anonimizada, algumas análises de perfil dos consumidores e aspectos operacionais possuem limitações de detalhamento.</w:t>
      </w:r>
    </w:p>
    <w:p w14:paraId="7E56F65F" w14:textId="6018E77F" w:rsidR="005724AA" w:rsidRPr="00400E40" w:rsidRDefault="005724AA" w:rsidP="005436C8">
      <w:pPr>
        <w:pStyle w:val="Heading1"/>
      </w:pPr>
      <w:bookmarkStart w:id="5" w:name="_Toc232533214"/>
      <w:r w:rsidRPr="00400E40">
        <w:t>Visão Geral do Negócio</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1825"/>
      </w:tblGrid>
      <w:tr w:rsidR="005724AA" w:rsidRPr="00400E40" w14:paraId="031ADA4C" w14:textId="77777777">
        <w:trPr>
          <w:tblHeader/>
          <w:tblCellSpacing w:w="15" w:type="dxa"/>
        </w:trPr>
        <w:tc>
          <w:tcPr>
            <w:tcW w:w="0" w:type="auto"/>
            <w:vAlign w:val="center"/>
            <w:hideMark/>
          </w:tcPr>
          <w:p w14:paraId="6E5BB5EA" w14:textId="77777777" w:rsidR="005724AA" w:rsidRPr="00400E40" w:rsidRDefault="005724AA" w:rsidP="005D1865">
            <w:pPr>
              <w:spacing w:line="360" w:lineRule="auto"/>
              <w:jc w:val="both"/>
              <w:rPr>
                <w:rFonts w:ascii="Arial" w:hAnsi="Arial" w:cs="Arial"/>
                <w:b/>
                <w:bCs/>
                <w:sz w:val="22"/>
                <w:szCs w:val="22"/>
              </w:rPr>
            </w:pPr>
            <w:r w:rsidRPr="00400E40">
              <w:rPr>
                <w:rFonts w:ascii="Arial" w:hAnsi="Arial" w:cs="Arial"/>
                <w:b/>
                <w:bCs/>
                <w:sz w:val="22"/>
                <w:szCs w:val="22"/>
              </w:rPr>
              <w:t>Indicador</w:t>
            </w:r>
          </w:p>
        </w:tc>
        <w:tc>
          <w:tcPr>
            <w:tcW w:w="0" w:type="auto"/>
            <w:vAlign w:val="center"/>
            <w:hideMark/>
          </w:tcPr>
          <w:p w14:paraId="4F5ECE3D" w14:textId="77777777" w:rsidR="005724AA" w:rsidRPr="00400E40" w:rsidRDefault="005724AA" w:rsidP="005D1865">
            <w:pPr>
              <w:spacing w:line="360" w:lineRule="auto"/>
              <w:jc w:val="both"/>
              <w:rPr>
                <w:rFonts w:ascii="Arial" w:hAnsi="Arial" w:cs="Arial"/>
                <w:b/>
                <w:bCs/>
                <w:sz w:val="22"/>
                <w:szCs w:val="22"/>
              </w:rPr>
            </w:pPr>
            <w:r w:rsidRPr="00400E40">
              <w:rPr>
                <w:rFonts w:ascii="Arial" w:hAnsi="Arial" w:cs="Arial"/>
                <w:b/>
                <w:bCs/>
                <w:sz w:val="22"/>
                <w:szCs w:val="22"/>
              </w:rPr>
              <w:t>Valor</w:t>
            </w:r>
          </w:p>
        </w:tc>
      </w:tr>
      <w:tr w:rsidR="005724AA" w:rsidRPr="00400E40" w14:paraId="2C5DC7A3" w14:textId="77777777">
        <w:trPr>
          <w:tblCellSpacing w:w="15" w:type="dxa"/>
        </w:trPr>
        <w:tc>
          <w:tcPr>
            <w:tcW w:w="0" w:type="auto"/>
            <w:vAlign w:val="center"/>
            <w:hideMark/>
          </w:tcPr>
          <w:p w14:paraId="38354ACF" w14:textId="77777777"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Receita Total</w:t>
            </w:r>
          </w:p>
        </w:tc>
        <w:tc>
          <w:tcPr>
            <w:tcW w:w="0" w:type="auto"/>
            <w:vAlign w:val="center"/>
            <w:hideMark/>
          </w:tcPr>
          <w:p w14:paraId="6F83BFB0" w14:textId="56021C8B"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 xml:space="preserve">R$ </w:t>
            </w:r>
            <w:r w:rsidR="00D9074C" w:rsidRPr="00400E40">
              <w:rPr>
                <w:rFonts w:ascii="Arial" w:hAnsi="Arial" w:cs="Arial"/>
                <w:sz w:val="22"/>
                <w:szCs w:val="22"/>
              </w:rPr>
              <w:t>14</w:t>
            </w:r>
            <w:r w:rsidR="007502E7" w:rsidRPr="00400E40">
              <w:rPr>
                <w:rFonts w:ascii="Arial" w:hAnsi="Arial" w:cs="Arial"/>
                <w:sz w:val="22"/>
                <w:szCs w:val="22"/>
              </w:rPr>
              <w:t>.</w:t>
            </w:r>
            <w:r w:rsidR="00D9074C" w:rsidRPr="00400E40">
              <w:rPr>
                <w:rFonts w:ascii="Arial" w:hAnsi="Arial" w:cs="Arial"/>
                <w:sz w:val="22"/>
                <w:szCs w:val="22"/>
              </w:rPr>
              <w:t>222</w:t>
            </w:r>
            <w:r w:rsidR="007502E7" w:rsidRPr="00400E40">
              <w:rPr>
                <w:rFonts w:ascii="Arial" w:hAnsi="Arial" w:cs="Arial"/>
                <w:sz w:val="22"/>
                <w:szCs w:val="22"/>
              </w:rPr>
              <w:t>.</w:t>
            </w:r>
            <w:r w:rsidR="00D9074C" w:rsidRPr="00400E40">
              <w:rPr>
                <w:rFonts w:ascii="Arial" w:hAnsi="Arial" w:cs="Arial"/>
                <w:sz w:val="22"/>
                <w:szCs w:val="22"/>
              </w:rPr>
              <w:t>207</w:t>
            </w:r>
            <w:r w:rsidR="007502E7" w:rsidRPr="00400E40">
              <w:rPr>
                <w:rFonts w:ascii="Arial" w:hAnsi="Arial" w:cs="Arial"/>
                <w:sz w:val="22"/>
                <w:szCs w:val="22"/>
              </w:rPr>
              <w:t>,</w:t>
            </w:r>
            <w:r w:rsidR="00D9074C" w:rsidRPr="00400E40">
              <w:rPr>
                <w:rFonts w:ascii="Arial" w:hAnsi="Arial" w:cs="Arial"/>
                <w:sz w:val="22"/>
                <w:szCs w:val="22"/>
              </w:rPr>
              <w:t>47</w:t>
            </w:r>
          </w:p>
        </w:tc>
      </w:tr>
      <w:tr w:rsidR="005724AA" w:rsidRPr="00400E40" w14:paraId="2F4B615C" w14:textId="77777777">
        <w:trPr>
          <w:tblCellSpacing w:w="15" w:type="dxa"/>
        </w:trPr>
        <w:tc>
          <w:tcPr>
            <w:tcW w:w="0" w:type="auto"/>
            <w:vAlign w:val="center"/>
            <w:hideMark/>
          </w:tcPr>
          <w:p w14:paraId="24C08611" w14:textId="77777777"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Total de Pedidos</w:t>
            </w:r>
          </w:p>
        </w:tc>
        <w:tc>
          <w:tcPr>
            <w:tcW w:w="0" w:type="auto"/>
            <w:vAlign w:val="center"/>
            <w:hideMark/>
          </w:tcPr>
          <w:p w14:paraId="08E40974" w14:textId="0478884F" w:rsidR="005724AA" w:rsidRPr="00400E40" w:rsidRDefault="00D9074C" w:rsidP="005D1865">
            <w:pPr>
              <w:spacing w:line="360" w:lineRule="auto"/>
              <w:jc w:val="both"/>
              <w:rPr>
                <w:rFonts w:ascii="Arial" w:hAnsi="Arial" w:cs="Arial"/>
                <w:sz w:val="22"/>
                <w:szCs w:val="22"/>
              </w:rPr>
            </w:pPr>
            <w:r w:rsidRPr="00400E40">
              <w:rPr>
                <w:rFonts w:ascii="Arial" w:hAnsi="Arial" w:cs="Arial"/>
                <w:sz w:val="22"/>
                <w:szCs w:val="22"/>
              </w:rPr>
              <w:t>98</w:t>
            </w:r>
            <w:r w:rsidR="007502E7" w:rsidRPr="00400E40">
              <w:rPr>
                <w:rFonts w:ascii="Arial" w:hAnsi="Arial" w:cs="Arial"/>
                <w:sz w:val="22"/>
                <w:szCs w:val="22"/>
              </w:rPr>
              <w:t>.</w:t>
            </w:r>
            <w:r w:rsidRPr="00400E40">
              <w:rPr>
                <w:rFonts w:ascii="Arial" w:hAnsi="Arial" w:cs="Arial"/>
                <w:sz w:val="22"/>
                <w:szCs w:val="22"/>
              </w:rPr>
              <w:t>353</w:t>
            </w:r>
          </w:p>
        </w:tc>
      </w:tr>
      <w:tr w:rsidR="00C752C5" w:rsidRPr="00400E40" w14:paraId="091586A3" w14:textId="77777777">
        <w:trPr>
          <w:tblCellSpacing w:w="15" w:type="dxa"/>
        </w:trPr>
        <w:tc>
          <w:tcPr>
            <w:tcW w:w="0" w:type="auto"/>
            <w:vAlign w:val="center"/>
          </w:tcPr>
          <w:p w14:paraId="6735ED70" w14:textId="442F37CF" w:rsidR="00C752C5" w:rsidRPr="00400E40" w:rsidRDefault="008B5B8F" w:rsidP="005D1865">
            <w:pPr>
              <w:spacing w:line="360" w:lineRule="auto"/>
              <w:jc w:val="both"/>
              <w:rPr>
                <w:rFonts w:ascii="Arial" w:hAnsi="Arial" w:cs="Arial"/>
                <w:sz w:val="22"/>
                <w:szCs w:val="22"/>
              </w:rPr>
            </w:pPr>
            <w:r>
              <w:rPr>
                <w:rFonts w:ascii="Arial" w:hAnsi="Arial" w:cs="Arial"/>
                <w:sz w:val="22"/>
                <w:szCs w:val="22"/>
              </w:rPr>
              <w:t>Total de</w:t>
            </w:r>
            <w:r w:rsidR="00C752C5">
              <w:rPr>
                <w:rFonts w:ascii="Arial" w:hAnsi="Arial" w:cs="Arial"/>
                <w:sz w:val="22"/>
                <w:szCs w:val="22"/>
              </w:rPr>
              <w:t xml:space="preserve"> Estados</w:t>
            </w:r>
          </w:p>
        </w:tc>
        <w:tc>
          <w:tcPr>
            <w:tcW w:w="0" w:type="auto"/>
            <w:vAlign w:val="center"/>
          </w:tcPr>
          <w:p w14:paraId="1AE2C7BE" w14:textId="2F409BFC" w:rsidR="00C752C5" w:rsidRPr="00400E40" w:rsidRDefault="00A50574" w:rsidP="005D1865">
            <w:pPr>
              <w:spacing w:line="360" w:lineRule="auto"/>
              <w:jc w:val="both"/>
              <w:rPr>
                <w:rFonts w:ascii="Arial" w:hAnsi="Arial" w:cs="Arial"/>
                <w:sz w:val="22"/>
                <w:szCs w:val="22"/>
              </w:rPr>
            </w:pPr>
            <w:r>
              <w:rPr>
                <w:rFonts w:ascii="Arial" w:hAnsi="Arial" w:cs="Arial"/>
                <w:sz w:val="22"/>
                <w:szCs w:val="22"/>
              </w:rPr>
              <w:t>27</w:t>
            </w:r>
          </w:p>
        </w:tc>
      </w:tr>
      <w:tr w:rsidR="005724AA" w:rsidRPr="00400E40" w14:paraId="627FA302" w14:textId="77777777">
        <w:trPr>
          <w:tblCellSpacing w:w="15" w:type="dxa"/>
        </w:trPr>
        <w:tc>
          <w:tcPr>
            <w:tcW w:w="0" w:type="auto"/>
            <w:vAlign w:val="center"/>
            <w:hideMark/>
          </w:tcPr>
          <w:p w14:paraId="79E2E56E" w14:textId="27045C64"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Total de Clientes</w:t>
            </w:r>
            <w:r w:rsidR="00261C99" w:rsidRPr="00400E40">
              <w:rPr>
                <w:rFonts w:ascii="Arial" w:hAnsi="Arial" w:cs="Arial"/>
                <w:sz w:val="22"/>
                <w:szCs w:val="22"/>
              </w:rPr>
              <w:t xml:space="preserve"> Únicos</w:t>
            </w:r>
          </w:p>
        </w:tc>
        <w:tc>
          <w:tcPr>
            <w:tcW w:w="0" w:type="auto"/>
            <w:vAlign w:val="center"/>
            <w:hideMark/>
          </w:tcPr>
          <w:p w14:paraId="10889317" w14:textId="1B00EF72" w:rsidR="005724AA" w:rsidRPr="00400E40" w:rsidRDefault="0006662D" w:rsidP="005D1865">
            <w:pPr>
              <w:spacing w:line="360" w:lineRule="auto"/>
              <w:jc w:val="both"/>
              <w:rPr>
                <w:rFonts w:ascii="Arial" w:hAnsi="Arial" w:cs="Arial"/>
                <w:sz w:val="22"/>
                <w:szCs w:val="22"/>
              </w:rPr>
            </w:pPr>
            <w:r w:rsidRPr="00400E40">
              <w:rPr>
                <w:rFonts w:ascii="Arial" w:hAnsi="Arial" w:cs="Arial"/>
                <w:sz w:val="22"/>
                <w:szCs w:val="22"/>
              </w:rPr>
              <w:t>95.121</w:t>
            </w:r>
          </w:p>
        </w:tc>
      </w:tr>
      <w:tr w:rsidR="00A50574" w:rsidRPr="00400E40" w14:paraId="497B9639" w14:textId="77777777">
        <w:trPr>
          <w:tblCellSpacing w:w="15" w:type="dxa"/>
        </w:trPr>
        <w:tc>
          <w:tcPr>
            <w:tcW w:w="0" w:type="auto"/>
            <w:vAlign w:val="center"/>
          </w:tcPr>
          <w:p w14:paraId="4B9A57A6" w14:textId="28C8CC3E" w:rsidR="00A50574" w:rsidRDefault="008B5B8F" w:rsidP="005D1865">
            <w:pPr>
              <w:spacing w:line="360" w:lineRule="auto"/>
              <w:jc w:val="both"/>
              <w:rPr>
                <w:rFonts w:ascii="Arial" w:hAnsi="Arial" w:cs="Arial"/>
                <w:sz w:val="22"/>
                <w:szCs w:val="22"/>
              </w:rPr>
            </w:pPr>
            <w:r>
              <w:rPr>
                <w:rFonts w:ascii="Arial" w:hAnsi="Arial" w:cs="Arial"/>
                <w:sz w:val="22"/>
                <w:szCs w:val="22"/>
              </w:rPr>
              <w:t>Total</w:t>
            </w:r>
            <w:r w:rsidR="00A50574">
              <w:rPr>
                <w:rFonts w:ascii="Arial" w:hAnsi="Arial" w:cs="Arial"/>
                <w:sz w:val="22"/>
                <w:szCs w:val="22"/>
              </w:rPr>
              <w:t xml:space="preserve"> de Categorias</w:t>
            </w:r>
          </w:p>
        </w:tc>
        <w:tc>
          <w:tcPr>
            <w:tcW w:w="0" w:type="auto"/>
            <w:vAlign w:val="center"/>
          </w:tcPr>
          <w:p w14:paraId="7B2159B6" w14:textId="1893F784" w:rsidR="00A50574" w:rsidRPr="00C752C5" w:rsidRDefault="00A50574" w:rsidP="005D1865">
            <w:pPr>
              <w:spacing w:line="360" w:lineRule="auto"/>
              <w:jc w:val="both"/>
              <w:rPr>
                <w:rFonts w:ascii="Arial" w:hAnsi="Arial" w:cs="Arial"/>
                <w:sz w:val="22"/>
                <w:szCs w:val="22"/>
              </w:rPr>
            </w:pPr>
            <w:r>
              <w:rPr>
                <w:rFonts w:ascii="Arial" w:hAnsi="Arial" w:cs="Arial"/>
                <w:sz w:val="22"/>
                <w:szCs w:val="22"/>
              </w:rPr>
              <w:t>73</w:t>
            </w:r>
          </w:p>
        </w:tc>
      </w:tr>
      <w:tr w:rsidR="002B10CD" w:rsidRPr="00400E40" w14:paraId="48905DC6" w14:textId="77777777">
        <w:trPr>
          <w:tblCellSpacing w:w="15" w:type="dxa"/>
        </w:trPr>
        <w:tc>
          <w:tcPr>
            <w:tcW w:w="0" w:type="auto"/>
            <w:vAlign w:val="center"/>
          </w:tcPr>
          <w:p w14:paraId="3DB52E29" w14:textId="15E62B59" w:rsidR="002B10CD" w:rsidRPr="00400E40" w:rsidRDefault="008B5B8F" w:rsidP="005D1865">
            <w:pPr>
              <w:spacing w:line="360" w:lineRule="auto"/>
              <w:jc w:val="both"/>
              <w:rPr>
                <w:rFonts w:ascii="Arial" w:hAnsi="Arial" w:cs="Arial"/>
                <w:sz w:val="22"/>
                <w:szCs w:val="22"/>
              </w:rPr>
            </w:pPr>
            <w:r>
              <w:rPr>
                <w:rFonts w:ascii="Arial" w:hAnsi="Arial" w:cs="Arial"/>
                <w:sz w:val="22"/>
                <w:szCs w:val="22"/>
              </w:rPr>
              <w:t>Total</w:t>
            </w:r>
            <w:r w:rsidR="00C752C5">
              <w:rPr>
                <w:rFonts w:ascii="Arial" w:hAnsi="Arial" w:cs="Arial"/>
                <w:sz w:val="22"/>
                <w:szCs w:val="22"/>
              </w:rPr>
              <w:t xml:space="preserve"> de </w:t>
            </w:r>
            <w:r w:rsidR="00A50574">
              <w:rPr>
                <w:rFonts w:ascii="Arial" w:hAnsi="Arial" w:cs="Arial"/>
                <w:sz w:val="22"/>
                <w:szCs w:val="22"/>
              </w:rPr>
              <w:t>I</w:t>
            </w:r>
            <w:r w:rsidR="00C752C5">
              <w:rPr>
                <w:rFonts w:ascii="Arial" w:hAnsi="Arial" w:cs="Arial"/>
                <w:sz w:val="22"/>
                <w:szCs w:val="22"/>
              </w:rPr>
              <w:t xml:space="preserve">tens </w:t>
            </w:r>
            <w:r w:rsidR="00A50574">
              <w:rPr>
                <w:rFonts w:ascii="Arial" w:hAnsi="Arial" w:cs="Arial"/>
                <w:sz w:val="22"/>
                <w:szCs w:val="22"/>
              </w:rPr>
              <w:t>V</w:t>
            </w:r>
            <w:r w:rsidR="00C752C5">
              <w:rPr>
                <w:rFonts w:ascii="Arial" w:hAnsi="Arial" w:cs="Arial"/>
                <w:sz w:val="22"/>
                <w:szCs w:val="22"/>
              </w:rPr>
              <w:t>endidos</w:t>
            </w:r>
          </w:p>
        </w:tc>
        <w:tc>
          <w:tcPr>
            <w:tcW w:w="0" w:type="auto"/>
            <w:vAlign w:val="center"/>
          </w:tcPr>
          <w:p w14:paraId="6AB8A49F" w14:textId="04F356C9" w:rsidR="002B10CD" w:rsidRPr="00400E40" w:rsidRDefault="00C752C5" w:rsidP="005D1865">
            <w:pPr>
              <w:spacing w:line="360" w:lineRule="auto"/>
              <w:jc w:val="both"/>
              <w:rPr>
                <w:rFonts w:ascii="Arial" w:hAnsi="Arial" w:cs="Arial"/>
                <w:sz w:val="22"/>
                <w:szCs w:val="22"/>
              </w:rPr>
            </w:pPr>
            <w:r w:rsidRPr="00C752C5">
              <w:rPr>
                <w:rFonts w:ascii="Arial" w:hAnsi="Arial" w:cs="Arial"/>
                <w:sz w:val="22"/>
                <w:szCs w:val="22"/>
              </w:rPr>
              <w:t>117</w:t>
            </w:r>
            <w:r>
              <w:rPr>
                <w:rFonts w:ascii="Arial" w:hAnsi="Arial" w:cs="Arial"/>
                <w:sz w:val="22"/>
                <w:szCs w:val="22"/>
              </w:rPr>
              <w:t>.</w:t>
            </w:r>
            <w:r w:rsidRPr="00C752C5">
              <w:rPr>
                <w:rFonts w:ascii="Arial" w:hAnsi="Arial" w:cs="Arial"/>
                <w:sz w:val="22"/>
                <w:szCs w:val="22"/>
              </w:rPr>
              <w:t>917</w:t>
            </w:r>
          </w:p>
        </w:tc>
      </w:tr>
      <w:tr w:rsidR="005724AA" w:rsidRPr="00400E40" w14:paraId="487D1FC7" w14:textId="77777777">
        <w:trPr>
          <w:tblCellSpacing w:w="15" w:type="dxa"/>
        </w:trPr>
        <w:tc>
          <w:tcPr>
            <w:tcW w:w="0" w:type="auto"/>
            <w:vAlign w:val="center"/>
            <w:hideMark/>
          </w:tcPr>
          <w:p w14:paraId="559D72C5" w14:textId="77777777"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Ticket Médio</w:t>
            </w:r>
          </w:p>
        </w:tc>
        <w:tc>
          <w:tcPr>
            <w:tcW w:w="0" w:type="auto"/>
            <w:vAlign w:val="center"/>
            <w:hideMark/>
          </w:tcPr>
          <w:p w14:paraId="1448D0C0" w14:textId="6FFF6C9A"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 xml:space="preserve">R$ </w:t>
            </w:r>
            <w:r w:rsidR="004F0233" w:rsidRPr="00400E40">
              <w:rPr>
                <w:rFonts w:ascii="Arial" w:hAnsi="Arial" w:cs="Arial"/>
                <w:sz w:val="22"/>
                <w:szCs w:val="22"/>
              </w:rPr>
              <w:t>144</w:t>
            </w:r>
            <w:r w:rsidR="007502E7" w:rsidRPr="00400E40">
              <w:rPr>
                <w:rFonts w:ascii="Arial" w:hAnsi="Arial" w:cs="Arial"/>
                <w:sz w:val="22"/>
                <w:szCs w:val="22"/>
              </w:rPr>
              <w:t>,</w:t>
            </w:r>
            <w:r w:rsidR="004F0233" w:rsidRPr="00400E40">
              <w:rPr>
                <w:rFonts w:ascii="Arial" w:hAnsi="Arial" w:cs="Arial"/>
                <w:sz w:val="22"/>
                <w:szCs w:val="22"/>
              </w:rPr>
              <w:t>60</w:t>
            </w:r>
          </w:p>
        </w:tc>
      </w:tr>
      <w:tr w:rsidR="005724AA" w:rsidRPr="00400E40" w14:paraId="235C06C5" w14:textId="77777777">
        <w:trPr>
          <w:tblCellSpacing w:w="15" w:type="dxa"/>
        </w:trPr>
        <w:tc>
          <w:tcPr>
            <w:tcW w:w="0" w:type="auto"/>
            <w:vAlign w:val="center"/>
            <w:hideMark/>
          </w:tcPr>
          <w:p w14:paraId="033900D2" w14:textId="77777777" w:rsidR="005724AA" w:rsidRPr="00400E40" w:rsidRDefault="005724AA" w:rsidP="005D1865">
            <w:pPr>
              <w:spacing w:line="360" w:lineRule="auto"/>
              <w:jc w:val="both"/>
              <w:rPr>
                <w:rFonts w:ascii="Arial" w:hAnsi="Arial" w:cs="Arial"/>
                <w:sz w:val="22"/>
                <w:szCs w:val="22"/>
              </w:rPr>
            </w:pPr>
            <w:r w:rsidRPr="00400E40">
              <w:rPr>
                <w:rFonts w:ascii="Arial" w:hAnsi="Arial" w:cs="Arial"/>
                <w:sz w:val="22"/>
                <w:szCs w:val="22"/>
              </w:rPr>
              <w:t>Tempo Médio de Entrega</w:t>
            </w:r>
          </w:p>
        </w:tc>
        <w:tc>
          <w:tcPr>
            <w:tcW w:w="0" w:type="auto"/>
            <w:vAlign w:val="center"/>
            <w:hideMark/>
          </w:tcPr>
          <w:p w14:paraId="3CE11E81" w14:textId="77777777" w:rsidR="005724AA" w:rsidRPr="00400E40" w:rsidRDefault="005B40DB" w:rsidP="005D1865">
            <w:pPr>
              <w:spacing w:line="360" w:lineRule="auto"/>
              <w:jc w:val="both"/>
              <w:rPr>
                <w:rFonts w:ascii="Arial" w:hAnsi="Arial" w:cs="Arial"/>
                <w:sz w:val="22"/>
                <w:szCs w:val="22"/>
              </w:rPr>
            </w:pPr>
            <w:r w:rsidRPr="00400E40">
              <w:rPr>
                <w:rFonts w:ascii="Arial" w:hAnsi="Arial" w:cs="Arial"/>
                <w:sz w:val="22"/>
                <w:szCs w:val="22"/>
              </w:rPr>
              <w:t>12</w:t>
            </w:r>
            <w:r w:rsidR="005724AA" w:rsidRPr="00400E40">
              <w:rPr>
                <w:rFonts w:ascii="Arial" w:hAnsi="Arial" w:cs="Arial"/>
                <w:sz w:val="22"/>
                <w:szCs w:val="22"/>
              </w:rPr>
              <w:t xml:space="preserve"> dias</w:t>
            </w:r>
          </w:p>
        </w:tc>
      </w:tr>
    </w:tbl>
    <w:p w14:paraId="108A9D7E" w14:textId="77777777" w:rsidR="001D11DA" w:rsidRPr="00400E40" w:rsidRDefault="001D11DA" w:rsidP="00057AD3">
      <w:pPr>
        <w:jc w:val="both"/>
        <w:rPr>
          <w:rFonts w:ascii="Arial" w:hAnsi="Arial" w:cs="Arial"/>
          <w:sz w:val="22"/>
          <w:szCs w:val="22"/>
        </w:rPr>
      </w:pPr>
      <w:r w:rsidRPr="00400E40">
        <w:rPr>
          <w:rFonts w:ascii="Arial" w:hAnsi="Arial" w:cs="Arial"/>
          <w:sz w:val="22"/>
          <w:szCs w:val="22"/>
        </w:rPr>
        <w:t>A análise da base da Olist demonstra uma operação em forte expansão entre 2017 e 2018, sustentada pelo crescimento consistente do volume de pedidos e da receita.</w:t>
      </w:r>
    </w:p>
    <w:p w14:paraId="1C716328" w14:textId="29EB4FC7" w:rsidR="001D11DA" w:rsidRPr="00400E40" w:rsidRDefault="001D11DA" w:rsidP="00057AD3">
      <w:pPr>
        <w:jc w:val="both"/>
        <w:rPr>
          <w:rFonts w:ascii="Arial" w:hAnsi="Arial" w:cs="Arial"/>
          <w:sz w:val="22"/>
          <w:szCs w:val="22"/>
        </w:rPr>
      </w:pPr>
      <w:r w:rsidRPr="00400E40">
        <w:rPr>
          <w:rFonts w:ascii="Arial" w:hAnsi="Arial" w:cs="Arial"/>
          <w:sz w:val="22"/>
          <w:szCs w:val="22"/>
        </w:rPr>
        <w:t>Apesar dos resultados positivos, foram identificados três desafios relevantes para a continuidade desse crescimento: a elevada dependência da região Sudeste, a baixa taxa de recompra dos clientes e o impacto significativo dos atrasos</w:t>
      </w:r>
      <w:r w:rsidR="005E1701" w:rsidRPr="00400E40">
        <w:rPr>
          <w:rFonts w:ascii="Arial" w:hAnsi="Arial" w:cs="Arial"/>
          <w:sz w:val="22"/>
          <w:szCs w:val="22"/>
        </w:rPr>
        <w:t xml:space="preserve"> e </w:t>
      </w:r>
      <w:r w:rsidR="00BB4EA4" w:rsidRPr="00400E40">
        <w:rPr>
          <w:rFonts w:ascii="Arial" w:hAnsi="Arial" w:cs="Arial"/>
          <w:sz w:val="22"/>
          <w:szCs w:val="22"/>
        </w:rPr>
        <w:t xml:space="preserve">dos </w:t>
      </w:r>
      <w:r w:rsidR="005E1701" w:rsidRPr="00400E40">
        <w:rPr>
          <w:rFonts w:ascii="Arial" w:hAnsi="Arial" w:cs="Arial"/>
          <w:sz w:val="22"/>
          <w:szCs w:val="22"/>
        </w:rPr>
        <w:t>custos</w:t>
      </w:r>
      <w:r w:rsidRPr="00400E40">
        <w:rPr>
          <w:rFonts w:ascii="Arial" w:hAnsi="Arial" w:cs="Arial"/>
          <w:sz w:val="22"/>
          <w:szCs w:val="22"/>
        </w:rPr>
        <w:t xml:space="preserve"> logísticos sobre a satisfação dos consumidores.</w:t>
      </w:r>
    </w:p>
    <w:p w14:paraId="209AD54E" w14:textId="77777777" w:rsidR="001D11DA" w:rsidRPr="00400E40" w:rsidRDefault="001D11DA" w:rsidP="00057AD3">
      <w:pPr>
        <w:jc w:val="both"/>
        <w:rPr>
          <w:rFonts w:ascii="Arial" w:hAnsi="Arial" w:cs="Arial"/>
          <w:sz w:val="22"/>
          <w:szCs w:val="22"/>
        </w:rPr>
      </w:pPr>
      <w:r w:rsidRPr="00400E40">
        <w:rPr>
          <w:rFonts w:ascii="Arial" w:hAnsi="Arial" w:cs="Arial"/>
          <w:sz w:val="22"/>
          <w:szCs w:val="22"/>
        </w:rPr>
        <w:t>Por outro lado, a análise também revelou oportunidades claras de geração de valor, incluindo a expansão em estados com maior receita média por cliente, ações de fidelização em categorias com maior potencial de recompra e investimentos contínuos em eficiência logística.</w:t>
      </w:r>
    </w:p>
    <w:p w14:paraId="4089BC89" w14:textId="0B9E117E" w:rsidR="00C42E3C" w:rsidRPr="00400E40" w:rsidRDefault="00E7608E" w:rsidP="005436C8">
      <w:pPr>
        <w:pStyle w:val="Heading1"/>
      </w:pPr>
      <w:bookmarkStart w:id="6" w:name="_Toc232533215"/>
      <w:r w:rsidRPr="00400E40">
        <w:t>A</w:t>
      </w:r>
      <w:r w:rsidR="00C42E3C" w:rsidRPr="00400E40">
        <w:t>n</w:t>
      </w:r>
      <w:r w:rsidRPr="00400E40">
        <w:t>á</w:t>
      </w:r>
      <w:r w:rsidR="00C42E3C" w:rsidRPr="00400E40">
        <w:t>lise</w:t>
      </w:r>
      <w:bookmarkEnd w:id="6"/>
      <w:r w:rsidR="005724AA" w:rsidRPr="00400E40">
        <w:t xml:space="preserve"> </w:t>
      </w:r>
    </w:p>
    <w:p w14:paraId="75FC5742" w14:textId="36B26DC1" w:rsidR="005724AA" w:rsidRPr="00400E40" w:rsidRDefault="00723FC5" w:rsidP="00C23198">
      <w:pPr>
        <w:pStyle w:val="Heading2"/>
      </w:pPr>
      <w:bookmarkStart w:id="7" w:name="_Toc232533216"/>
      <w:r w:rsidRPr="00400E40">
        <w:t>Crescimento e Receita</w:t>
      </w:r>
      <w:bookmarkEnd w:id="7"/>
    </w:p>
    <w:p w14:paraId="10F69F49" w14:textId="32144466" w:rsidR="00101E58" w:rsidRPr="00400E40" w:rsidRDefault="00CF3B32"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6E12E9E4" wp14:editId="136C17B0">
            <wp:extent cx="5612130" cy="2385060"/>
            <wp:effectExtent l="0" t="0" r="7620" b="0"/>
            <wp:docPr id="16599165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385060"/>
                    </a:xfrm>
                    <a:prstGeom prst="rect">
                      <a:avLst/>
                    </a:prstGeom>
                    <a:noFill/>
                    <a:ln>
                      <a:noFill/>
                    </a:ln>
                  </pic:spPr>
                </pic:pic>
              </a:graphicData>
            </a:graphic>
          </wp:inline>
        </w:drawing>
      </w:r>
    </w:p>
    <w:p w14:paraId="6CAC8818" w14:textId="6BAFC4FD"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Figura</w:t>
      </w:r>
      <w:r w:rsidR="005724AA" w:rsidRPr="00400E40">
        <w:rPr>
          <w:rFonts w:ascii="Arial" w:hAnsi="Arial" w:cs="Arial"/>
          <w:b/>
          <w:bCs/>
          <w:sz w:val="22"/>
          <w:szCs w:val="22"/>
        </w:rPr>
        <w:t xml:space="preserve"> 1 – Evolução Mensal dos Pedidos</w:t>
      </w:r>
    </w:p>
    <w:p w14:paraId="16B6CC76" w14:textId="2A9571A8" w:rsidR="005724AA" w:rsidRPr="00400E40" w:rsidRDefault="00AB0C16" w:rsidP="00057AD3">
      <w:pPr>
        <w:spacing w:line="360" w:lineRule="auto"/>
        <w:jc w:val="both"/>
        <w:rPr>
          <w:rFonts w:ascii="Arial" w:hAnsi="Arial" w:cs="Arial"/>
          <w:sz w:val="22"/>
          <w:szCs w:val="22"/>
        </w:rPr>
      </w:pPr>
      <w:r w:rsidRPr="00400E40">
        <w:rPr>
          <w:rFonts w:ascii="Arial" w:hAnsi="Arial" w:cs="Arial"/>
          <w:sz w:val="22"/>
          <w:szCs w:val="22"/>
        </w:rPr>
        <w:t>O volume de pedidos apresentou crescimento expressivo ao longo do período analisado, passando de aproximadamente 750 pedidos em janeiro de 2017 para mais de 6.400 pedidos em agosto de 2018. O maior volume foi registrado em novembro de 2017, com cerca de 7.500 pedidos, evidenciando forte sazonalidade associada ao período promocional de fim de ano. Após esse pico, a operação manteve estabilidade em patamares superiores a 6 mil pedidos mensais, demonstrando amadurecimento e consolidação da plataforma.</w:t>
      </w:r>
    </w:p>
    <w:p w14:paraId="3436EF57" w14:textId="1ABB58E7" w:rsidR="00734BB3" w:rsidRPr="00400E40" w:rsidRDefault="00B578CB"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7ECAAC7F" wp14:editId="7FA5B70B">
            <wp:extent cx="5612130" cy="2384425"/>
            <wp:effectExtent l="0" t="0" r="7620" b="0"/>
            <wp:docPr id="1209295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384425"/>
                    </a:xfrm>
                    <a:prstGeom prst="rect">
                      <a:avLst/>
                    </a:prstGeom>
                    <a:noFill/>
                    <a:ln>
                      <a:noFill/>
                    </a:ln>
                  </pic:spPr>
                </pic:pic>
              </a:graphicData>
            </a:graphic>
          </wp:inline>
        </w:drawing>
      </w:r>
    </w:p>
    <w:p w14:paraId="7DCE9365" w14:textId="64C6A504"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2 – Evolução Mensal da Receita</w:t>
      </w:r>
    </w:p>
    <w:p w14:paraId="368DCAD4" w14:textId="0E2A4335" w:rsidR="00CA245E" w:rsidRPr="00400E40" w:rsidRDefault="00C03668" w:rsidP="00057AD3">
      <w:pPr>
        <w:spacing w:line="360" w:lineRule="auto"/>
        <w:jc w:val="both"/>
        <w:rPr>
          <w:rFonts w:ascii="Arial" w:hAnsi="Arial" w:cs="Arial"/>
          <w:sz w:val="22"/>
          <w:szCs w:val="22"/>
        </w:rPr>
      </w:pPr>
      <w:r w:rsidRPr="00400E40">
        <w:rPr>
          <w:rFonts w:ascii="Arial" w:hAnsi="Arial" w:cs="Arial"/>
          <w:sz w:val="22"/>
          <w:szCs w:val="22"/>
        </w:rPr>
        <w:t>A receita acompanhou o crescimento do volume de pedidos, saindo de aproximadamente R$ 130 mil mensais no início de 2017 para valores próximos de R$ 900 mil mensais em 2018. O maior faturamento ocorreu em novembro de 2017, ultrapassando R$ 1 milhão, reforçando a relevância das datas sazonais para o negócio. Mesmo após esse pico, a receita manteve-se em níveis elevados, indicando crescimento sustentável da operação.</w:t>
      </w:r>
    </w:p>
    <w:p w14:paraId="1BF1B76E" w14:textId="17B3F8D2" w:rsidR="005724AA" w:rsidRPr="00400E40" w:rsidRDefault="005724AA" w:rsidP="00C23198">
      <w:pPr>
        <w:pStyle w:val="Heading2"/>
      </w:pPr>
      <w:bookmarkStart w:id="8" w:name="_Toc232533217"/>
      <w:r w:rsidRPr="00400E40">
        <w:t>Análise Geográfica</w:t>
      </w:r>
      <w:bookmarkEnd w:id="8"/>
    </w:p>
    <w:p w14:paraId="32F83A1C" w14:textId="40CA7468" w:rsidR="00734BB3" w:rsidRPr="00400E40" w:rsidRDefault="00ED4100"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07B36F8D" wp14:editId="42216C57">
            <wp:extent cx="5612130" cy="2785110"/>
            <wp:effectExtent l="0" t="0" r="7620" b="0"/>
            <wp:docPr id="7969409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785110"/>
                    </a:xfrm>
                    <a:prstGeom prst="rect">
                      <a:avLst/>
                    </a:prstGeom>
                    <a:noFill/>
                    <a:ln>
                      <a:noFill/>
                    </a:ln>
                  </pic:spPr>
                </pic:pic>
              </a:graphicData>
            </a:graphic>
          </wp:inline>
        </w:drawing>
      </w:r>
    </w:p>
    <w:p w14:paraId="2316B18F" w14:textId="54089E0F"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3 – Participação dos Pedidos por Estado</w:t>
      </w:r>
    </w:p>
    <w:p w14:paraId="586AA875" w14:textId="77777777" w:rsidR="008666BA" w:rsidRPr="00400E40" w:rsidRDefault="008666BA" w:rsidP="00057AD3">
      <w:pPr>
        <w:spacing w:line="360" w:lineRule="auto"/>
        <w:jc w:val="both"/>
        <w:rPr>
          <w:rFonts w:ascii="Arial" w:hAnsi="Arial" w:cs="Arial"/>
          <w:sz w:val="22"/>
          <w:szCs w:val="22"/>
        </w:rPr>
      </w:pPr>
      <w:r w:rsidRPr="00400E40">
        <w:rPr>
          <w:rFonts w:ascii="Arial" w:hAnsi="Arial" w:cs="Arial"/>
          <w:sz w:val="22"/>
          <w:szCs w:val="22"/>
        </w:rPr>
        <w:t>São Paulo concentrou 41.264 pedidos, representando aproximadamente 42% de todas as vendas da plataforma. Rio de Janeiro e Minas Gerais aparecem na sequência com 12.713 e 11.504 pedidos respectivamente. Embora exista forte concentração na região Sudeste, observa-se presença nacional da plataforma, evidenciando sua capacidade de alcance em diferentes mercados.</w:t>
      </w:r>
    </w:p>
    <w:p w14:paraId="5D4DDDE9" w14:textId="30088F88" w:rsidR="00DD09F5" w:rsidRPr="00400E40" w:rsidRDefault="00C16413" w:rsidP="00192657">
      <w:pPr>
        <w:spacing w:line="360" w:lineRule="auto"/>
        <w:jc w:val="center"/>
        <w:rPr>
          <w:rFonts w:ascii="Arial" w:hAnsi="Arial" w:cs="Arial"/>
          <w:b/>
          <w:bCs/>
          <w:sz w:val="22"/>
          <w:szCs w:val="22"/>
        </w:rPr>
      </w:pPr>
      <w:r>
        <w:rPr>
          <w:rFonts w:ascii="Arial" w:hAnsi="Arial" w:cs="Arial"/>
          <w:b/>
          <w:bCs/>
          <w:sz w:val="22"/>
          <w:szCs w:val="22"/>
        </w:rPr>
        <w:drawing>
          <wp:inline distT="0" distB="0" distL="0" distR="0" wp14:anchorId="7103C723" wp14:editId="0C350F6C">
            <wp:extent cx="6221382" cy="2398186"/>
            <wp:effectExtent l="0" t="0" r="8255" b="2540"/>
            <wp:docPr id="6919438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51166" cy="2409667"/>
                    </a:xfrm>
                    <a:prstGeom prst="rect">
                      <a:avLst/>
                    </a:prstGeom>
                    <a:noFill/>
                  </pic:spPr>
                </pic:pic>
              </a:graphicData>
            </a:graphic>
          </wp:inline>
        </w:drawing>
      </w:r>
    </w:p>
    <w:p w14:paraId="7C67FBDA" w14:textId="68D912DA"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4 – Participação dos Pedidos x Receita Média por Cliente</w:t>
      </w:r>
    </w:p>
    <w:p w14:paraId="3FB964D1" w14:textId="79A5E1A4" w:rsidR="008666BA" w:rsidRPr="00400E40" w:rsidRDefault="008666BA" w:rsidP="00057AD3">
      <w:pPr>
        <w:spacing w:line="360" w:lineRule="auto"/>
        <w:jc w:val="both"/>
        <w:rPr>
          <w:rFonts w:ascii="Arial" w:hAnsi="Arial" w:cs="Arial"/>
          <w:sz w:val="22"/>
          <w:szCs w:val="22"/>
        </w:rPr>
      </w:pPr>
      <w:r w:rsidRPr="00400E40">
        <w:rPr>
          <w:rFonts w:ascii="Arial" w:hAnsi="Arial" w:cs="Arial"/>
          <w:sz w:val="22"/>
          <w:szCs w:val="22"/>
        </w:rPr>
        <w:t xml:space="preserve">Apesar de São Paulo liderar em volume de pedidos, estados como </w:t>
      </w:r>
      <w:r w:rsidR="00E01A9A">
        <w:rPr>
          <w:rFonts w:ascii="Arial" w:hAnsi="Arial" w:cs="Arial"/>
          <w:sz w:val="22"/>
          <w:szCs w:val="22"/>
        </w:rPr>
        <w:t>Acre, Rondônia</w:t>
      </w:r>
      <w:r w:rsidRPr="00400E40">
        <w:rPr>
          <w:rFonts w:ascii="Arial" w:hAnsi="Arial" w:cs="Arial"/>
          <w:sz w:val="22"/>
          <w:szCs w:val="22"/>
        </w:rPr>
        <w:t xml:space="preserve"> e </w:t>
      </w:r>
      <w:r w:rsidR="00E01A9A">
        <w:rPr>
          <w:rFonts w:ascii="Arial" w:hAnsi="Arial" w:cs="Arial"/>
          <w:sz w:val="22"/>
          <w:szCs w:val="22"/>
        </w:rPr>
        <w:t>Paraíba</w:t>
      </w:r>
      <w:r w:rsidRPr="00400E40">
        <w:rPr>
          <w:rFonts w:ascii="Arial" w:hAnsi="Arial" w:cs="Arial"/>
          <w:sz w:val="22"/>
          <w:szCs w:val="22"/>
        </w:rPr>
        <w:t xml:space="preserve"> apresentaram receitas médias por cliente superiores à média nacional, indicando oportunidades para estratégias de expansão focadas em mercados com maior potencial de monetização. A análise demonstra que volume de vendas e rentabilidade por cliente não possuem necessariamente relação direta.</w:t>
      </w:r>
    </w:p>
    <w:p w14:paraId="018BF467" w14:textId="3B22C3AC" w:rsidR="005724AA" w:rsidRPr="00400E40" w:rsidRDefault="005724AA" w:rsidP="00057AD3">
      <w:pPr>
        <w:spacing w:line="360" w:lineRule="auto"/>
        <w:jc w:val="both"/>
        <w:rPr>
          <w:rFonts w:ascii="Arial" w:hAnsi="Arial" w:cs="Arial"/>
          <w:sz w:val="22"/>
          <w:szCs w:val="22"/>
        </w:rPr>
      </w:pPr>
      <w:r w:rsidRPr="00400E40">
        <w:rPr>
          <w:rFonts w:ascii="Arial" w:hAnsi="Arial" w:cs="Arial"/>
          <w:sz w:val="22"/>
          <w:szCs w:val="22"/>
        </w:rPr>
        <w:t>Essa visão evidencia que estados com menor participação relativa podem apresentar clientes com maior valor médio de compra.</w:t>
      </w:r>
    </w:p>
    <w:p w14:paraId="36D6383D" w14:textId="6F5ADE42" w:rsidR="005724AA" w:rsidRPr="00400E40" w:rsidRDefault="005724AA" w:rsidP="00C23198">
      <w:pPr>
        <w:pStyle w:val="Heading2"/>
      </w:pPr>
      <w:bookmarkStart w:id="9" w:name="_Toc232533218"/>
      <w:r w:rsidRPr="00400E40">
        <w:t>Categorias de Produtos</w:t>
      </w:r>
      <w:bookmarkEnd w:id="9"/>
    </w:p>
    <w:p w14:paraId="6157B36B" w14:textId="56481C1A" w:rsidR="00C22F76" w:rsidRPr="00400E40" w:rsidRDefault="004C77BC"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436EBE97" wp14:editId="5EE483EB">
            <wp:extent cx="5612130" cy="2788285"/>
            <wp:effectExtent l="0" t="0" r="7620" b="0"/>
            <wp:docPr id="2693260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788285"/>
                    </a:xfrm>
                    <a:prstGeom prst="rect">
                      <a:avLst/>
                    </a:prstGeom>
                    <a:noFill/>
                    <a:ln>
                      <a:noFill/>
                    </a:ln>
                  </pic:spPr>
                </pic:pic>
              </a:graphicData>
            </a:graphic>
          </wp:inline>
        </w:drawing>
      </w:r>
    </w:p>
    <w:p w14:paraId="53383F85" w14:textId="41C35EC6"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5 – Top 10 Categorias Mais Vendidas</w:t>
      </w:r>
    </w:p>
    <w:p w14:paraId="402F0E28" w14:textId="77777777" w:rsidR="00E27312" w:rsidRPr="00400E40" w:rsidRDefault="00E27312" w:rsidP="00057AD3">
      <w:pPr>
        <w:spacing w:line="360" w:lineRule="auto"/>
        <w:jc w:val="both"/>
        <w:rPr>
          <w:rFonts w:ascii="Arial" w:hAnsi="Arial" w:cs="Arial"/>
          <w:sz w:val="22"/>
          <w:szCs w:val="22"/>
        </w:rPr>
      </w:pPr>
      <w:r w:rsidRPr="00400E40">
        <w:rPr>
          <w:rFonts w:ascii="Arial" w:hAnsi="Arial" w:cs="Arial"/>
          <w:sz w:val="22"/>
          <w:szCs w:val="22"/>
        </w:rPr>
        <w:t>As categorias Casa, Mesa e Banho, Beleza e Saúde e Esporte e Lazer concentraram juntas mais de 25 mil pedidos no período analisado. Além do elevado volume de vendas, essas categorias também figuram entre as maiores geradoras de receita, reforçando sua relevância estratégica para a plataforma.</w:t>
      </w:r>
    </w:p>
    <w:p w14:paraId="71E28DFD" w14:textId="77777777" w:rsidR="007B1479" w:rsidRDefault="005724AA" w:rsidP="00057AD3">
      <w:pPr>
        <w:spacing w:line="360" w:lineRule="auto"/>
        <w:jc w:val="both"/>
        <w:rPr>
          <w:rFonts w:ascii="Arial" w:hAnsi="Arial" w:cs="Arial"/>
          <w:sz w:val="22"/>
          <w:szCs w:val="22"/>
        </w:rPr>
      </w:pPr>
      <w:r w:rsidRPr="00400E40">
        <w:rPr>
          <w:rFonts w:ascii="Arial" w:hAnsi="Arial" w:cs="Arial"/>
          <w:sz w:val="22"/>
          <w:szCs w:val="22"/>
        </w:rPr>
        <w:t>Essas categorias devem receber atenção especial em ações de marketing, estoque e logística.</w:t>
      </w:r>
    </w:p>
    <w:p w14:paraId="37702200" w14:textId="1B6E164D" w:rsidR="005724AA" w:rsidRPr="00400E40" w:rsidRDefault="005724AA" w:rsidP="00192657">
      <w:pPr>
        <w:spacing w:line="360" w:lineRule="auto"/>
        <w:ind w:firstLine="708"/>
        <w:jc w:val="both"/>
        <w:rPr>
          <w:rFonts w:ascii="Arial" w:hAnsi="Arial" w:cs="Arial"/>
          <w:sz w:val="22"/>
          <w:szCs w:val="22"/>
        </w:rPr>
      </w:pPr>
    </w:p>
    <w:p w14:paraId="022287F6" w14:textId="0CA70F54" w:rsidR="004A5618" w:rsidRPr="00400E40" w:rsidRDefault="007636E7"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4F95FC57" wp14:editId="6143B900">
            <wp:extent cx="5612130" cy="2786380"/>
            <wp:effectExtent l="0" t="0" r="7620" b="0"/>
            <wp:docPr id="824359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786380"/>
                    </a:xfrm>
                    <a:prstGeom prst="rect">
                      <a:avLst/>
                    </a:prstGeom>
                    <a:noFill/>
                    <a:ln>
                      <a:noFill/>
                    </a:ln>
                  </pic:spPr>
                </pic:pic>
              </a:graphicData>
            </a:graphic>
          </wp:inline>
        </w:drawing>
      </w:r>
    </w:p>
    <w:p w14:paraId="03E51FC8" w14:textId="4AB80FA4"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6 – Categorias com Piores Avaliações</w:t>
      </w:r>
    </w:p>
    <w:p w14:paraId="65CAC4FF" w14:textId="05F287B1" w:rsidR="00A00173" w:rsidRPr="00400E40" w:rsidRDefault="00A00173" w:rsidP="00057AD3">
      <w:pPr>
        <w:spacing w:line="360" w:lineRule="auto"/>
        <w:jc w:val="both"/>
        <w:rPr>
          <w:rFonts w:ascii="Arial" w:hAnsi="Arial" w:cs="Arial"/>
          <w:sz w:val="22"/>
          <w:szCs w:val="22"/>
        </w:rPr>
      </w:pPr>
      <w:r w:rsidRPr="00400E40">
        <w:rPr>
          <w:rFonts w:ascii="Arial" w:hAnsi="Arial" w:cs="Arial"/>
          <w:sz w:val="22"/>
          <w:szCs w:val="22"/>
        </w:rPr>
        <w:t>As categorias com pior avaliação média incluem principalmente móveis, telefonia, áudio e decoração. Em conjunto, essas categorias representam aproximadamente 17% da receita total da plataforma, indicando que problemas de qualidade ou experiência do cliente impactam áreas relevantes do negócio. Melhorias nessas categorias possuem potencial de gerar ganhos simultâneos de satisfação e faturamento.</w:t>
      </w:r>
    </w:p>
    <w:p w14:paraId="2CD82BB5" w14:textId="7B0D4AB1" w:rsidR="005724AA" w:rsidRPr="00400E40" w:rsidRDefault="005724AA" w:rsidP="00C23198">
      <w:pPr>
        <w:pStyle w:val="Heading2"/>
      </w:pPr>
      <w:bookmarkStart w:id="10" w:name="_Toc232533219"/>
      <w:r w:rsidRPr="00400E40">
        <w:t>Logística e Satisfação do Cliente</w:t>
      </w:r>
      <w:bookmarkEnd w:id="10"/>
    </w:p>
    <w:p w14:paraId="436C651A" w14:textId="5B894EFA" w:rsidR="008C2E7E" w:rsidRPr="00400E40" w:rsidRDefault="00567758"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017F0B29" wp14:editId="3C4B1615">
            <wp:extent cx="4771560" cy="3563823"/>
            <wp:effectExtent l="0" t="0" r="0" b="0"/>
            <wp:docPr id="12999411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3430" cy="3572689"/>
                    </a:xfrm>
                    <a:prstGeom prst="rect">
                      <a:avLst/>
                    </a:prstGeom>
                    <a:noFill/>
                    <a:ln>
                      <a:noFill/>
                    </a:ln>
                  </pic:spPr>
                </pic:pic>
              </a:graphicData>
            </a:graphic>
          </wp:inline>
        </w:drawing>
      </w:r>
    </w:p>
    <w:p w14:paraId="7C1179DE" w14:textId="476B58A9"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5724AA" w:rsidRPr="00400E40">
        <w:rPr>
          <w:rFonts w:ascii="Arial" w:hAnsi="Arial" w:cs="Arial"/>
          <w:b/>
          <w:bCs/>
          <w:sz w:val="22"/>
          <w:szCs w:val="22"/>
        </w:rPr>
        <w:t>7 – Pedidos Entregues no Prazo x Atrasados</w:t>
      </w:r>
    </w:p>
    <w:p w14:paraId="1ECB8370" w14:textId="77777777" w:rsidR="005724AA" w:rsidRDefault="005724AA" w:rsidP="00057AD3">
      <w:pPr>
        <w:spacing w:line="360" w:lineRule="auto"/>
        <w:jc w:val="both"/>
        <w:rPr>
          <w:rFonts w:ascii="Arial" w:hAnsi="Arial" w:cs="Arial"/>
          <w:sz w:val="22"/>
          <w:szCs w:val="22"/>
        </w:rPr>
      </w:pPr>
      <w:r w:rsidRPr="00400E40">
        <w:rPr>
          <w:rFonts w:ascii="Arial" w:hAnsi="Arial" w:cs="Arial"/>
          <w:sz w:val="22"/>
          <w:szCs w:val="22"/>
        </w:rPr>
        <w:t>A maioria dos pedidos foi entregue dentro do prazo estimado, demonstrando eficiência operacional da plataforma.</w:t>
      </w:r>
    </w:p>
    <w:p w14:paraId="04F38A5F" w14:textId="3F3B9157" w:rsidR="00072E6A" w:rsidRDefault="00984688" w:rsidP="00192657">
      <w:pPr>
        <w:spacing w:line="360" w:lineRule="auto"/>
        <w:jc w:val="center"/>
        <w:rPr>
          <w:rFonts w:ascii="Arial" w:hAnsi="Arial" w:cs="Arial"/>
          <w:sz w:val="22"/>
          <w:szCs w:val="22"/>
        </w:rPr>
      </w:pPr>
      <w:r>
        <w:rPr>
          <w:rFonts w:ascii="Arial" w:hAnsi="Arial" w:cs="Arial"/>
          <w:sz w:val="22"/>
          <w:szCs w:val="22"/>
        </w:rPr>
        <w:drawing>
          <wp:inline distT="0" distB="0" distL="0" distR="0" wp14:anchorId="5698BC5C" wp14:editId="73B41708">
            <wp:extent cx="5603486" cy="2305479"/>
            <wp:effectExtent l="0" t="0" r="0" b="0"/>
            <wp:docPr id="154607195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51169" cy="2325098"/>
                    </a:xfrm>
                    <a:prstGeom prst="rect">
                      <a:avLst/>
                    </a:prstGeom>
                    <a:noFill/>
                  </pic:spPr>
                </pic:pic>
              </a:graphicData>
            </a:graphic>
          </wp:inline>
        </w:drawing>
      </w:r>
    </w:p>
    <w:p w14:paraId="1DCA14C9" w14:textId="451C78FC" w:rsidR="00984688" w:rsidRPr="00984688" w:rsidRDefault="00984688" w:rsidP="00984688">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D135F8">
        <w:rPr>
          <w:rFonts w:ascii="Arial" w:hAnsi="Arial" w:cs="Arial"/>
          <w:b/>
          <w:bCs/>
          <w:sz w:val="22"/>
          <w:szCs w:val="22"/>
        </w:rPr>
        <w:t>8</w:t>
      </w:r>
      <w:r w:rsidRPr="00400E40">
        <w:rPr>
          <w:rFonts w:ascii="Arial" w:hAnsi="Arial" w:cs="Arial"/>
          <w:b/>
          <w:bCs/>
          <w:sz w:val="22"/>
          <w:szCs w:val="22"/>
        </w:rPr>
        <w:t xml:space="preserve"> – </w:t>
      </w:r>
      <w:r w:rsidR="009433CA">
        <w:rPr>
          <w:rFonts w:ascii="Arial" w:hAnsi="Arial" w:cs="Arial"/>
          <w:b/>
          <w:bCs/>
          <w:sz w:val="22"/>
          <w:szCs w:val="22"/>
        </w:rPr>
        <w:t>Percentual</w:t>
      </w:r>
      <w:r>
        <w:rPr>
          <w:rFonts w:ascii="Arial" w:hAnsi="Arial" w:cs="Arial"/>
          <w:b/>
          <w:bCs/>
          <w:sz w:val="22"/>
          <w:szCs w:val="22"/>
        </w:rPr>
        <w:t xml:space="preserve"> de entregas no prazo por regi</w:t>
      </w:r>
      <w:r w:rsidR="0025087E">
        <w:rPr>
          <w:rFonts w:ascii="Arial" w:hAnsi="Arial" w:cs="Arial"/>
          <w:b/>
          <w:bCs/>
          <w:sz w:val="22"/>
          <w:szCs w:val="22"/>
        </w:rPr>
        <w:t>ão</w:t>
      </w:r>
      <w:r w:rsidR="009433CA">
        <w:rPr>
          <w:rFonts w:ascii="Arial" w:hAnsi="Arial" w:cs="Arial"/>
          <w:b/>
          <w:bCs/>
          <w:sz w:val="22"/>
          <w:szCs w:val="22"/>
        </w:rPr>
        <w:t>/</w:t>
      </w:r>
      <w:r w:rsidR="0025087E">
        <w:rPr>
          <w:rFonts w:ascii="Arial" w:hAnsi="Arial" w:cs="Arial"/>
          <w:b/>
          <w:bCs/>
          <w:sz w:val="22"/>
          <w:szCs w:val="22"/>
        </w:rPr>
        <w:t>mês</w:t>
      </w:r>
    </w:p>
    <w:p w14:paraId="2B931B0E" w14:textId="77777777" w:rsidR="0015429A" w:rsidRPr="00400E40" w:rsidRDefault="0015429A" w:rsidP="00057AD3">
      <w:pPr>
        <w:spacing w:line="360" w:lineRule="auto"/>
        <w:jc w:val="both"/>
        <w:rPr>
          <w:rFonts w:ascii="Arial" w:hAnsi="Arial" w:cs="Arial"/>
          <w:sz w:val="22"/>
          <w:szCs w:val="22"/>
        </w:rPr>
      </w:pPr>
      <w:r w:rsidRPr="00400E40">
        <w:rPr>
          <w:rFonts w:ascii="Arial" w:hAnsi="Arial" w:cs="Arial"/>
          <w:sz w:val="22"/>
          <w:szCs w:val="22"/>
        </w:rPr>
        <w:t>Dos 98.353 pedidos analisados, 90.530 foram entregues dentro do prazo estimado, representando aproximadamente 92% das entregas. Apenas 7.823 pedidos sofreram atraso, demonstrando elevado nível de eficiência logística da operação.</w:t>
      </w:r>
    </w:p>
    <w:p w14:paraId="007E1DA8" w14:textId="77777777" w:rsidR="005724AA" w:rsidRPr="00400E40" w:rsidRDefault="005724AA" w:rsidP="00057AD3">
      <w:pPr>
        <w:spacing w:line="360" w:lineRule="auto"/>
        <w:jc w:val="both"/>
        <w:rPr>
          <w:rFonts w:ascii="Arial" w:hAnsi="Arial" w:cs="Arial"/>
          <w:sz w:val="22"/>
          <w:szCs w:val="22"/>
        </w:rPr>
      </w:pPr>
      <w:r w:rsidRPr="00400E40">
        <w:rPr>
          <w:rFonts w:ascii="Arial" w:hAnsi="Arial" w:cs="Arial"/>
          <w:sz w:val="22"/>
          <w:szCs w:val="22"/>
        </w:rPr>
        <w:t>Entretanto, os pedidos atrasados representam um risco para a experiência do cliente.</w:t>
      </w:r>
    </w:p>
    <w:p w14:paraId="19475255" w14:textId="73A9047E" w:rsidR="008863D4" w:rsidRPr="00400E40" w:rsidRDefault="004D0F0E"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67F25A10" wp14:editId="73AF7841">
            <wp:extent cx="4897117" cy="3657600"/>
            <wp:effectExtent l="0" t="0" r="0" b="0"/>
            <wp:docPr id="61022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3879" cy="3662650"/>
                    </a:xfrm>
                    <a:prstGeom prst="rect">
                      <a:avLst/>
                    </a:prstGeom>
                    <a:noFill/>
                    <a:ln>
                      <a:noFill/>
                    </a:ln>
                  </pic:spPr>
                </pic:pic>
              </a:graphicData>
            </a:graphic>
          </wp:inline>
        </w:drawing>
      </w:r>
    </w:p>
    <w:p w14:paraId="39CF838C" w14:textId="774BD46D"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D135F8">
        <w:rPr>
          <w:rFonts w:ascii="Arial" w:hAnsi="Arial" w:cs="Arial"/>
          <w:b/>
          <w:bCs/>
          <w:sz w:val="22"/>
          <w:szCs w:val="22"/>
        </w:rPr>
        <w:t>9</w:t>
      </w:r>
      <w:r w:rsidR="005724AA" w:rsidRPr="00400E40">
        <w:rPr>
          <w:rFonts w:ascii="Arial" w:hAnsi="Arial" w:cs="Arial"/>
          <w:b/>
          <w:bCs/>
          <w:sz w:val="22"/>
          <w:szCs w:val="22"/>
        </w:rPr>
        <w:t xml:space="preserve"> – Nota Média por Status da Entrega</w:t>
      </w:r>
    </w:p>
    <w:p w14:paraId="10D0E40B" w14:textId="1232C43F" w:rsidR="00A33C8C" w:rsidRPr="00400E40" w:rsidRDefault="00A33C8C" w:rsidP="00057AD3">
      <w:pPr>
        <w:spacing w:line="360" w:lineRule="auto"/>
        <w:jc w:val="both"/>
        <w:rPr>
          <w:rFonts w:ascii="Arial" w:hAnsi="Arial" w:cs="Arial"/>
          <w:sz w:val="22"/>
          <w:szCs w:val="22"/>
        </w:rPr>
      </w:pPr>
      <w:r w:rsidRPr="00400E40">
        <w:rPr>
          <w:rFonts w:ascii="Arial" w:hAnsi="Arial" w:cs="Arial"/>
          <w:sz w:val="22"/>
          <w:szCs w:val="22"/>
        </w:rPr>
        <w:t>A nota média dos pedidos entregues no prazo foi de 4,15, enquanto pedidos atrasados receberam nota média de apenas 2,55. Essa diferença de 1,6 ponto evidencia que a pontualidade da entrega é um dos fatores com maior impacto sobre a satisfação do cliente. São Paulo apresentou o melhor equilíbrio entre eficiência logística e satisfação, com tempo médio de entrega de 8,25 dias e avaliação média de 4,13.</w:t>
      </w:r>
    </w:p>
    <w:p w14:paraId="7B4E13A6" w14:textId="77777777" w:rsidR="007A7CC8" w:rsidRPr="00400E40" w:rsidRDefault="007A7CC8" w:rsidP="00057AD3">
      <w:pPr>
        <w:spacing w:line="360" w:lineRule="auto"/>
        <w:jc w:val="both"/>
        <w:rPr>
          <w:rFonts w:ascii="Arial" w:hAnsi="Arial" w:cs="Arial"/>
          <w:sz w:val="22"/>
          <w:szCs w:val="22"/>
        </w:rPr>
      </w:pPr>
      <w:r w:rsidRPr="00400E40">
        <w:rPr>
          <w:rFonts w:ascii="Arial" w:hAnsi="Arial" w:cs="Arial"/>
          <w:sz w:val="22"/>
          <w:szCs w:val="22"/>
        </w:rPr>
        <w:t>Esses resultados demonstram que melhorias logísticas possuem impacto direto na experiência do cliente e na reputação da plataforma.</w:t>
      </w:r>
    </w:p>
    <w:p w14:paraId="485303C2" w14:textId="00334B72" w:rsidR="007B70CC" w:rsidRPr="00400E40" w:rsidRDefault="007B70CC" w:rsidP="00192657">
      <w:pPr>
        <w:spacing w:line="360" w:lineRule="auto"/>
        <w:jc w:val="center"/>
        <w:rPr>
          <w:rFonts w:ascii="Arial" w:hAnsi="Arial" w:cs="Arial"/>
          <w:sz w:val="22"/>
          <w:szCs w:val="22"/>
        </w:rPr>
      </w:pPr>
      <w:r w:rsidRPr="00400E40">
        <w:drawing>
          <wp:inline distT="0" distB="0" distL="0" distR="0" wp14:anchorId="4B6CCDE9" wp14:editId="7675B141">
            <wp:extent cx="4789431" cy="3258526"/>
            <wp:effectExtent l="0" t="0" r="0" b="0"/>
            <wp:docPr id="205832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7622" cy="3264099"/>
                    </a:xfrm>
                    <a:prstGeom prst="rect">
                      <a:avLst/>
                    </a:prstGeom>
                    <a:noFill/>
                    <a:ln>
                      <a:noFill/>
                    </a:ln>
                  </pic:spPr>
                </pic:pic>
              </a:graphicData>
            </a:graphic>
          </wp:inline>
        </w:drawing>
      </w:r>
    </w:p>
    <w:p w14:paraId="56483721" w14:textId="5C1D7C7F" w:rsidR="00724C0E" w:rsidRPr="00400E40" w:rsidRDefault="00724C0E" w:rsidP="00724C0E">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D135F8">
        <w:rPr>
          <w:rFonts w:ascii="Arial" w:hAnsi="Arial" w:cs="Arial"/>
          <w:b/>
          <w:bCs/>
          <w:sz w:val="22"/>
          <w:szCs w:val="22"/>
        </w:rPr>
        <w:t>10</w:t>
      </w:r>
      <w:r w:rsidRPr="00400E40">
        <w:rPr>
          <w:rFonts w:ascii="Arial" w:hAnsi="Arial" w:cs="Arial"/>
          <w:b/>
          <w:bCs/>
          <w:sz w:val="22"/>
          <w:szCs w:val="22"/>
        </w:rPr>
        <w:t xml:space="preserve"> – Impacto do Frete na Satisfação dos Clientes</w:t>
      </w:r>
    </w:p>
    <w:p w14:paraId="47E7B0BD" w14:textId="77777777" w:rsidR="00454C74" w:rsidRPr="00400E40" w:rsidRDefault="00454C74" w:rsidP="00057AD3">
      <w:pPr>
        <w:spacing w:line="360" w:lineRule="auto"/>
        <w:jc w:val="both"/>
        <w:rPr>
          <w:rFonts w:ascii="Arial" w:hAnsi="Arial" w:cs="Arial"/>
          <w:sz w:val="22"/>
          <w:szCs w:val="22"/>
        </w:rPr>
      </w:pPr>
      <w:r w:rsidRPr="00400E40">
        <w:rPr>
          <w:rFonts w:ascii="Arial" w:hAnsi="Arial" w:cs="Arial"/>
          <w:sz w:val="22"/>
          <w:szCs w:val="22"/>
        </w:rPr>
        <w:t>Além do prazo de entrega, foi analisada a relação entre o valor do frete e a satisfação dos consumidores.</w:t>
      </w:r>
    </w:p>
    <w:p w14:paraId="66CF73AC" w14:textId="77777777" w:rsidR="00454C74" w:rsidRPr="00400E40" w:rsidRDefault="00454C74" w:rsidP="00057AD3">
      <w:pPr>
        <w:spacing w:line="360" w:lineRule="auto"/>
        <w:jc w:val="both"/>
        <w:rPr>
          <w:rFonts w:ascii="Arial" w:hAnsi="Arial" w:cs="Arial"/>
          <w:sz w:val="22"/>
          <w:szCs w:val="22"/>
        </w:rPr>
      </w:pPr>
      <w:r w:rsidRPr="00400E40">
        <w:rPr>
          <w:rFonts w:ascii="Arial" w:hAnsi="Arial" w:cs="Arial"/>
          <w:sz w:val="22"/>
          <w:szCs w:val="22"/>
        </w:rPr>
        <w:t>Os pedidos foram agrupados em quatro faixas de valor de frete (Baixo, Médio, Alto e Muito Alto) e comparados com a nota média atribuída pelos clientes.</w:t>
      </w:r>
    </w:p>
    <w:p w14:paraId="62EB9E56" w14:textId="77777777" w:rsidR="00454C74" w:rsidRPr="00400E40" w:rsidRDefault="00454C74" w:rsidP="00057AD3">
      <w:pPr>
        <w:spacing w:line="360" w:lineRule="auto"/>
        <w:jc w:val="both"/>
        <w:rPr>
          <w:rFonts w:ascii="Arial" w:hAnsi="Arial" w:cs="Arial"/>
          <w:sz w:val="22"/>
          <w:szCs w:val="22"/>
        </w:rPr>
      </w:pPr>
      <w:r w:rsidRPr="00400E40">
        <w:rPr>
          <w:rFonts w:ascii="Arial" w:hAnsi="Arial" w:cs="Arial"/>
          <w:sz w:val="22"/>
          <w:szCs w:val="22"/>
        </w:rPr>
        <w:t>Os resultados indicam que o custo logístico também influencia a percepção de valor da compra. Quando associado a prazos mais longos de entrega, fretes mais elevados tendem a impactar negativamente a experiência do consumidor.</w:t>
      </w:r>
    </w:p>
    <w:p w14:paraId="4B9D2EEE" w14:textId="77777777" w:rsidR="00454C74" w:rsidRPr="00400E40" w:rsidRDefault="00454C74" w:rsidP="00057AD3">
      <w:pPr>
        <w:spacing w:line="360" w:lineRule="auto"/>
        <w:jc w:val="both"/>
        <w:rPr>
          <w:rFonts w:ascii="Arial" w:hAnsi="Arial" w:cs="Arial"/>
          <w:sz w:val="22"/>
          <w:szCs w:val="22"/>
        </w:rPr>
      </w:pPr>
      <w:r w:rsidRPr="00400E40">
        <w:rPr>
          <w:rFonts w:ascii="Arial" w:hAnsi="Arial" w:cs="Arial"/>
          <w:sz w:val="22"/>
          <w:szCs w:val="22"/>
        </w:rPr>
        <w:t>Esse comportamento sugere que a otimização da malha logística, a negociação com transportadoras e estratégias de subsídio de frete podem contribuir para o aumento da satisfação dos clientes e para a redução de potenciais barreiras à conversão de vendas.</w:t>
      </w:r>
    </w:p>
    <w:p w14:paraId="13E25A5E" w14:textId="6CB4D65D" w:rsidR="007B70CC" w:rsidRPr="00400E40" w:rsidRDefault="00454C74" w:rsidP="00057AD3">
      <w:pPr>
        <w:spacing w:line="360" w:lineRule="auto"/>
        <w:jc w:val="both"/>
        <w:rPr>
          <w:rFonts w:ascii="Arial" w:hAnsi="Arial" w:cs="Arial"/>
          <w:sz w:val="22"/>
          <w:szCs w:val="22"/>
        </w:rPr>
      </w:pPr>
      <w:r w:rsidRPr="00400E40">
        <w:rPr>
          <w:rFonts w:ascii="Arial" w:hAnsi="Arial" w:cs="Arial"/>
          <w:sz w:val="22"/>
          <w:szCs w:val="22"/>
        </w:rPr>
        <w:t>A análise reforça que a experiência logística não depende apenas da velocidade da entrega, mas também da percepção de custo-benefício do serviço prestado.</w:t>
      </w:r>
    </w:p>
    <w:p w14:paraId="7BAAEE6D" w14:textId="076D8A4E" w:rsidR="00360AF7" w:rsidRPr="00400E40" w:rsidRDefault="00360AF7" w:rsidP="00C23198">
      <w:pPr>
        <w:pStyle w:val="Heading2"/>
      </w:pPr>
      <w:bookmarkStart w:id="11" w:name="_Toc232533220"/>
      <w:r w:rsidRPr="00400E40">
        <w:t>Comportamento dos Clientes</w:t>
      </w:r>
      <w:bookmarkEnd w:id="11"/>
      <w:r w:rsidR="005724AA" w:rsidRPr="00400E40">
        <w:t xml:space="preserve"> </w:t>
      </w:r>
    </w:p>
    <w:p w14:paraId="491A3726" w14:textId="3E22289D" w:rsidR="00360AF7" w:rsidRPr="00400E40" w:rsidRDefault="002E2FFD"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369A091C" wp14:editId="58014E67">
            <wp:extent cx="4569022" cy="3523699"/>
            <wp:effectExtent l="0" t="0" r="3175" b="635"/>
            <wp:docPr id="49928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5257" cy="3528508"/>
                    </a:xfrm>
                    <a:prstGeom prst="rect">
                      <a:avLst/>
                    </a:prstGeom>
                    <a:noFill/>
                    <a:ln>
                      <a:noFill/>
                    </a:ln>
                  </pic:spPr>
                </pic:pic>
              </a:graphicData>
            </a:graphic>
          </wp:inline>
        </w:drawing>
      </w:r>
    </w:p>
    <w:p w14:paraId="1BCCF8AE" w14:textId="4E8E8E18" w:rsidR="002E2FFD"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724C0E" w:rsidRPr="00400E40">
        <w:rPr>
          <w:rFonts w:ascii="Arial" w:hAnsi="Arial" w:cs="Arial"/>
          <w:b/>
          <w:bCs/>
          <w:sz w:val="22"/>
          <w:szCs w:val="22"/>
        </w:rPr>
        <w:t>1</w:t>
      </w:r>
      <w:r w:rsidR="00D135F8">
        <w:rPr>
          <w:rFonts w:ascii="Arial" w:hAnsi="Arial" w:cs="Arial"/>
          <w:b/>
          <w:bCs/>
          <w:sz w:val="22"/>
          <w:szCs w:val="22"/>
        </w:rPr>
        <w:t>1</w:t>
      </w:r>
      <w:r w:rsidR="002E2FFD" w:rsidRPr="00400E40">
        <w:rPr>
          <w:rFonts w:ascii="Arial" w:hAnsi="Arial" w:cs="Arial"/>
          <w:b/>
          <w:bCs/>
          <w:sz w:val="22"/>
          <w:szCs w:val="22"/>
        </w:rPr>
        <w:t xml:space="preserve"> – Clientes com Compra Única x Recompra</w:t>
      </w:r>
    </w:p>
    <w:p w14:paraId="392E899A" w14:textId="654ACA6D" w:rsidR="00A75125" w:rsidRPr="00400E40" w:rsidRDefault="00A75125" w:rsidP="00057AD3">
      <w:pPr>
        <w:pStyle w:val="NormalWeb"/>
        <w:spacing w:line="360" w:lineRule="auto"/>
        <w:jc w:val="both"/>
        <w:rPr>
          <w:rFonts w:ascii="Arial" w:hAnsi="Arial" w:cs="Arial"/>
          <w:sz w:val="22"/>
          <w:szCs w:val="22"/>
        </w:rPr>
      </w:pPr>
      <w:r w:rsidRPr="00400E40">
        <w:rPr>
          <w:rFonts w:ascii="Arial" w:hAnsi="Arial" w:cs="Arial"/>
          <w:sz w:val="22"/>
          <w:szCs w:val="22"/>
        </w:rPr>
        <w:t xml:space="preserve">A análise de retenção revelou que a maior parte dos clientes realizou apenas uma compra durante o período analisado. </w:t>
      </w:r>
    </w:p>
    <w:p w14:paraId="28CDCF7A" w14:textId="70289365" w:rsidR="00DA7D85" w:rsidRPr="00400E40" w:rsidRDefault="00DA7D85" w:rsidP="00057AD3">
      <w:pPr>
        <w:pStyle w:val="NormalWeb"/>
        <w:spacing w:line="360" w:lineRule="auto"/>
        <w:jc w:val="both"/>
        <w:rPr>
          <w:rFonts w:ascii="Arial" w:hAnsi="Arial" w:cs="Arial"/>
          <w:sz w:val="22"/>
          <w:szCs w:val="22"/>
        </w:rPr>
      </w:pPr>
      <w:r w:rsidRPr="00400E40">
        <w:rPr>
          <w:rFonts w:ascii="Arial" w:hAnsi="Arial" w:cs="Arial"/>
          <w:sz w:val="22"/>
          <w:szCs w:val="22"/>
        </w:rPr>
        <w:t xml:space="preserve">Dos 95.121 clientes únicos identificados na base, mais de 90% realizaram apenas uma compra durante o período analisado. Esse comportamento está associado principalmente ao perfil dos produtos comercializados, compostos em grande parte por bens duráveis e compras de baixa recorrência. </w:t>
      </w:r>
      <w:r w:rsidR="00190D54" w:rsidRPr="00400E40">
        <w:rPr>
          <w:rFonts w:ascii="Arial" w:hAnsi="Arial" w:cs="Arial"/>
          <w:sz w:val="22"/>
          <w:szCs w:val="22"/>
        </w:rPr>
        <w:t>As categorias Saúde e Beleza, Esporte e Lazer e Casa, Mesa e Banho</w:t>
      </w:r>
      <w:r w:rsidRPr="00400E40">
        <w:rPr>
          <w:rFonts w:ascii="Arial" w:hAnsi="Arial" w:cs="Arial"/>
          <w:sz w:val="22"/>
          <w:szCs w:val="22"/>
        </w:rPr>
        <w:t xml:space="preserve"> apresentaram as maiores taxas de recompra, enquanto categorias de tecnologia, móveis e telefonia registraram recorrência significativamente inferior.</w:t>
      </w:r>
    </w:p>
    <w:p w14:paraId="4961A1A0" w14:textId="56A753E2" w:rsidR="00A75125" w:rsidRPr="00400E40" w:rsidRDefault="00A75125" w:rsidP="00057AD3">
      <w:pPr>
        <w:pStyle w:val="NormalWeb"/>
        <w:spacing w:line="360" w:lineRule="auto"/>
        <w:jc w:val="both"/>
        <w:rPr>
          <w:rFonts w:ascii="Arial" w:hAnsi="Arial" w:cs="Arial"/>
          <w:sz w:val="22"/>
          <w:szCs w:val="22"/>
        </w:rPr>
      </w:pPr>
      <w:r w:rsidRPr="00400E40">
        <w:rPr>
          <w:rFonts w:ascii="Arial" w:hAnsi="Arial" w:cs="Arial"/>
          <w:sz w:val="22"/>
          <w:szCs w:val="22"/>
        </w:rPr>
        <w:t xml:space="preserve">Além disso, fatores como atrasos na entrega e experiências negativas podem contribuir para a redução da fidelização dos clientes. </w:t>
      </w:r>
    </w:p>
    <w:p w14:paraId="6DF100AC" w14:textId="08813ECA" w:rsidR="00A75125" w:rsidRPr="00400E40" w:rsidRDefault="00466C67" w:rsidP="00192657">
      <w:pPr>
        <w:pStyle w:val="NormalWeb"/>
        <w:spacing w:line="360" w:lineRule="auto"/>
        <w:jc w:val="center"/>
        <w:rPr>
          <w:rFonts w:ascii="Arial" w:hAnsi="Arial" w:cs="Arial"/>
          <w:sz w:val="22"/>
          <w:szCs w:val="22"/>
        </w:rPr>
      </w:pPr>
      <w:r w:rsidRPr="00466C67">
        <w:drawing>
          <wp:inline distT="0" distB="0" distL="0" distR="0" wp14:anchorId="7CD749BF" wp14:editId="66DA62E4">
            <wp:extent cx="5612130" cy="2708910"/>
            <wp:effectExtent l="0" t="0" r="7620" b="0"/>
            <wp:docPr id="17203736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708910"/>
                    </a:xfrm>
                    <a:prstGeom prst="rect">
                      <a:avLst/>
                    </a:prstGeom>
                    <a:noFill/>
                    <a:ln>
                      <a:noFill/>
                    </a:ln>
                  </pic:spPr>
                </pic:pic>
              </a:graphicData>
            </a:graphic>
          </wp:inline>
        </w:drawing>
      </w:r>
    </w:p>
    <w:p w14:paraId="116E8BD7" w14:textId="3F132FE6" w:rsidR="00491A60"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491A60" w:rsidRPr="00400E40">
        <w:rPr>
          <w:rFonts w:ascii="Arial" w:hAnsi="Arial" w:cs="Arial"/>
          <w:b/>
          <w:bCs/>
          <w:sz w:val="22"/>
          <w:szCs w:val="22"/>
        </w:rPr>
        <w:t>1</w:t>
      </w:r>
      <w:r w:rsidR="00D135F8">
        <w:rPr>
          <w:rFonts w:ascii="Arial" w:hAnsi="Arial" w:cs="Arial"/>
          <w:b/>
          <w:bCs/>
          <w:sz w:val="22"/>
          <w:szCs w:val="22"/>
        </w:rPr>
        <w:t>2</w:t>
      </w:r>
      <w:r w:rsidR="00491A60" w:rsidRPr="00400E40">
        <w:rPr>
          <w:rFonts w:ascii="Arial" w:hAnsi="Arial" w:cs="Arial"/>
          <w:b/>
          <w:bCs/>
          <w:sz w:val="22"/>
          <w:szCs w:val="22"/>
        </w:rPr>
        <w:t xml:space="preserve"> – Clientes com Compra Única x Recompra x Receita x Ticket Médio</w:t>
      </w:r>
    </w:p>
    <w:p w14:paraId="63096B6E" w14:textId="77777777" w:rsidR="00A06100" w:rsidRPr="00400E40" w:rsidRDefault="00A06100" w:rsidP="00057AD3">
      <w:pPr>
        <w:pStyle w:val="NormalWeb"/>
        <w:spacing w:line="360" w:lineRule="auto"/>
        <w:jc w:val="both"/>
        <w:rPr>
          <w:rFonts w:ascii="Arial" w:hAnsi="Arial" w:cs="Arial"/>
          <w:sz w:val="22"/>
          <w:szCs w:val="22"/>
        </w:rPr>
      </w:pPr>
      <w:r w:rsidRPr="00400E40">
        <w:rPr>
          <w:rFonts w:ascii="Arial" w:hAnsi="Arial" w:cs="Arial"/>
          <w:sz w:val="22"/>
          <w:szCs w:val="22"/>
        </w:rPr>
        <w:t>Os resultados demonstram que as categorias responsáveis por grande parte da receita da plataforma não são necessariamente aquelas com maior potencial de retenção. Dessa forma, existem oportunidades para a implementação de estratégias de fidelização, campanhas de pós-venda, programas de relacionamento e melhorias na experiência do cliente, visando aumentar a recorrência de compras e o valor de longo prazo da base de consumidores.</w:t>
      </w:r>
    </w:p>
    <w:p w14:paraId="5EA109FF" w14:textId="645FC8EF" w:rsidR="00A06100" w:rsidRPr="009433CA" w:rsidRDefault="00C73C7E" w:rsidP="00057AD3">
      <w:pPr>
        <w:pStyle w:val="NormalWeb"/>
        <w:spacing w:line="360" w:lineRule="auto"/>
        <w:jc w:val="both"/>
        <w:rPr>
          <w:rFonts w:ascii="Arial" w:hAnsi="Arial" w:cs="Arial"/>
          <w:sz w:val="22"/>
          <w:szCs w:val="22"/>
        </w:rPr>
      </w:pPr>
      <w:r w:rsidRPr="00400E40">
        <w:rPr>
          <w:rFonts w:ascii="Arial" w:hAnsi="Arial" w:cs="Arial"/>
          <w:sz w:val="22"/>
          <w:szCs w:val="22"/>
        </w:rPr>
        <w:t xml:space="preserve">Embora categorias como </w:t>
      </w:r>
      <w:r w:rsidR="00681DA1" w:rsidRPr="00400E40">
        <w:rPr>
          <w:rFonts w:ascii="Arial" w:hAnsi="Arial" w:cs="Arial"/>
          <w:sz w:val="22"/>
          <w:szCs w:val="22"/>
        </w:rPr>
        <w:t xml:space="preserve">Relógios, Presentes e Acessórios para Computadores </w:t>
      </w:r>
      <w:r w:rsidRPr="00400E40">
        <w:rPr>
          <w:rFonts w:ascii="Arial" w:hAnsi="Arial" w:cs="Arial"/>
          <w:sz w:val="22"/>
          <w:szCs w:val="22"/>
        </w:rPr>
        <w:t xml:space="preserve">estejam entre as maiores geradoras de receita, suas taxas de recompra permanecem abaixo de 2%. Por outro lado, </w:t>
      </w:r>
      <w:r w:rsidR="009824F1" w:rsidRPr="00400E40">
        <w:rPr>
          <w:rFonts w:ascii="Arial" w:hAnsi="Arial" w:cs="Arial"/>
          <w:sz w:val="22"/>
          <w:szCs w:val="22"/>
        </w:rPr>
        <w:t xml:space="preserve">Casa, Mesa e Banho </w:t>
      </w:r>
      <w:r w:rsidRPr="00400E40">
        <w:rPr>
          <w:rFonts w:ascii="Arial" w:hAnsi="Arial" w:cs="Arial"/>
          <w:sz w:val="22"/>
          <w:szCs w:val="22"/>
        </w:rPr>
        <w:t>apresentou a maior taxa de recompra entre as principais categorias (2,76%), sugerindo maior potencial para ações de fidelização e aumento do valor de vida do cliente.</w:t>
      </w:r>
    </w:p>
    <w:p w14:paraId="29A73114" w14:textId="7BBA35C2" w:rsidR="005724AA" w:rsidRPr="00400E40" w:rsidRDefault="005724AA" w:rsidP="00C23198">
      <w:pPr>
        <w:pStyle w:val="Heading2"/>
      </w:pPr>
      <w:bookmarkStart w:id="12" w:name="_Toc232533221"/>
      <w:r w:rsidRPr="00400E40">
        <w:t>Análise Preditiva</w:t>
      </w:r>
      <w:bookmarkEnd w:id="12"/>
    </w:p>
    <w:p w14:paraId="41A7B8E6" w14:textId="7B64610A" w:rsidR="00171763" w:rsidRPr="00400E40" w:rsidRDefault="00171763" w:rsidP="00192657">
      <w:pPr>
        <w:spacing w:line="360" w:lineRule="auto"/>
        <w:jc w:val="center"/>
        <w:rPr>
          <w:rFonts w:ascii="Arial" w:hAnsi="Arial" w:cs="Arial"/>
          <w:b/>
          <w:bCs/>
          <w:sz w:val="22"/>
          <w:szCs w:val="22"/>
        </w:rPr>
      </w:pPr>
      <w:r w:rsidRPr="00400E40">
        <w:rPr>
          <w:rFonts w:ascii="Arial" w:hAnsi="Arial" w:cs="Arial"/>
          <w:sz w:val="22"/>
          <w:szCs w:val="22"/>
        </w:rPr>
        <w:drawing>
          <wp:inline distT="0" distB="0" distL="0" distR="0" wp14:anchorId="574518C5" wp14:editId="3B4A322B">
            <wp:extent cx="5612130" cy="2609850"/>
            <wp:effectExtent l="0" t="0" r="7620" b="0"/>
            <wp:docPr id="186598570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609850"/>
                    </a:xfrm>
                    <a:prstGeom prst="rect">
                      <a:avLst/>
                    </a:prstGeom>
                    <a:noFill/>
                    <a:ln>
                      <a:noFill/>
                    </a:ln>
                  </pic:spPr>
                </pic:pic>
              </a:graphicData>
            </a:graphic>
          </wp:inline>
        </w:drawing>
      </w:r>
    </w:p>
    <w:p w14:paraId="0E128FA1" w14:textId="414C116B" w:rsidR="005724AA" w:rsidRPr="00400E40" w:rsidRDefault="009F4526" w:rsidP="009F4526">
      <w:pPr>
        <w:spacing w:line="360" w:lineRule="auto"/>
        <w:jc w:val="center"/>
        <w:rPr>
          <w:rFonts w:ascii="Arial" w:hAnsi="Arial" w:cs="Arial"/>
          <w:b/>
          <w:bCs/>
          <w:sz w:val="22"/>
          <w:szCs w:val="22"/>
        </w:rPr>
      </w:pPr>
      <w:r w:rsidRPr="00400E40">
        <w:rPr>
          <w:rFonts w:ascii="Arial" w:hAnsi="Arial" w:cs="Arial"/>
          <w:b/>
          <w:bCs/>
          <w:sz w:val="22"/>
          <w:szCs w:val="22"/>
        </w:rPr>
        <w:t xml:space="preserve">Figura </w:t>
      </w:r>
      <w:r w:rsidR="00CA245E" w:rsidRPr="00400E40">
        <w:rPr>
          <w:rFonts w:ascii="Arial" w:hAnsi="Arial" w:cs="Arial"/>
          <w:b/>
          <w:bCs/>
          <w:sz w:val="22"/>
          <w:szCs w:val="22"/>
        </w:rPr>
        <w:t>1</w:t>
      </w:r>
      <w:r w:rsidR="00D135F8">
        <w:rPr>
          <w:rFonts w:ascii="Arial" w:hAnsi="Arial" w:cs="Arial"/>
          <w:b/>
          <w:bCs/>
          <w:sz w:val="22"/>
          <w:szCs w:val="22"/>
        </w:rPr>
        <w:t>3</w:t>
      </w:r>
      <w:r w:rsidR="005724AA" w:rsidRPr="00400E40">
        <w:rPr>
          <w:rFonts w:ascii="Arial" w:hAnsi="Arial" w:cs="Arial"/>
          <w:b/>
          <w:bCs/>
          <w:sz w:val="22"/>
          <w:szCs w:val="22"/>
        </w:rPr>
        <w:t xml:space="preserve"> – Previsão de </w:t>
      </w:r>
      <w:r w:rsidR="006A7490" w:rsidRPr="00400E40">
        <w:rPr>
          <w:rFonts w:ascii="Arial" w:hAnsi="Arial" w:cs="Arial"/>
          <w:b/>
          <w:bCs/>
          <w:sz w:val="22"/>
          <w:szCs w:val="22"/>
        </w:rPr>
        <w:t>Pedidos</w:t>
      </w:r>
      <w:r w:rsidR="005724AA" w:rsidRPr="00400E40">
        <w:rPr>
          <w:rFonts w:ascii="Arial" w:hAnsi="Arial" w:cs="Arial"/>
          <w:b/>
          <w:bCs/>
          <w:sz w:val="22"/>
          <w:szCs w:val="22"/>
        </w:rPr>
        <w:t xml:space="preserve"> para os Próximos Meses</w:t>
      </w:r>
    </w:p>
    <w:p w14:paraId="28B70B9D" w14:textId="77777777" w:rsidR="0064779C" w:rsidRPr="00400E40" w:rsidRDefault="0064779C" w:rsidP="00057AD3">
      <w:pPr>
        <w:spacing w:line="360" w:lineRule="auto"/>
        <w:jc w:val="both"/>
        <w:rPr>
          <w:rFonts w:ascii="Arial" w:hAnsi="Arial" w:cs="Arial"/>
          <w:sz w:val="22"/>
          <w:szCs w:val="22"/>
        </w:rPr>
      </w:pPr>
      <w:r w:rsidRPr="00400E40">
        <w:rPr>
          <w:rFonts w:ascii="Arial" w:hAnsi="Arial" w:cs="Arial"/>
          <w:sz w:val="22"/>
          <w:szCs w:val="22"/>
        </w:rPr>
        <w:t>Para estimar o comportamento futuro das vendas, foi utilizada a série histórica mensal de pedidos da plataforma entre janeiro de 2017 e agosto de 2018.</w:t>
      </w:r>
    </w:p>
    <w:p w14:paraId="2DACC3DA" w14:textId="77777777" w:rsidR="0064779C" w:rsidRPr="00400E40" w:rsidRDefault="0064779C" w:rsidP="00057AD3">
      <w:pPr>
        <w:spacing w:line="360" w:lineRule="auto"/>
        <w:jc w:val="both"/>
        <w:rPr>
          <w:rFonts w:ascii="Arial" w:hAnsi="Arial" w:cs="Arial"/>
          <w:sz w:val="22"/>
          <w:szCs w:val="22"/>
        </w:rPr>
      </w:pPr>
      <w:r w:rsidRPr="00400E40">
        <w:rPr>
          <w:rFonts w:ascii="Arial" w:hAnsi="Arial" w:cs="Arial"/>
          <w:sz w:val="22"/>
          <w:szCs w:val="22"/>
        </w:rPr>
        <w:t>A projeção foi construída com base na tendência observada ao longo do período, considerando o crescimento gradual do volume de pedidos após a consolidação da operação. O modelo utilizou os dados históricos para estimar a evolução dos pedidos nos meses subsequentes.</w:t>
      </w:r>
    </w:p>
    <w:p w14:paraId="1D206E6D" w14:textId="77777777" w:rsidR="0064779C" w:rsidRPr="00400E40" w:rsidRDefault="0064779C" w:rsidP="00057AD3">
      <w:pPr>
        <w:spacing w:line="360" w:lineRule="auto"/>
        <w:jc w:val="both"/>
        <w:rPr>
          <w:rFonts w:ascii="Arial" w:hAnsi="Arial" w:cs="Arial"/>
          <w:sz w:val="22"/>
          <w:szCs w:val="22"/>
        </w:rPr>
      </w:pPr>
      <w:r w:rsidRPr="00400E40">
        <w:rPr>
          <w:rFonts w:ascii="Arial" w:hAnsi="Arial" w:cs="Arial"/>
          <w:sz w:val="22"/>
          <w:szCs w:val="22"/>
        </w:rPr>
        <w:t>Os resultados indicam a continuidade da trajetória de crescimento da plataforma, com expectativa de manutenção do volume de vendas em patamares superiores aos observados no início da série histórica.</w:t>
      </w:r>
    </w:p>
    <w:p w14:paraId="499D52BF" w14:textId="6C34D1B1" w:rsidR="005724AA" w:rsidRPr="00400E40" w:rsidRDefault="0064779C" w:rsidP="00057AD3">
      <w:pPr>
        <w:spacing w:line="360" w:lineRule="auto"/>
        <w:jc w:val="both"/>
        <w:rPr>
          <w:rFonts w:ascii="Arial" w:hAnsi="Arial" w:cs="Arial"/>
          <w:sz w:val="22"/>
          <w:szCs w:val="22"/>
        </w:rPr>
      </w:pPr>
      <w:r w:rsidRPr="00400E40">
        <w:rPr>
          <w:rFonts w:ascii="Arial" w:hAnsi="Arial" w:cs="Arial"/>
          <w:sz w:val="22"/>
          <w:szCs w:val="22"/>
        </w:rPr>
        <w:t>Embora a previsão esteja sujeita a fatores externos não contemplados pelo modelo, como sazonalidade, mudanças econômicas e campanhas promocionais, ela fornece uma referência relevante para o planejamento comercial, logístico e operacional da empresa.</w:t>
      </w:r>
    </w:p>
    <w:p w14:paraId="74012644" w14:textId="1B892825" w:rsidR="006A7490" w:rsidRPr="00400E40" w:rsidRDefault="006A7490" w:rsidP="00057AD3">
      <w:pPr>
        <w:spacing w:line="360" w:lineRule="auto"/>
        <w:jc w:val="both"/>
        <w:rPr>
          <w:rFonts w:ascii="Arial" w:hAnsi="Arial" w:cs="Arial"/>
          <w:sz w:val="22"/>
          <w:szCs w:val="22"/>
        </w:rPr>
      </w:pPr>
      <w:r w:rsidRPr="00400E40">
        <w:rPr>
          <w:rFonts w:ascii="Arial" w:hAnsi="Arial" w:cs="Arial"/>
          <w:sz w:val="22"/>
          <w:szCs w:val="22"/>
        </w:rPr>
        <w:t>A projeção indica crescimento aproximado de 50% no volume mensal de pedidos ao longo dos seis meses seguintes ao período analisado. Caso essa tendência se confirme, a plataforma deverá ampliar sua capacidade operacional, logística e de atendimento para sustentar o crescimento sem comprometer a experiência do cliente.</w:t>
      </w:r>
    </w:p>
    <w:p w14:paraId="5BA4AB37" w14:textId="77777777" w:rsidR="007D6FD3" w:rsidRPr="00400E40" w:rsidRDefault="007D6FD3" w:rsidP="0064779C">
      <w:pPr>
        <w:spacing w:line="360" w:lineRule="auto"/>
        <w:jc w:val="both"/>
        <w:rPr>
          <w:rFonts w:ascii="Arial" w:hAnsi="Arial" w:cs="Arial"/>
          <w:sz w:val="22"/>
          <w:szCs w:val="22"/>
        </w:rPr>
      </w:pPr>
    </w:p>
    <w:p w14:paraId="53EE4109" w14:textId="431CBCE1" w:rsidR="00C23198" w:rsidRPr="00400E40" w:rsidRDefault="00BA76B9" w:rsidP="00C23198">
      <w:pPr>
        <w:pStyle w:val="Estilo2"/>
      </w:pPr>
      <w:r w:rsidRPr="00400E40">
        <w:t>Mercado de e-commerce Brasileiro</w:t>
      </w:r>
    </w:p>
    <w:p w14:paraId="1C43D357" w14:textId="77777777" w:rsidR="007D6FD3" w:rsidRPr="00400E40" w:rsidRDefault="007D6FD3" w:rsidP="00057AD3">
      <w:pPr>
        <w:spacing w:line="360" w:lineRule="auto"/>
        <w:jc w:val="both"/>
        <w:rPr>
          <w:rFonts w:ascii="Arial" w:hAnsi="Arial" w:cs="Arial"/>
          <w:sz w:val="22"/>
          <w:szCs w:val="22"/>
        </w:rPr>
      </w:pPr>
      <w:r w:rsidRPr="00400E40">
        <w:rPr>
          <w:rFonts w:ascii="Arial" w:hAnsi="Arial" w:cs="Arial"/>
          <w:sz w:val="22"/>
          <w:szCs w:val="22"/>
        </w:rPr>
        <w:t>Os resultados observados na base da Olist estão alinhados com o cenário de expansão do comércio eletrônico brasileiro no período analisado. Entre 2017 e 2018, o setor apresentou crescimento contínuo impulsionado pelo aumento da digitalização dos consumidores, expansão dos marketplaces e maior confiança nas compras online.</w:t>
      </w:r>
    </w:p>
    <w:p w14:paraId="79A9E6D4" w14:textId="77777777" w:rsidR="007D6FD3" w:rsidRPr="00400E40" w:rsidRDefault="007D6FD3" w:rsidP="00057AD3">
      <w:pPr>
        <w:spacing w:line="360" w:lineRule="auto"/>
        <w:jc w:val="both"/>
        <w:rPr>
          <w:rFonts w:ascii="Arial" w:hAnsi="Arial" w:cs="Arial"/>
          <w:sz w:val="22"/>
          <w:szCs w:val="22"/>
        </w:rPr>
      </w:pPr>
      <w:r w:rsidRPr="00400E40">
        <w:rPr>
          <w:rFonts w:ascii="Arial" w:hAnsi="Arial" w:cs="Arial"/>
          <w:sz w:val="22"/>
          <w:szCs w:val="22"/>
        </w:rPr>
        <w:t>O crescimento consistente do volume de pedidos identificado na análise demonstra que a Olist acompanhou a tendência positiva do mercado, beneficiando-se da ampliação do consumo digital no país.</w:t>
      </w:r>
    </w:p>
    <w:p w14:paraId="5485280A" w14:textId="4664E755" w:rsidR="00C23198" w:rsidRPr="00400E40" w:rsidRDefault="007D6FD3" w:rsidP="00057AD3">
      <w:pPr>
        <w:spacing w:line="360" w:lineRule="auto"/>
        <w:jc w:val="both"/>
        <w:rPr>
          <w:rFonts w:ascii="Arial" w:hAnsi="Arial" w:cs="Arial"/>
          <w:sz w:val="22"/>
          <w:szCs w:val="22"/>
        </w:rPr>
      </w:pPr>
      <w:r w:rsidRPr="00400E40">
        <w:rPr>
          <w:rFonts w:ascii="Arial" w:hAnsi="Arial" w:cs="Arial"/>
          <w:sz w:val="22"/>
          <w:szCs w:val="22"/>
        </w:rPr>
        <w:t>Além disso, o pico de vendas observado em novembro de 2017 reforça a relevância de eventos promocionais como a Black Friday, que se consolidou como uma das principais datas para o varejo eletrônico brasileiro.</w:t>
      </w:r>
    </w:p>
    <w:p w14:paraId="7C302FA2" w14:textId="6D9C168F" w:rsidR="00045DA8" w:rsidRPr="00400E40" w:rsidRDefault="00045DA8" w:rsidP="00057AD3">
      <w:pPr>
        <w:spacing w:line="360" w:lineRule="auto"/>
        <w:jc w:val="both"/>
        <w:rPr>
          <w:rFonts w:ascii="Arial" w:hAnsi="Arial" w:cs="Arial"/>
          <w:sz w:val="22"/>
          <w:szCs w:val="22"/>
        </w:rPr>
      </w:pPr>
      <w:r w:rsidRPr="00400E40">
        <w:rPr>
          <w:rFonts w:ascii="Arial" w:hAnsi="Arial" w:cs="Arial"/>
          <w:sz w:val="22"/>
          <w:szCs w:val="22"/>
        </w:rPr>
        <w:t>A predominância da região Sudeste observada na base da Olist também reflete a distribuição econômica e populacional brasileira, uma vez que essa região concentra parcela significativa do PIB nacional, da infraestrutura logística e do consumo online do país.</w:t>
      </w:r>
    </w:p>
    <w:p w14:paraId="35B16DC3" w14:textId="286097DD" w:rsidR="00CA245E" w:rsidRPr="00400E40" w:rsidRDefault="004168C5" w:rsidP="005436C8">
      <w:pPr>
        <w:pStyle w:val="Heading1"/>
      </w:pPr>
      <w:bookmarkStart w:id="13" w:name="_Toc232533222"/>
      <w:r w:rsidRPr="00400E40">
        <w:t>Insights Estratégicos e Oportunidades de Negócio</w:t>
      </w:r>
      <w:bookmarkEnd w:id="13"/>
    </w:p>
    <w:p w14:paraId="7F5F7D66" w14:textId="0A27C09D" w:rsidR="00612E31" w:rsidRPr="00400E40" w:rsidRDefault="00612E31" w:rsidP="00057AD3">
      <w:pPr>
        <w:spacing w:line="360" w:lineRule="auto"/>
        <w:jc w:val="both"/>
        <w:rPr>
          <w:rFonts w:ascii="Arial" w:hAnsi="Arial" w:cs="Arial"/>
          <w:sz w:val="22"/>
          <w:szCs w:val="22"/>
        </w:rPr>
      </w:pPr>
      <w:r w:rsidRPr="00400E40">
        <w:rPr>
          <w:rFonts w:ascii="Arial" w:hAnsi="Arial" w:cs="Arial"/>
          <w:sz w:val="22"/>
          <w:szCs w:val="22"/>
        </w:rPr>
        <w:t>A análise realizada sobre a base da Olist permitiu identificar importantes características do negócio e oportunidades de melhoria. Durante o período analisado, a plataforma movimentou mais de R$ 14,2 milhões em receita, distribuídos em 98.353 pedidos realizados por 95.121 clientes únicos, demonstrando forte capacidade de aquisição de consumidores. O crescimento consistente do volume de pedidos e da receita ao longo do tempo evidencia a expansão da operação e o fortalecimento da presença da plataforma no mercado brasileiro.</w:t>
      </w:r>
    </w:p>
    <w:p w14:paraId="69927573" w14:textId="47284E09" w:rsidR="00612E31" w:rsidRPr="00400E40" w:rsidRDefault="00612E31" w:rsidP="00057AD3">
      <w:pPr>
        <w:spacing w:line="360" w:lineRule="auto"/>
        <w:jc w:val="both"/>
        <w:rPr>
          <w:rFonts w:ascii="Arial" w:hAnsi="Arial" w:cs="Arial"/>
          <w:sz w:val="22"/>
          <w:szCs w:val="22"/>
        </w:rPr>
      </w:pPr>
      <w:r w:rsidRPr="00400E40">
        <w:rPr>
          <w:rFonts w:ascii="Arial" w:hAnsi="Arial" w:cs="Arial"/>
          <w:sz w:val="22"/>
          <w:szCs w:val="22"/>
        </w:rPr>
        <w:t>Do ponto de vista geográfico, observou-se forte concentração das vendas na região Sudeste, especialmente no estado de São Paulo, responsável por aproximadamente 42% dos pedidos. Entretanto, a análise da receita média por cliente mostrou que estados com menor participação no volume de vendas podem apresentar maior potencial de monetização, indicando oportunidades para estratégias de expansão regional direcionadas.</w:t>
      </w:r>
    </w:p>
    <w:p w14:paraId="3CCE0EB7" w14:textId="763F3E24" w:rsidR="00612E31" w:rsidRPr="00400E40" w:rsidRDefault="00612E31" w:rsidP="00057AD3">
      <w:pPr>
        <w:spacing w:line="360" w:lineRule="auto"/>
        <w:jc w:val="both"/>
        <w:rPr>
          <w:rFonts w:ascii="Arial" w:hAnsi="Arial" w:cs="Arial"/>
          <w:sz w:val="22"/>
          <w:szCs w:val="22"/>
        </w:rPr>
      </w:pPr>
      <w:r w:rsidRPr="00400E40">
        <w:rPr>
          <w:rFonts w:ascii="Arial" w:hAnsi="Arial" w:cs="Arial"/>
          <w:sz w:val="22"/>
          <w:szCs w:val="22"/>
        </w:rPr>
        <w:t>Em relação ao portfólio de produtos, as categorias Casa, Mesa e Banho, Beleza e Saúde e Esporte e Lazer concentraram grande parte da demanda da plataforma. Por outro lado, as categorias com menores índices de satisfação representam cerca de 17% da receita total, evidenciando que melhorias na qualidade dos produtos, na comunicação com os clientes e na experiência de compra podem gerar impactos relevantes tanto na satisfação quanto nos resultados financeiros.</w:t>
      </w:r>
    </w:p>
    <w:p w14:paraId="48175ECB" w14:textId="77777777" w:rsidR="00612E31" w:rsidRPr="00400E40" w:rsidRDefault="00612E31" w:rsidP="00057AD3">
      <w:pPr>
        <w:spacing w:line="360" w:lineRule="auto"/>
        <w:jc w:val="both"/>
        <w:rPr>
          <w:rFonts w:ascii="Arial" w:hAnsi="Arial" w:cs="Arial"/>
          <w:sz w:val="22"/>
          <w:szCs w:val="22"/>
        </w:rPr>
      </w:pPr>
      <w:r w:rsidRPr="00400E40">
        <w:rPr>
          <w:rFonts w:ascii="Arial" w:hAnsi="Arial" w:cs="Arial"/>
          <w:sz w:val="22"/>
          <w:szCs w:val="22"/>
        </w:rPr>
        <w:t>A análise logística demonstrou que aproximadamente 92% dos pedidos foram entregues dentro do prazo previsto, refletindo um elevado nível de eficiência operacional. Contudo, os pedidos entregues com atraso apresentaram queda significativa na satisfação dos consumidores, com nota média de 2,55, enquanto os pedidos entregues no prazo alcançaram avaliação média de 4,15. Esse resultado reforça a importância da logística como um dos principais fatores de sucesso da operação.</w:t>
      </w:r>
    </w:p>
    <w:p w14:paraId="3EB2D9E1" w14:textId="7EC70E6D" w:rsidR="001A4B99" w:rsidRPr="00400E40" w:rsidRDefault="001A4B99" w:rsidP="00057AD3">
      <w:pPr>
        <w:spacing w:line="360" w:lineRule="auto"/>
        <w:jc w:val="both"/>
        <w:rPr>
          <w:rFonts w:ascii="Arial" w:hAnsi="Arial" w:cs="Arial"/>
          <w:sz w:val="22"/>
          <w:szCs w:val="22"/>
        </w:rPr>
      </w:pPr>
      <w:r w:rsidRPr="00400E40">
        <w:rPr>
          <w:rFonts w:ascii="Arial" w:hAnsi="Arial" w:cs="Arial"/>
          <w:sz w:val="22"/>
          <w:szCs w:val="22"/>
        </w:rPr>
        <w:t>Além da pontualidade das entregas, observou-se que o valor do frete também exerce influência sobre a satisfação dos consumidores. Dessa forma, iniciativas voltadas à otimização dos custos logísticos e à oferta de condições mais competitivas de frete podem contribuir para melhorar a experiência do cliente e aumentar a competitividade da plataforma.</w:t>
      </w:r>
    </w:p>
    <w:p w14:paraId="619639A6" w14:textId="77777777" w:rsidR="00612E31" w:rsidRDefault="00612E31" w:rsidP="00057AD3">
      <w:pPr>
        <w:spacing w:line="360" w:lineRule="auto"/>
        <w:jc w:val="both"/>
        <w:rPr>
          <w:rFonts w:ascii="Arial" w:hAnsi="Arial" w:cs="Arial"/>
          <w:sz w:val="22"/>
          <w:szCs w:val="22"/>
        </w:rPr>
      </w:pPr>
      <w:r w:rsidRPr="00400E40">
        <w:rPr>
          <w:rFonts w:ascii="Arial" w:hAnsi="Arial" w:cs="Arial"/>
          <w:sz w:val="22"/>
          <w:szCs w:val="22"/>
        </w:rPr>
        <w:t>Sob a perspectiva de relacionamento com clientes, verificou-se baixa recorrência de compras, com mais de 90% dos consumidores realizando apenas uma compra durante o período analisado. Esse comportamento está associado principalmente ao perfil dos produtos comercializados, muitos deles caracterizados como bens duráveis e de baixa frequência de reposição. Ainda assim, categorias como Saúde e Beleza, Esporte e Lazer e Casa, Mesa e Banho apresentaram maior potencial de recompra, representando oportunidades para ações de fidelização e aumento do valor de vida dos clientes.</w:t>
      </w:r>
    </w:p>
    <w:p w14:paraId="2736A4DE" w14:textId="71FE6949" w:rsidR="000A668D" w:rsidRPr="00400E40" w:rsidRDefault="000A668D" w:rsidP="00057AD3">
      <w:pPr>
        <w:spacing w:line="360" w:lineRule="auto"/>
        <w:jc w:val="both"/>
        <w:rPr>
          <w:rFonts w:ascii="Arial" w:hAnsi="Arial" w:cs="Arial"/>
          <w:sz w:val="22"/>
          <w:szCs w:val="22"/>
        </w:rPr>
      </w:pPr>
      <w:r w:rsidRPr="000A668D">
        <w:rPr>
          <w:rFonts w:ascii="Arial" w:hAnsi="Arial" w:cs="Arial"/>
          <w:sz w:val="22"/>
          <w:szCs w:val="22"/>
        </w:rPr>
        <w:t>Foi realizada análise complementar dos meios de pagamento utilizados na plataforma. Os resultados demonstraram forte predominância do cartão de crédito e de transações em parcela única, sem evidências de impactos relevantes sobre os indicadores de satisfação, retenção ou receita. Dessa forma, a forma de pagamento não se apresentou como um fator determinante para as recomendações estratégicas deste estudo.</w:t>
      </w:r>
    </w:p>
    <w:p w14:paraId="67F14872" w14:textId="1F876ED3" w:rsidR="004168C5" w:rsidRPr="00400E40" w:rsidRDefault="00612E31" w:rsidP="00057AD3">
      <w:pPr>
        <w:spacing w:line="360" w:lineRule="auto"/>
        <w:jc w:val="both"/>
        <w:rPr>
          <w:rFonts w:ascii="Arial" w:hAnsi="Arial" w:cs="Arial"/>
          <w:sz w:val="22"/>
          <w:szCs w:val="22"/>
        </w:rPr>
      </w:pPr>
      <w:r w:rsidRPr="00400E40">
        <w:rPr>
          <w:rFonts w:ascii="Arial" w:hAnsi="Arial" w:cs="Arial"/>
          <w:sz w:val="22"/>
          <w:szCs w:val="22"/>
        </w:rPr>
        <w:t>Por fim, a análise preditiva baseada no histórico de vendas indicou a continuidade da trajetória de crescimento observada ao longo do período estudado. As projeções sugerem manutenção do aumento do volume de pedidos nos meses subsequentes, reforçando a importância de investimentos contínuos em capacidade operacional, logística e estratégias de retenção para sustentar o crescimento futuro da plataforma.</w:t>
      </w:r>
    </w:p>
    <w:p w14:paraId="337C5536" w14:textId="71D24144" w:rsidR="005724AA" w:rsidRPr="00400E40" w:rsidRDefault="005724AA" w:rsidP="005436C8">
      <w:pPr>
        <w:pStyle w:val="Heading1"/>
      </w:pPr>
      <w:bookmarkStart w:id="14" w:name="_Toc232533223"/>
      <w:r w:rsidRPr="00400E40">
        <w:t>Conclusão</w:t>
      </w:r>
      <w:bookmarkEnd w:id="14"/>
    </w:p>
    <w:p w14:paraId="520463AF" w14:textId="77777777" w:rsidR="00B81BC0" w:rsidRPr="00400E40" w:rsidRDefault="00B81BC0" w:rsidP="00057AD3">
      <w:pPr>
        <w:spacing w:line="360" w:lineRule="auto"/>
        <w:jc w:val="both"/>
        <w:rPr>
          <w:rFonts w:ascii="Arial" w:hAnsi="Arial" w:cs="Arial"/>
          <w:sz w:val="22"/>
          <w:szCs w:val="22"/>
        </w:rPr>
      </w:pPr>
      <w:r w:rsidRPr="00400E40">
        <w:rPr>
          <w:rFonts w:ascii="Arial" w:hAnsi="Arial" w:cs="Arial"/>
          <w:sz w:val="22"/>
          <w:szCs w:val="22"/>
        </w:rPr>
        <w:t>A análise realizada permitiu identificar que a Olist apresenta uma operação sólida, com crescimento consistente do volume de pedidos, expansão da receita e elevada eficiência logística. Os resultados demonstram que a empresa possui uma base relevante de clientes, forte presença nacional e capacidade de sustentar sua trajetória de crescimento nos próximos períodos.</w:t>
      </w:r>
    </w:p>
    <w:p w14:paraId="43A981B1" w14:textId="77777777" w:rsidR="00B81BC0" w:rsidRPr="00400E40" w:rsidRDefault="00B81BC0" w:rsidP="00057AD3">
      <w:pPr>
        <w:spacing w:line="360" w:lineRule="auto"/>
        <w:jc w:val="both"/>
        <w:rPr>
          <w:rFonts w:ascii="Arial" w:hAnsi="Arial" w:cs="Arial"/>
          <w:sz w:val="22"/>
          <w:szCs w:val="22"/>
        </w:rPr>
      </w:pPr>
      <w:r w:rsidRPr="00400E40">
        <w:rPr>
          <w:rFonts w:ascii="Arial" w:hAnsi="Arial" w:cs="Arial"/>
          <w:sz w:val="22"/>
          <w:szCs w:val="22"/>
        </w:rPr>
        <w:t>Entretanto, a análise também evidenciou oportunidades importantes para aumento da rentabilidade, melhoria da experiência dos consumidores e fortalecimento da fidelização. Com base nos resultados obtidos, recomenda-se priorizar as seguintes iniciativas estratégicas:</w:t>
      </w:r>
    </w:p>
    <w:p w14:paraId="515B5DA0" w14:textId="0AA850EF" w:rsidR="00B81BC0" w:rsidRPr="00400E40" w:rsidRDefault="00B81BC0" w:rsidP="005D1865">
      <w:pPr>
        <w:pStyle w:val="ListParagraph"/>
        <w:numPr>
          <w:ilvl w:val="0"/>
          <w:numId w:val="9"/>
        </w:numPr>
        <w:spacing w:line="360" w:lineRule="auto"/>
        <w:jc w:val="both"/>
        <w:rPr>
          <w:rFonts w:ascii="Arial" w:hAnsi="Arial" w:cs="Arial"/>
          <w:sz w:val="22"/>
          <w:szCs w:val="22"/>
        </w:rPr>
      </w:pPr>
      <w:r w:rsidRPr="00400E40">
        <w:rPr>
          <w:rFonts w:ascii="Arial" w:hAnsi="Arial" w:cs="Arial"/>
          <w:sz w:val="22"/>
          <w:szCs w:val="22"/>
        </w:rPr>
        <w:t>Fortalecer ações de retenção e fidelização de clientes</w:t>
      </w:r>
    </w:p>
    <w:p w14:paraId="25272E77"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 baixa taxa de recompra observada indica uma oportunidade significativa de aumento do valor gerado por cliente. Recomenda-se a implementação de campanhas de relacionamento, programas de fidelidade, cupons de recompra e estratégias de cross-selling, especialmente para categorias com maior potencial de recorrência, como Saúde e Beleza, Esporte e Lazer e Casa, Mesa e Banho.</w:t>
      </w:r>
    </w:p>
    <w:p w14:paraId="6CF99FF1" w14:textId="2DEB0C9E" w:rsidR="00B81BC0" w:rsidRPr="00400E40" w:rsidRDefault="00B81BC0" w:rsidP="005D1865">
      <w:pPr>
        <w:pStyle w:val="ListParagraph"/>
        <w:numPr>
          <w:ilvl w:val="0"/>
          <w:numId w:val="9"/>
        </w:numPr>
        <w:spacing w:line="360" w:lineRule="auto"/>
        <w:jc w:val="both"/>
        <w:rPr>
          <w:rFonts w:ascii="Arial" w:hAnsi="Arial" w:cs="Arial"/>
          <w:sz w:val="22"/>
          <w:szCs w:val="22"/>
        </w:rPr>
      </w:pPr>
      <w:r w:rsidRPr="00400E40">
        <w:rPr>
          <w:rFonts w:ascii="Arial" w:hAnsi="Arial" w:cs="Arial"/>
          <w:sz w:val="22"/>
          <w:szCs w:val="22"/>
        </w:rPr>
        <w:t>Atuar sobre categorias com menor nível de satisfação</w:t>
      </w:r>
    </w:p>
    <w:p w14:paraId="41262411"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As categorias com piores avaliações representam parcela relevante da receita da plataforma. Recomenda-se monitorar continuamente indicadores de qualidade, devoluções, reclamações e desempenho dos vendedores, buscando reduzir os fatores que impactam negativamente a experiência dos consumidores.</w:t>
      </w:r>
    </w:p>
    <w:p w14:paraId="662FC787" w14:textId="0A00A567" w:rsidR="00B81BC0" w:rsidRPr="00400E40" w:rsidRDefault="00B81BC0" w:rsidP="005D1865">
      <w:pPr>
        <w:pStyle w:val="ListParagraph"/>
        <w:numPr>
          <w:ilvl w:val="0"/>
          <w:numId w:val="9"/>
        </w:numPr>
        <w:spacing w:line="360" w:lineRule="auto"/>
        <w:jc w:val="both"/>
        <w:rPr>
          <w:rFonts w:ascii="Arial" w:hAnsi="Arial" w:cs="Arial"/>
          <w:sz w:val="22"/>
          <w:szCs w:val="22"/>
        </w:rPr>
      </w:pPr>
      <w:r w:rsidRPr="00400E40">
        <w:rPr>
          <w:rFonts w:ascii="Arial" w:hAnsi="Arial" w:cs="Arial"/>
          <w:sz w:val="22"/>
          <w:szCs w:val="22"/>
        </w:rPr>
        <w:t>Continuar investindo na eficiência logística</w:t>
      </w:r>
    </w:p>
    <w:p w14:paraId="59E3EF69" w14:textId="5F7AADAD"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 análise demonstrou forte correlação entre prazo de entrega e satisfação dos clientes. Dessa forma, recomenda-se priorizar ações voltadas à redução dos atrasos, melhoria da previsibilidade das entregas e otimização da malha logística, principalmente em regiões com maiores tempos médios de entrega</w:t>
      </w:r>
      <w:r w:rsidR="00D85FEC" w:rsidRPr="00400E40">
        <w:rPr>
          <w:rFonts w:ascii="Arial" w:hAnsi="Arial" w:cs="Arial"/>
          <w:sz w:val="22"/>
          <w:szCs w:val="22"/>
        </w:rPr>
        <w:t>, incluindo ações voltadas à redução dos custos de frete.</w:t>
      </w:r>
    </w:p>
    <w:p w14:paraId="603BD049" w14:textId="722CEDA0" w:rsidR="00B81BC0" w:rsidRPr="00400E40" w:rsidRDefault="00B81BC0" w:rsidP="005D1865">
      <w:pPr>
        <w:pStyle w:val="ListParagraph"/>
        <w:numPr>
          <w:ilvl w:val="0"/>
          <w:numId w:val="9"/>
        </w:numPr>
        <w:spacing w:line="360" w:lineRule="auto"/>
        <w:jc w:val="both"/>
        <w:rPr>
          <w:rFonts w:ascii="Arial" w:hAnsi="Arial" w:cs="Arial"/>
          <w:sz w:val="22"/>
          <w:szCs w:val="22"/>
        </w:rPr>
      </w:pPr>
      <w:r w:rsidRPr="00400E40">
        <w:rPr>
          <w:rFonts w:ascii="Arial" w:hAnsi="Arial" w:cs="Arial"/>
          <w:sz w:val="22"/>
          <w:szCs w:val="22"/>
        </w:rPr>
        <w:t>Desenvolver estratégias regionais de crescimento</w:t>
      </w:r>
    </w:p>
    <w:p w14:paraId="63AB7CCC"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Embora São Paulo concentre a maior parte das vendas, alguns estados apresentaram elevado potencial de monetização por cliente. Recomenda-se aprofundar a análise desses mercados para direcionar investimentos comerciais e campanhas de aquisição de forma mais eficiente.</w:t>
      </w:r>
    </w:p>
    <w:p w14:paraId="4EA458F2" w14:textId="3242B784" w:rsidR="00B81BC0" w:rsidRPr="00400E40" w:rsidRDefault="00B81BC0" w:rsidP="005D1865">
      <w:pPr>
        <w:pStyle w:val="ListParagraph"/>
        <w:numPr>
          <w:ilvl w:val="0"/>
          <w:numId w:val="9"/>
        </w:numPr>
        <w:spacing w:line="360" w:lineRule="auto"/>
        <w:jc w:val="both"/>
        <w:rPr>
          <w:rFonts w:ascii="Arial" w:hAnsi="Arial" w:cs="Arial"/>
          <w:sz w:val="22"/>
          <w:szCs w:val="22"/>
        </w:rPr>
      </w:pPr>
      <w:r w:rsidRPr="00400E40">
        <w:rPr>
          <w:rFonts w:ascii="Arial" w:hAnsi="Arial" w:cs="Arial"/>
          <w:sz w:val="22"/>
          <w:szCs w:val="22"/>
        </w:rPr>
        <w:t>Utilizar análises preditivas no planejamento operacional</w:t>
      </w:r>
    </w:p>
    <w:p w14:paraId="02B21A64"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As projeções indicaram continuidade do crescimento das vendas. Recomenda-se utilizar modelos preditivos como apoio ao planejamento de estoques, capacidade logística, campanhas promocionais e gestão de fornecedores, reduzindo riscos operacionais e aumentando a eficiência da tomada de decisão.</w:t>
      </w:r>
    </w:p>
    <w:p w14:paraId="132B1745" w14:textId="110266D9" w:rsidR="00B81BC0" w:rsidRPr="00400E40" w:rsidRDefault="00B81BC0" w:rsidP="005D1865">
      <w:pPr>
        <w:pStyle w:val="ListParagraph"/>
        <w:numPr>
          <w:ilvl w:val="0"/>
          <w:numId w:val="9"/>
        </w:numPr>
        <w:spacing w:line="360" w:lineRule="auto"/>
        <w:jc w:val="both"/>
        <w:rPr>
          <w:rFonts w:ascii="Arial" w:hAnsi="Arial" w:cs="Arial"/>
          <w:sz w:val="22"/>
          <w:szCs w:val="22"/>
        </w:rPr>
      </w:pPr>
      <w:r w:rsidRPr="00400E40">
        <w:rPr>
          <w:rFonts w:ascii="Arial" w:hAnsi="Arial" w:cs="Arial"/>
          <w:sz w:val="22"/>
          <w:szCs w:val="22"/>
        </w:rPr>
        <w:t>Priorizar vendedores de melhor desempenho</w:t>
      </w:r>
    </w:p>
    <w:p w14:paraId="646FD3D2" w14:textId="77777777" w:rsidR="00B81BC0" w:rsidRPr="00400E40" w:rsidRDefault="00B81BC0" w:rsidP="005D1865">
      <w:pPr>
        <w:spacing w:line="360" w:lineRule="auto"/>
        <w:jc w:val="both"/>
        <w:rPr>
          <w:rFonts w:ascii="Arial" w:hAnsi="Arial" w:cs="Arial"/>
          <w:sz w:val="22"/>
          <w:szCs w:val="22"/>
        </w:rPr>
      </w:pPr>
      <w:r w:rsidRPr="00400E40">
        <w:rPr>
          <w:rFonts w:ascii="Arial" w:hAnsi="Arial" w:cs="Arial"/>
          <w:sz w:val="22"/>
          <w:szCs w:val="22"/>
        </w:rPr>
        <w:t>Acompanhamentos periódicos de indicadores de satisfação, prazo de entrega e avaliações dos produtos podem contribuir para a identificação dos vendedores com melhor performance. O fortalecimento dessas parcerias tende a gerar impactos positivos tanto na experiência dos clientes quanto nos resultados financeiros da plataforma.</w:t>
      </w:r>
    </w:p>
    <w:p w14:paraId="739D303C" w14:textId="683B5E04" w:rsidR="00EA58FE" w:rsidRDefault="00B81BC0" w:rsidP="00057AD3">
      <w:pPr>
        <w:spacing w:line="360" w:lineRule="auto"/>
        <w:jc w:val="both"/>
        <w:rPr>
          <w:rFonts w:ascii="Arial" w:hAnsi="Arial" w:cs="Arial"/>
          <w:sz w:val="22"/>
          <w:szCs w:val="22"/>
        </w:rPr>
      </w:pPr>
      <w:r w:rsidRPr="00400E40">
        <w:rPr>
          <w:rFonts w:ascii="Arial" w:hAnsi="Arial" w:cs="Arial"/>
          <w:sz w:val="22"/>
          <w:szCs w:val="22"/>
        </w:rPr>
        <w:t>Em resumo, os resultados obtidos demonstram que a Olist possui uma base sólida para continuar crescendo de forma sustentável. A combinação entre eficiência operacional, foco na experiência do cliente, utilização de dados para tomada de decisão e estratégias voltadas para retenção e fidelização representa uma oportunidade relevante para ampliar a competitividade e a geração de valor do negócio no longo prazo</w:t>
      </w:r>
      <w:r w:rsidR="00936B34">
        <w:rPr>
          <w:rFonts w:ascii="Arial" w:hAnsi="Arial" w:cs="Arial"/>
          <w:sz w:val="22"/>
          <w:szCs w:val="22"/>
        </w:rPr>
        <w:t>.</w:t>
      </w:r>
    </w:p>
    <w:p w14:paraId="5D206B44" w14:textId="0306C406" w:rsidR="00936B34" w:rsidRDefault="00936B34" w:rsidP="00936B34">
      <w:pPr>
        <w:pStyle w:val="Heading1"/>
      </w:pPr>
      <w:bookmarkStart w:id="15" w:name="_Toc232533224"/>
      <w:r>
        <w:t>Referências</w:t>
      </w:r>
      <w:bookmarkEnd w:id="15"/>
    </w:p>
    <w:p w14:paraId="00C703C2" w14:textId="646A5D57" w:rsidR="006E0989" w:rsidRPr="006E0989" w:rsidRDefault="006E0989" w:rsidP="006E0989">
      <w:pPr>
        <w:spacing w:line="360" w:lineRule="auto"/>
        <w:jc w:val="both"/>
        <w:rPr>
          <w:rFonts w:ascii="Arial" w:hAnsi="Arial" w:cs="Arial"/>
          <w:sz w:val="22"/>
          <w:szCs w:val="22"/>
        </w:rPr>
      </w:pPr>
      <w:r w:rsidRPr="006E0989">
        <w:rPr>
          <w:rFonts w:ascii="Arial" w:hAnsi="Arial" w:cs="Arial"/>
          <w:sz w:val="22"/>
          <w:szCs w:val="22"/>
        </w:rPr>
        <w:t xml:space="preserve">OLIST. Brazilian E-Commerce Public Dataset by Olist. Kaggle, 2018. Disponível em: https://www.kaggle.com/datasets/olistbr/brazilian-ecommerce. </w:t>
      </w:r>
    </w:p>
    <w:p w14:paraId="29FCE09A" w14:textId="0D3AF964" w:rsidR="006E0989" w:rsidRPr="006E0989" w:rsidRDefault="006E0989" w:rsidP="006E0989">
      <w:pPr>
        <w:spacing w:line="360" w:lineRule="auto"/>
        <w:jc w:val="both"/>
        <w:rPr>
          <w:rFonts w:ascii="Arial" w:hAnsi="Arial" w:cs="Arial"/>
          <w:sz w:val="22"/>
          <w:szCs w:val="22"/>
        </w:rPr>
      </w:pPr>
      <w:r w:rsidRPr="006E0989">
        <w:rPr>
          <w:rFonts w:ascii="Arial" w:hAnsi="Arial" w:cs="Arial"/>
          <w:sz w:val="22"/>
          <w:szCs w:val="22"/>
        </w:rPr>
        <w:t xml:space="preserve">THE PANDAS DEVELOPMENT TEAM. Pandas Documentation. Disponível em: https://pandas.pydata.org. </w:t>
      </w:r>
    </w:p>
    <w:p w14:paraId="0F60313E" w14:textId="2A7E222F" w:rsidR="00936B34" w:rsidRDefault="006E0989" w:rsidP="006E0989">
      <w:pPr>
        <w:spacing w:line="360" w:lineRule="auto"/>
        <w:jc w:val="both"/>
        <w:rPr>
          <w:rFonts w:ascii="Arial" w:hAnsi="Arial" w:cs="Arial"/>
          <w:sz w:val="22"/>
          <w:szCs w:val="22"/>
        </w:rPr>
      </w:pPr>
      <w:r w:rsidRPr="006E0989">
        <w:rPr>
          <w:rFonts w:ascii="Arial" w:hAnsi="Arial" w:cs="Arial"/>
          <w:sz w:val="22"/>
          <w:szCs w:val="22"/>
        </w:rPr>
        <w:t xml:space="preserve">WASKOM, Michael. Seaborn: Statistical Data Visualization. Disponível em: https://seaborn.pydata.org. </w:t>
      </w:r>
    </w:p>
    <w:p w14:paraId="1EB73542" w14:textId="61383D39" w:rsidR="00B42630" w:rsidRPr="006E0989" w:rsidRDefault="00B42630" w:rsidP="006E0989">
      <w:pPr>
        <w:spacing w:line="360" w:lineRule="auto"/>
        <w:jc w:val="both"/>
        <w:rPr>
          <w:rFonts w:ascii="Arial" w:hAnsi="Arial" w:cs="Arial"/>
          <w:sz w:val="22"/>
          <w:szCs w:val="22"/>
        </w:rPr>
      </w:pPr>
      <w:r w:rsidRPr="00B42630">
        <w:rPr>
          <w:rFonts w:ascii="Arial" w:hAnsi="Arial" w:cs="Arial"/>
          <w:sz w:val="22"/>
          <w:szCs w:val="22"/>
        </w:rPr>
        <w:t>E-BIT. Webshoppers 38ª edição. São Paulo: Ebit, 2018. Disponível em:</w:t>
      </w:r>
      <w:r>
        <w:rPr>
          <w:rFonts w:ascii="Arial" w:hAnsi="Arial" w:cs="Arial"/>
          <w:sz w:val="22"/>
          <w:szCs w:val="22"/>
        </w:rPr>
        <w:t xml:space="preserve"> </w:t>
      </w:r>
      <w:r w:rsidR="00B82FA1" w:rsidRPr="00B82FA1">
        <w:rPr>
          <w:rFonts w:ascii="Arial" w:hAnsi="Arial" w:cs="Arial"/>
          <w:sz w:val="22"/>
          <w:szCs w:val="22"/>
        </w:rPr>
        <w:t>https://iabbrasil.com.br/wp-content/uploads/2018/09/Webshoppers_38_pt.pdf</w:t>
      </w:r>
    </w:p>
    <w:p w14:paraId="148C61E0" w14:textId="77777777" w:rsidR="002D5D5B" w:rsidRPr="00CF2DE0" w:rsidRDefault="002D5D5B" w:rsidP="00057AD3">
      <w:pPr>
        <w:spacing w:line="360" w:lineRule="auto"/>
        <w:jc w:val="both"/>
        <w:rPr>
          <w:rFonts w:ascii="Arial" w:hAnsi="Arial" w:cs="Arial"/>
          <w:sz w:val="22"/>
          <w:szCs w:val="22"/>
        </w:rPr>
      </w:pPr>
    </w:p>
    <w:sectPr w:rsidR="002D5D5B" w:rsidRPr="00CF2D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777"/>
    <w:multiLevelType w:val="multilevel"/>
    <w:tmpl w:val="072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86B16"/>
    <w:multiLevelType w:val="multilevel"/>
    <w:tmpl w:val="3C2CC0B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14715E"/>
    <w:multiLevelType w:val="hybridMultilevel"/>
    <w:tmpl w:val="0C404C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0D226E5"/>
    <w:multiLevelType w:val="hybridMultilevel"/>
    <w:tmpl w:val="9954D2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1DE604C"/>
    <w:multiLevelType w:val="multilevel"/>
    <w:tmpl w:val="360A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D45C7"/>
    <w:multiLevelType w:val="hybridMultilevel"/>
    <w:tmpl w:val="3F7A91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5B00EF"/>
    <w:multiLevelType w:val="multilevel"/>
    <w:tmpl w:val="02A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42FF0"/>
    <w:multiLevelType w:val="multilevel"/>
    <w:tmpl w:val="9DD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003A7"/>
    <w:multiLevelType w:val="hybridMultilevel"/>
    <w:tmpl w:val="48EABC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3000887"/>
    <w:multiLevelType w:val="multilevel"/>
    <w:tmpl w:val="B582DBF0"/>
    <w:lvl w:ilvl="0">
      <w:start w:val="1"/>
      <w:numFmt w:val="decimal"/>
      <w:pStyle w:val="Estilo1"/>
      <w:lvlText w:val="%1."/>
      <w:lvlJc w:val="left"/>
      <w:pPr>
        <w:ind w:left="720" w:hanging="360"/>
      </w:pPr>
    </w:lvl>
    <w:lvl w:ilvl="1">
      <w:start w:val="1"/>
      <w:numFmt w:val="decimal"/>
      <w:pStyle w:val="Estilo2"/>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52145C6"/>
    <w:multiLevelType w:val="multilevel"/>
    <w:tmpl w:val="0A6A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04239">
    <w:abstractNumId w:val="0"/>
  </w:num>
  <w:num w:numId="2" w16cid:durableId="2066560182">
    <w:abstractNumId w:val="10"/>
  </w:num>
  <w:num w:numId="3" w16cid:durableId="60642280">
    <w:abstractNumId w:val="6"/>
  </w:num>
  <w:num w:numId="4" w16cid:durableId="8871432">
    <w:abstractNumId w:val="4"/>
  </w:num>
  <w:num w:numId="5" w16cid:durableId="642195035">
    <w:abstractNumId w:val="9"/>
  </w:num>
  <w:num w:numId="6" w16cid:durableId="53048950">
    <w:abstractNumId w:val="3"/>
  </w:num>
  <w:num w:numId="7" w16cid:durableId="1979913501">
    <w:abstractNumId w:val="5"/>
  </w:num>
  <w:num w:numId="8" w16cid:durableId="479880689">
    <w:abstractNumId w:val="1"/>
  </w:num>
  <w:num w:numId="9" w16cid:durableId="808936152">
    <w:abstractNumId w:val="8"/>
  </w:num>
  <w:num w:numId="10" w16cid:durableId="387385474">
    <w:abstractNumId w:val="7"/>
  </w:num>
  <w:num w:numId="11" w16cid:durableId="10777442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866386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3727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0462749">
    <w:abstractNumId w:val="9"/>
  </w:num>
  <w:num w:numId="15" w16cid:durableId="22171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4AA"/>
    <w:rsid w:val="0000344E"/>
    <w:rsid w:val="00016F12"/>
    <w:rsid w:val="000229B7"/>
    <w:rsid w:val="00042612"/>
    <w:rsid w:val="00045DA8"/>
    <w:rsid w:val="00057AD3"/>
    <w:rsid w:val="0006662D"/>
    <w:rsid w:val="00072E6A"/>
    <w:rsid w:val="00085AF6"/>
    <w:rsid w:val="000A0E26"/>
    <w:rsid w:val="000A668D"/>
    <w:rsid w:val="00101E58"/>
    <w:rsid w:val="00132A2D"/>
    <w:rsid w:val="00147E1B"/>
    <w:rsid w:val="0015429A"/>
    <w:rsid w:val="00164F42"/>
    <w:rsid w:val="00171763"/>
    <w:rsid w:val="00174FA4"/>
    <w:rsid w:val="00186BAA"/>
    <w:rsid w:val="001877A0"/>
    <w:rsid w:val="00190D54"/>
    <w:rsid w:val="00192657"/>
    <w:rsid w:val="001A4B99"/>
    <w:rsid w:val="001C41BF"/>
    <w:rsid w:val="001D098B"/>
    <w:rsid w:val="001D11DA"/>
    <w:rsid w:val="001E69C3"/>
    <w:rsid w:val="0025087E"/>
    <w:rsid w:val="00261C99"/>
    <w:rsid w:val="00273FB9"/>
    <w:rsid w:val="002B10CD"/>
    <w:rsid w:val="002C5CA8"/>
    <w:rsid w:val="002D5D5B"/>
    <w:rsid w:val="002E2FFD"/>
    <w:rsid w:val="002E79B7"/>
    <w:rsid w:val="002F2DCE"/>
    <w:rsid w:val="00360AF7"/>
    <w:rsid w:val="0036276C"/>
    <w:rsid w:val="00366CBE"/>
    <w:rsid w:val="0037038E"/>
    <w:rsid w:val="003B4C51"/>
    <w:rsid w:val="003B5BD6"/>
    <w:rsid w:val="00400E40"/>
    <w:rsid w:val="004168C5"/>
    <w:rsid w:val="00422B2F"/>
    <w:rsid w:val="004266F5"/>
    <w:rsid w:val="00434765"/>
    <w:rsid w:val="00440799"/>
    <w:rsid w:val="00441D87"/>
    <w:rsid w:val="00444024"/>
    <w:rsid w:val="00454C74"/>
    <w:rsid w:val="00466C67"/>
    <w:rsid w:val="00484403"/>
    <w:rsid w:val="00490210"/>
    <w:rsid w:val="00491A60"/>
    <w:rsid w:val="004A5618"/>
    <w:rsid w:val="004B281E"/>
    <w:rsid w:val="004C77BC"/>
    <w:rsid w:val="004D0F0E"/>
    <w:rsid w:val="004F00EC"/>
    <w:rsid w:val="004F0233"/>
    <w:rsid w:val="00504EC8"/>
    <w:rsid w:val="00515C49"/>
    <w:rsid w:val="00541784"/>
    <w:rsid w:val="005436C8"/>
    <w:rsid w:val="00544325"/>
    <w:rsid w:val="00545C33"/>
    <w:rsid w:val="005510F2"/>
    <w:rsid w:val="00567758"/>
    <w:rsid w:val="005724AA"/>
    <w:rsid w:val="005965BA"/>
    <w:rsid w:val="005B40DB"/>
    <w:rsid w:val="005C0599"/>
    <w:rsid w:val="005C4534"/>
    <w:rsid w:val="005D1865"/>
    <w:rsid w:val="005D326D"/>
    <w:rsid w:val="005E1701"/>
    <w:rsid w:val="00605A74"/>
    <w:rsid w:val="00606C3A"/>
    <w:rsid w:val="006103BE"/>
    <w:rsid w:val="00612E31"/>
    <w:rsid w:val="006174DB"/>
    <w:rsid w:val="0064779C"/>
    <w:rsid w:val="00662BCF"/>
    <w:rsid w:val="00663689"/>
    <w:rsid w:val="00681DA1"/>
    <w:rsid w:val="00690161"/>
    <w:rsid w:val="006A4CB2"/>
    <w:rsid w:val="006A7490"/>
    <w:rsid w:val="006B1296"/>
    <w:rsid w:val="006E0989"/>
    <w:rsid w:val="00723FC5"/>
    <w:rsid w:val="00724C0E"/>
    <w:rsid w:val="00734BB3"/>
    <w:rsid w:val="007460A9"/>
    <w:rsid w:val="007502E7"/>
    <w:rsid w:val="00754D85"/>
    <w:rsid w:val="0075637A"/>
    <w:rsid w:val="00762C92"/>
    <w:rsid w:val="007636E7"/>
    <w:rsid w:val="00771B07"/>
    <w:rsid w:val="0079365F"/>
    <w:rsid w:val="007A32E2"/>
    <w:rsid w:val="007A7CC8"/>
    <w:rsid w:val="007B1479"/>
    <w:rsid w:val="007B70CC"/>
    <w:rsid w:val="007D4B86"/>
    <w:rsid w:val="007D6FD3"/>
    <w:rsid w:val="007F2BED"/>
    <w:rsid w:val="00815F3B"/>
    <w:rsid w:val="00825A45"/>
    <w:rsid w:val="008666BA"/>
    <w:rsid w:val="008863D4"/>
    <w:rsid w:val="008B34B0"/>
    <w:rsid w:val="008B5B8F"/>
    <w:rsid w:val="008C2E7E"/>
    <w:rsid w:val="00930EB5"/>
    <w:rsid w:val="00936B34"/>
    <w:rsid w:val="009433CA"/>
    <w:rsid w:val="009618E2"/>
    <w:rsid w:val="00965CA3"/>
    <w:rsid w:val="009769D6"/>
    <w:rsid w:val="009824F1"/>
    <w:rsid w:val="00983E4B"/>
    <w:rsid w:val="00984688"/>
    <w:rsid w:val="00986219"/>
    <w:rsid w:val="009943DB"/>
    <w:rsid w:val="009A6411"/>
    <w:rsid w:val="009A698C"/>
    <w:rsid w:val="009B6B92"/>
    <w:rsid w:val="009D011D"/>
    <w:rsid w:val="009E3584"/>
    <w:rsid w:val="009F4526"/>
    <w:rsid w:val="009F7A7D"/>
    <w:rsid w:val="00A00173"/>
    <w:rsid w:val="00A06100"/>
    <w:rsid w:val="00A07743"/>
    <w:rsid w:val="00A1010C"/>
    <w:rsid w:val="00A33C8C"/>
    <w:rsid w:val="00A50574"/>
    <w:rsid w:val="00A53BC0"/>
    <w:rsid w:val="00A75125"/>
    <w:rsid w:val="00A90365"/>
    <w:rsid w:val="00AB0C16"/>
    <w:rsid w:val="00AF70B6"/>
    <w:rsid w:val="00AF7D40"/>
    <w:rsid w:val="00B00BE6"/>
    <w:rsid w:val="00B11281"/>
    <w:rsid w:val="00B42630"/>
    <w:rsid w:val="00B578CB"/>
    <w:rsid w:val="00B81BC0"/>
    <w:rsid w:val="00B82FA1"/>
    <w:rsid w:val="00B87692"/>
    <w:rsid w:val="00B92558"/>
    <w:rsid w:val="00B92BDE"/>
    <w:rsid w:val="00BA76B9"/>
    <w:rsid w:val="00BB4380"/>
    <w:rsid w:val="00BB4EA4"/>
    <w:rsid w:val="00BD127A"/>
    <w:rsid w:val="00C03668"/>
    <w:rsid w:val="00C0367A"/>
    <w:rsid w:val="00C16413"/>
    <w:rsid w:val="00C22F76"/>
    <w:rsid w:val="00C23198"/>
    <w:rsid w:val="00C3157E"/>
    <w:rsid w:val="00C4082E"/>
    <w:rsid w:val="00C42E3C"/>
    <w:rsid w:val="00C461CB"/>
    <w:rsid w:val="00C54BF9"/>
    <w:rsid w:val="00C73C7E"/>
    <w:rsid w:val="00C752C5"/>
    <w:rsid w:val="00C86E43"/>
    <w:rsid w:val="00CA245E"/>
    <w:rsid w:val="00CE3BD3"/>
    <w:rsid w:val="00CF2DE0"/>
    <w:rsid w:val="00CF3B32"/>
    <w:rsid w:val="00D135F8"/>
    <w:rsid w:val="00D26EFF"/>
    <w:rsid w:val="00D424B6"/>
    <w:rsid w:val="00D458E3"/>
    <w:rsid w:val="00D5799A"/>
    <w:rsid w:val="00D6104C"/>
    <w:rsid w:val="00D7271B"/>
    <w:rsid w:val="00D85FEC"/>
    <w:rsid w:val="00D9074C"/>
    <w:rsid w:val="00D977A9"/>
    <w:rsid w:val="00DA7D85"/>
    <w:rsid w:val="00DD09F5"/>
    <w:rsid w:val="00E01A9A"/>
    <w:rsid w:val="00E25952"/>
    <w:rsid w:val="00E27312"/>
    <w:rsid w:val="00E7608E"/>
    <w:rsid w:val="00E930F2"/>
    <w:rsid w:val="00E96B24"/>
    <w:rsid w:val="00EA1F60"/>
    <w:rsid w:val="00EA58FE"/>
    <w:rsid w:val="00ED4100"/>
    <w:rsid w:val="00F003D1"/>
    <w:rsid w:val="00F006CA"/>
    <w:rsid w:val="00F731C3"/>
    <w:rsid w:val="00F8511D"/>
    <w:rsid w:val="00FB0B0F"/>
    <w:rsid w:val="00FD7025"/>
    <w:rsid w:val="00FE40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C6E7"/>
  <w15:chartTrackingRefBased/>
  <w15:docId w15:val="{C094201B-D5EB-4BBF-8E33-9F2E6EFDD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A60"/>
    <w:rPr>
      <w:noProof/>
      <w:lang w:val="pt-BR"/>
    </w:rPr>
  </w:style>
  <w:style w:type="paragraph" w:styleId="Heading1">
    <w:name w:val="heading 1"/>
    <w:basedOn w:val="Estilo1"/>
    <w:next w:val="Normal"/>
    <w:link w:val="Heading1Char"/>
    <w:uiPriority w:val="9"/>
    <w:qFormat/>
    <w:rsid w:val="005436C8"/>
    <w:pPr>
      <w:keepNext/>
      <w:keepLines/>
      <w:spacing w:before="360" w:after="80"/>
      <w:outlineLvl w:val="0"/>
    </w:pPr>
    <w:rPr>
      <w:rFonts w:eastAsiaTheme="majorEastAsia" w:cstheme="majorBidi"/>
      <w:szCs w:val="40"/>
    </w:rPr>
  </w:style>
  <w:style w:type="paragraph" w:styleId="Heading2">
    <w:name w:val="heading 2"/>
    <w:basedOn w:val="Estilo2"/>
    <w:next w:val="Estilo2"/>
    <w:link w:val="Heading2Char"/>
    <w:uiPriority w:val="9"/>
    <w:unhideWhenUsed/>
    <w:qFormat/>
    <w:rsid w:val="005436C8"/>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572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6C8"/>
    <w:rPr>
      <w:rFonts w:ascii="Arial" w:eastAsiaTheme="majorEastAsia" w:hAnsi="Arial" w:cstheme="majorBidi"/>
      <w:b/>
      <w:bCs/>
      <w:sz w:val="28"/>
      <w:szCs w:val="40"/>
      <w:lang w:val="pt-BR"/>
    </w:rPr>
  </w:style>
  <w:style w:type="character" w:customStyle="1" w:styleId="Heading2Char">
    <w:name w:val="Heading 2 Char"/>
    <w:basedOn w:val="DefaultParagraphFont"/>
    <w:link w:val="Heading2"/>
    <w:uiPriority w:val="9"/>
    <w:rsid w:val="005436C8"/>
    <w:rPr>
      <w:rFonts w:ascii="Arial" w:eastAsiaTheme="majorEastAsia" w:hAnsi="Arial" w:cstheme="majorBidi"/>
      <w:b/>
      <w:bCs/>
      <w:szCs w:val="32"/>
      <w:lang w:val="pt-BR"/>
    </w:rPr>
  </w:style>
  <w:style w:type="character" w:customStyle="1" w:styleId="Heading3Char">
    <w:name w:val="Heading 3 Char"/>
    <w:basedOn w:val="DefaultParagraphFont"/>
    <w:link w:val="Heading3"/>
    <w:uiPriority w:val="9"/>
    <w:semiHidden/>
    <w:rsid w:val="00572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4AA"/>
    <w:rPr>
      <w:rFonts w:eastAsiaTheme="majorEastAsia" w:cstheme="majorBidi"/>
      <w:color w:val="272727" w:themeColor="text1" w:themeTint="D8"/>
    </w:rPr>
  </w:style>
  <w:style w:type="paragraph" w:styleId="Title">
    <w:name w:val="Title"/>
    <w:basedOn w:val="Normal"/>
    <w:next w:val="Normal"/>
    <w:link w:val="TitleChar"/>
    <w:uiPriority w:val="10"/>
    <w:qFormat/>
    <w:rsid w:val="00572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4AA"/>
    <w:pPr>
      <w:spacing w:before="160"/>
      <w:jc w:val="center"/>
    </w:pPr>
    <w:rPr>
      <w:i/>
      <w:iCs/>
      <w:color w:val="404040" w:themeColor="text1" w:themeTint="BF"/>
    </w:rPr>
  </w:style>
  <w:style w:type="character" w:customStyle="1" w:styleId="QuoteChar">
    <w:name w:val="Quote Char"/>
    <w:basedOn w:val="DefaultParagraphFont"/>
    <w:link w:val="Quote"/>
    <w:uiPriority w:val="29"/>
    <w:rsid w:val="005724AA"/>
    <w:rPr>
      <w:i/>
      <w:iCs/>
      <w:color w:val="404040" w:themeColor="text1" w:themeTint="BF"/>
    </w:rPr>
  </w:style>
  <w:style w:type="paragraph" w:styleId="ListParagraph">
    <w:name w:val="List Paragraph"/>
    <w:basedOn w:val="Normal"/>
    <w:link w:val="ListParagraphChar"/>
    <w:uiPriority w:val="34"/>
    <w:qFormat/>
    <w:rsid w:val="005724AA"/>
    <w:pPr>
      <w:ind w:left="720"/>
      <w:contextualSpacing/>
    </w:pPr>
  </w:style>
  <w:style w:type="character" w:styleId="IntenseEmphasis">
    <w:name w:val="Intense Emphasis"/>
    <w:basedOn w:val="DefaultParagraphFont"/>
    <w:uiPriority w:val="21"/>
    <w:qFormat/>
    <w:rsid w:val="005724AA"/>
    <w:rPr>
      <w:i/>
      <w:iCs/>
      <w:color w:val="0F4761" w:themeColor="accent1" w:themeShade="BF"/>
    </w:rPr>
  </w:style>
  <w:style w:type="paragraph" w:styleId="IntenseQuote">
    <w:name w:val="Intense Quote"/>
    <w:basedOn w:val="Normal"/>
    <w:next w:val="Normal"/>
    <w:link w:val="IntenseQuoteChar"/>
    <w:uiPriority w:val="30"/>
    <w:qFormat/>
    <w:rsid w:val="00572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4AA"/>
    <w:rPr>
      <w:i/>
      <w:iCs/>
      <w:color w:val="0F4761" w:themeColor="accent1" w:themeShade="BF"/>
    </w:rPr>
  </w:style>
  <w:style w:type="character" w:styleId="IntenseReference">
    <w:name w:val="Intense Reference"/>
    <w:basedOn w:val="DefaultParagraphFont"/>
    <w:uiPriority w:val="32"/>
    <w:qFormat/>
    <w:rsid w:val="005724AA"/>
    <w:rPr>
      <w:b/>
      <w:bCs/>
      <w:smallCaps/>
      <w:color w:val="0F4761" w:themeColor="accent1" w:themeShade="BF"/>
      <w:spacing w:val="5"/>
    </w:rPr>
  </w:style>
  <w:style w:type="paragraph" w:customStyle="1" w:styleId="isselectedend">
    <w:name w:val="isselectedend"/>
    <w:basedOn w:val="Normal"/>
    <w:rsid w:val="002E2FF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2E2FF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OCHeading">
    <w:name w:val="TOC Heading"/>
    <w:basedOn w:val="Heading1"/>
    <w:next w:val="Normal"/>
    <w:uiPriority w:val="39"/>
    <w:unhideWhenUsed/>
    <w:qFormat/>
    <w:rsid w:val="00C0367A"/>
    <w:pPr>
      <w:spacing w:before="240" w:after="0" w:line="259" w:lineRule="auto"/>
      <w:outlineLvl w:val="9"/>
    </w:pPr>
    <w:rPr>
      <w:kern w:val="0"/>
      <w:sz w:val="32"/>
      <w:szCs w:val="32"/>
      <w:lang w:eastAsia="es-MX"/>
      <w14:ligatures w14:val="none"/>
    </w:rPr>
  </w:style>
  <w:style w:type="paragraph" w:customStyle="1" w:styleId="Estilo1">
    <w:name w:val="Estilo1"/>
    <w:basedOn w:val="ListParagraph"/>
    <w:link w:val="Estilo1Car"/>
    <w:qFormat/>
    <w:rsid w:val="003B4C51"/>
    <w:pPr>
      <w:numPr>
        <w:numId w:val="5"/>
      </w:numPr>
      <w:spacing w:line="360" w:lineRule="auto"/>
      <w:jc w:val="both"/>
    </w:pPr>
    <w:rPr>
      <w:rFonts w:ascii="Arial" w:hAnsi="Arial" w:cs="Arial"/>
      <w:b/>
      <w:bCs/>
      <w:sz w:val="28"/>
      <w:szCs w:val="28"/>
    </w:rPr>
  </w:style>
  <w:style w:type="character" w:customStyle="1" w:styleId="ListParagraphChar">
    <w:name w:val="List Paragraph Char"/>
    <w:basedOn w:val="DefaultParagraphFont"/>
    <w:link w:val="ListParagraph"/>
    <w:uiPriority w:val="34"/>
    <w:rsid w:val="003B4C51"/>
  </w:style>
  <w:style w:type="character" w:customStyle="1" w:styleId="Estilo1Car">
    <w:name w:val="Estilo1 Car"/>
    <w:basedOn w:val="ListParagraphChar"/>
    <w:link w:val="Estilo1"/>
    <w:rsid w:val="003B4C51"/>
    <w:rPr>
      <w:rFonts w:ascii="Arial" w:hAnsi="Arial" w:cs="Arial"/>
      <w:b/>
      <w:bCs/>
      <w:sz w:val="28"/>
      <w:szCs w:val="28"/>
      <w:lang w:val="pt-BR"/>
    </w:rPr>
  </w:style>
  <w:style w:type="paragraph" w:customStyle="1" w:styleId="Estilo2">
    <w:name w:val="Estilo2"/>
    <w:basedOn w:val="ListParagraph"/>
    <w:link w:val="Estilo2Car"/>
    <w:autoRedefine/>
    <w:qFormat/>
    <w:rsid w:val="00C23198"/>
    <w:pPr>
      <w:numPr>
        <w:ilvl w:val="1"/>
        <w:numId w:val="5"/>
      </w:numPr>
      <w:spacing w:line="360" w:lineRule="auto"/>
      <w:jc w:val="both"/>
    </w:pPr>
    <w:rPr>
      <w:rFonts w:ascii="Arial" w:hAnsi="Arial" w:cs="Arial"/>
      <w:b/>
      <w:bCs/>
    </w:rPr>
  </w:style>
  <w:style w:type="character" w:customStyle="1" w:styleId="Estilo2Car">
    <w:name w:val="Estilo2 Car"/>
    <w:basedOn w:val="ListParagraphChar"/>
    <w:link w:val="Estilo2"/>
    <w:rsid w:val="00C23198"/>
    <w:rPr>
      <w:rFonts w:ascii="Arial" w:hAnsi="Arial" w:cs="Arial"/>
      <w:b/>
      <w:bCs/>
      <w:lang w:val="pt-BR"/>
    </w:rPr>
  </w:style>
  <w:style w:type="paragraph" w:styleId="TOC1">
    <w:name w:val="toc 1"/>
    <w:basedOn w:val="Normal"/>
    <w:next w:val="Normal"/>
    <w:autoRedefine/>
    <w:uiPriority w:val="39"/>
    <w:unhideWhenUsed/>
    <w:rsid w:val="005436C8"/>
    <w:pPr>
      <w:spacing w:after="100"/>
    </w:pPr>
  </w:style>
  <w:style w:type="paragraph" w:styleId="TOC2">
    <w:name w:val="toc 2"/>
    <w:basedOn w:val="Normal"/>
    <w:next w:val="Normal"/>
    <w:autoRedefine/>
    <w:uiPriority w:val="39"/>
    <w:unhideWhenUsed/>
    <w:rsid w:val="005436C8"/>
    <w:pPr>
      <w:spacing w:after="100"/>
      <w:ind w:left="240"/>
    </w:pPr>
  </w:style>
  <w:style w:type="character" w:styleId="Hyperlink">
    <w:name w:val="Hyperlink"/>
    <w:basedOn w:val="DefaultParagraphFont"/>
    <w:uiPriority w:val="99"/>
    <w:unhideWhenUsed/>
    <w:rsid w:val="005436C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005E1-9CB1-417D-8566-72548EEF8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1409</TotalTime>
  <Pages>1</Pages>
  <Words>3280</Words>
  <Characters>18701</Characters>
  <Application>Microsoft Office Word</Application>
  <DocSecurity>4</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21938</CharactersWithSpaces>
  <SharedDoc>false</SharedDoc>
  <HLinks>
    <vt:vector size="96" baseType="variant">
      <vt:variant>
        <vt:i4>1048625</vt:i4>
      </vt:variant>
      <vt:variant>
        <vt:i4>92</vt:i4>
      </vt:variant>
      <vt:variant>
        <vt:i4>0</vt:i4>
      </vt:variant>
      <vt:variant>
        <vt:i4>5</vt:i4>
      </vt:variant>
      <vt:variant>
        <vt:lpwstr/>
      </vt:variant>
      <vt:variant>
        <vt:lpwstr>_Toc232533224</vt:lpwstr>
      </vt:variant>
      <vt:variant>
        <vt:i4>1048625</vt:i4>
      </vt:variant>
      <vt:variant>
        <vt:i4>86</vt:i4>
      </vt:variant>
      <vt:variant>
        <vt:i4>0</vt:i4>
      </vt:variant>
      <vt:variant>
        <vt:i4>5</vt:i4>
      </vt:variant>
      <vt:variant>
        <vt:lpwstr/>
      </vt:variant>
      <vt:variant>
        <vt:lpwstr>_Toc232533223</vt:lpwstr>
      </vt:variant>
      <vt:variant>
        <vt:i4>1048625</vt:i4>
      </vt:variant>
      <vt:variant>
        <vt:i4>80</vt:i4>
      </vt:variant>
      <vt:variant>
        <vt:i4>0</vt:i4>
      </vt:variant>
      <vt:variant>
        <vt:i4>5</vt:i4>
      </vt:variant>
      <vt:variant>
        <vt:lpwstr/>
      </vt:variant>
      <vt:variant>
        <vt:lpwstr>_Toc232533222</vt:lpwstr>
      </vt:variant>
      <vt:variant>
        <vt:i4>1048625</vt:i4>
      </vt:variant>
      <vt:variant>
        <vt:i4>74</vt:i4>
      </vt:variant>
      <vt:variant>
        <vt:i4>0</vt:i4>
      </vt:variant>
      <vt:variant>
        <vt:i4>5</vt:i4>
      </vt:variant>
      <vt:variant>
        <vt:lpwstr/>
      </vt:variant>
      <vt:variant>
        <vt:lpwstr>_Toc232533221</vt:lpwstr>
      </vt:variant>
      <vt:variant>
        <vt:i4>1048625</vt:i4>
      </vt:variant>
      <vt:variant>
        <vt:i4>68</vt:i4>
      </vt:variant>
      <vt:variant>
        <vt:i4>0</vt:i4>
      </vt:variant>
      <vt:variant>
        <vt:i4>5</vt:i4>
      </vt:variant>
      <vt:variant>
        <vt:lpwstr/>
      </vt:variant>
      <vt:variant>
        <vt:lpwstr>_Toc232533220</vt:lpwstr>
      </vt:variant>
      <vt:variant>
        <vt:i4>1245233</vt:i4>
      </vt:variant>
      <vt:variant>
        <vt:i4>62</vt:i4>
      </vt:variant>
      <vt:variant>
        <vt:i4>0</vt:i4>
      </vt:variant>
      <vt:variant>
        <vt:i4>5</vt:i4>
      </vt:variant>
      <vt:variant>
        <vt:lpwstr/>
      </vt:variant>
      <vt:variant>
        <vt:lpwstr>_Toc232533219</vt:lpwstr>
      </vt:variant>
      <vt:variant>
        <vt:i4>1245233</vt:i4>
      </vt:variant>
      <vt:variant>
        <vt:i4>56</vt:i4>
      </vt:variant>
      <vt:variant>
        <vt:i4>0</vt:i4>
      </vt:variant>
      <vt:variant>
        <vt:i4>5</vt:i4>
      </vt:variant>
      <vt:variant>
        <vt:lpwstr/>
      </vt:variant>
      <vt:variant>
        <vt:lpwstr>_Toc232533218</vt:lpwstr>
      </vt:variant>
      <vt:variant>
        <vt:i4>1245233</vt:i4>
      </vt:variant>
      <vt:variant>
        <vt:i4>50</vt:i4>
      </vt:variant>
      <vt:variant>
        <vt:i4>0</vt:i4>
      </vt:variant>
      <vt:variant>
        <vt:i4>5</vt:i4>
      </vt:variant>
      <vt:variant>
        <vt:lpwstr/>
      </vt:variant>
      <vt:variant>
        <vt:lpwstr>_Toc232533217</vt:lpwstr>
      </vt:variant>
      <vt:variant>
        <vt:i4>1245233</vt:i4>
      </vt:variant>
      <vt:variant>
        <vt:i4>44</vt:i4>
      </vt:variant>
      <vt:variant>
        <vt:i4>0</vt:i4>
      </vt:variant>
      <vt:variant>
        <vt:i4>5</vt:i4>
      </vt:variant>
      <vt:variant>
        <vt:lpwstr/>
      </vt:variant>
      <vt:variant>
        <vt:lpwstr>_Toc232533216</vt:lpwstr>
      </vt:variant>
      <vt:variant>
        <vt:i4>1245233</vt:i4>
      </vt:variant>
      <vt:variant>
        <vt:i4>38</vt:i4>
      </vt:variant>
      <vt:variant>
        <vt:i4>0</vt:i4>
      </vt:variant>
      <vt:variant>
        <vt:i4>5</vt:i4>
      </vt:variant>
      <vt:variant>
        <vt:lpwstr/>
      </vt:variant>
      <vt:variant>
        <vt:lpwstr>_Toc232533215</vt:lpwstr>
      </vt:variant>
      <vt:variant>
        <vt:i4>1245233</vt:i4>
      </vt:variant>
      <vt:variant>
        <vt:i4>32</vt:i4>
      </vt:variant>
      <vt:variant>
        <vt:i4>0</vt:i4>
      </vt:variant>
      <vt:variant>
        <vt:i4>5</vt:i4>
      </vt:variant>
      <vt:variant>
        <vt:lpwstr/>
      </vt:variant>
      <vt:variant>
        <vt:lpwstr>_Toc232533214</vt:lpwstr>
      </vt:variant>
      <vt:variant>
        <vt:i4>1245233</vt:i4>
      </vt:variant>
      <vt:variant>
        <vt:i4>26</vt:i4>
      </vt:variant>
      <vt:variant>
        <vt:i4>0</vt:i4>
      </vt:variant>
      <vt:variant>
        <vt:i4>5</vt:i4>
      </vt:variant>
      <vt:variant>
        <vt:lpwstr/>
      </vt:variant>
      <vt:variant>
        <vt:lpwstr>_Toc232533213</vt:lpwstr>
      </vt:variant>
      <vt:variant>
        <vt:i4>1245233</vt:i4>
      </vt:variant>
      <vt:variant>
        <vt:i4>20</vt:i4>
      </vt:variant>
      <vt:variant>
        <vt:i4>0</vt:i4>
      </vt:variant>
      <vt:variant>
        <vt:i4>5</vt:i4>
      </vt:variant>
      <vt:variant>
        <vt:lpwstr/>
      </vt:variant>
      <vt:variant>
        <vt:lpwstr>_Toc232533212</vt:lpwstr>
      </vt:variant>
      <vt:variant>
        <vt:i4>1245233</vt:i4>
      </vt:variant>
      <vt:variant>
        <vt:i4>14</vt:i4>
      </vt:variant>
      <vt:variant>
        <vt:i4>0</vt:i4>
      </vt:variant>
      <vt:variant>
        <vt:i4>5</vt:i4>
      </vt:variant>
      <vt:variant>
        <vt:lpwstr/>
      </vt:variant>
      <vt:variant>
        <vt:lpwstr>_Toc232533211</vt:lpwstr>
      </vt:variant>
      <vt:variant>
        <vt:i4>1245233</vt:i4>
      </vt:variant>
      <vt:variant>
        <vt:i4>8</vt:i4>
      </vt:variant>
      <vt:variant>
        <vt:i4>0</vt:i4>
      </vt:variant>
      <vt:variant>
        <vt:i4>5</vt:i4>
      </vt:variant>
      <vt:variant>
        <vt:lpwstr/>
      </vt:variant>
      <vt:variant>
        <vt:lpwstr>_Toc232533210</vt:lpwstr>
      </vt:variant>
      <vt:variant>
        <vt:i4>1179697</vt:i4>
      </vt:variant>
      <vt:variant>
        <vt:i4>2</vt:i4>
      </vt:variant>
      <vt:variant>
        <vt:i4>0</vt:i4>
      </vt:variant>
      <vt:variant>
        <vt:i4>5</vt:i4>
      </vt:variant>
      <vt:variant>
        <vt:lpwstr/>
      </vt:variant>
      <vt:variant>
        <vt:lpwstr>_Toc232533209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Natália Vartuli</dc:creator>
  <cp:keywords/>
  <dc:description/>
  <cp:lastModifiedBy>Natália Vartuli</cp:lastModifiedBy>
  <cp:revision>188</cp:revision>
  <dcterms:created xsi:type="dcterms:W3CDTF">2026-05-29T19:00:00Z</dcterms:created>
  <dcterms:modified xsi:type="dcterms:W3CDTF">2026-06-16T23:13:00Z</dcterms:modified>
</cp:coreProperties>
</file>