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0F339">
      <w:pPr>
        <w:jc w:val="both"/>
      </w:pPr>
    </w:p>
    <w:p w14:paraId="2DDA0DCA">
      <w:pPr>
        <w:jc w:val="both"/>
        <w:rPr>
          <w:b/>
          <w:bCs/>
          <w:sz w:val="32"/>
          <w:szCs w:val="32"/>
        </w:rPr>
      </w:pPr>
      <w:r>
        <w:rPr>
          <w:rFonts w:hint="eastAsia"/>
          <w:b/>
          <w:bCs/>
          <w:sz w:val="32"/>
          <w:szCs w:val="32"/>
        </w:rPr>
        <w:t>作业内容：</w:t>
      </w:r>
    </w:p>
    <w:p w14:paraId="6D5D382F">
      <w:pPr>
        <w:spacing w:before="312" w:beforeLines="100" w:after="312" w:afterLines="100" w:line="360" w:lineRule="auto"/>
        <w:jc w:val="both"/>
        <w:rPr>
          <w:b/>
          <w:bCs/>
          <w:sz w:val="28"/>
          <w:szCs w:val="28"/>
        </w:rPr>
      </w:pPr>
      <w:r>
        <w:rPr>
          <w:rFonts w:hint="eastAsia"/>
          <w:b/>
          <w:bCs/>
          <w:sz w:val="28"/>
          <w:szCs w:val="28"/>
        </w:rPr>
        <w:t>一</w:t>
      </w:r>
      <w:r>
        <w:rPr>
          <w:b/>
          <w:bCs/>
          <w:sz w:val="28"/>
          <w:szCs w:val="28"/>
        </w:rPr>
        <w:t xml:space="preserve">. </w:t>
      </w:r>
      <w:r>
        <w:rPr>
          <w:rFonts w:hint="eastAsia"/>
          <w:b/>
          <w:bCs/>
          <w:sz w:val="28"/>
          <w:szCs w:val="28"/>
        </w:rPr>
        <w:t>基于特质波动率的量化组合构建与计算（9</w:t>
      </w:r>
      <w:r>
        <w:rPr>
          <w:b/>
          <w:bCs/>
          <w:sz w:val="28"/>
          <w:szCs w:val="28"/>
        </w:rPr>
        <w:t>0</w:t>
      </w:r>
      <w:r>
        <w:rPr>
          <w:rFonts w:hint="eastAsia"/>
          <w:b/>
          <w:bCs/>
          <w:sz w:val="28"/>
          <w:szCs w:val="28"/>
        </w:rPr>
        <w:t>分）</w:t>
      </w:r>
    </w:p>
    <w:p w14:paraId="3DEB0961">
      <w:pPr>
        <w:spacing w:line="360" w:lineRule="auto"/>
        <w:jc w:val="both"/>
      </w:pPr>
      <w:r>
        <w:rPr>
          <w:rFonts w:hint="eastAsia"/>
          <w:b/>
          <w:bCs/>
        </w:rPr>
        <w:t>特质波动率</w:t>
      </w:r>
      <w:r>
        <w:rPr>
          <w:rFonts w:hint="eastAsia"/>
        </w:rPr>
        <w:t>，即股票收益波动率中无法被系统性风险所捕捉的部分，是评估投资风险的重要指标，其通过三因子模型计算：</w:t>
      </w:r>
    </w:p>
    <w:tbl>
      <w:tblPr>
        <w:tblStyle w:val="3"/>
        <w:tblW w:w="83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98"/>
        <w:gridCol w:w="737"/>
      </w:tblGrid>
      <w:tr w14:paraId="0DD33A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8" w:type="dxa"/>
            <w:vAlign w:val="center"/>
          </w:tcPr>
          <w:p w14:paraId="042E00F5">
            <w:pPr>
              <w:spacing w:line="360" w:lineRule="auto"/>
              <w:rPr>
                <w:kern w:val="2"/>
              </w:rPr>
            </w:pPr>
            <m:oMathPara>
              <m:oMathParaPr>
                <m:jc m:val="left"/>
              </m:oMathParaPr>
              <m:oMath>
                <m:sSub>
                  <m:sSubPr>
                    <m:ctrlPr>
                      <w:rPr>
                        <w:rFonts w:ascii="Cambria Math" w:hAnsi="Cambria Math" w:eastAsiaTheme="minorEastAsia"/>
                        <w:kern w:val="2"/>
                      </w:rPr>
                    </m:ctrlPr>
                  </m:sSubPr>
                  <m:e>
                    <m:r>
                      <m:rPr/>
                      <w:rPr>
                        <w:rFonts w:ascii="Cambria Math" w:hAnsi="Cambria Math"/>
                        <w:kern w:val="2"/>
                      </w:rPr>
                      <m:t>r</m:t>
                    </m:r>
                    <m:ctrlPr>
                      <w:rPr>
                        <w:rFonts w:ascii="Cambria Math" w:hAnsi="Cambria Math" w:eastAsiaTheme="minorEastAsia"/>
                        <w:kern w:val="2"/>
                      </w:rPr>
                    </m:ctrlPr>
                  </m:e>
                  <m:sub>
                    <m:r>
                      <m:rPr/>
                      <w:rPr>
                        <w:rFonts w:ascii="Cambria Math" w:hAnsi="Cambria Math"/>
                        <w:kern w:val="2"/>
                      </w:rPr>
                      <m:t>itm</m:t>
                    </m:r>
                    <m:ctrlPr>
                      <w:rPr>
                        <w:rFonts w:ascii="Cambria Math" w:hAnsi="Cambria Math" w:eastAsiaTheme="minorEastAsia"/>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rf</m:t>
                    </m:r>
                    <m:ctrlPr>
                      <w:rPr>
                        <w:rFonts w:ascii="Cambria Math" w:hAnsi="Cambria Math" w:eastAsiaTheme="minorEastAsia"/>
                        <w:i/>
                        <w:kern w:val="2"/>
                      </w:rPr>
                    </m:ctrlPr>
                  </m:e>
                  <m:sub>
                    <m:r>
                      <m:rPr/>
                      <w:rPr>
                        <w:rFonts w:ascii="Cambria Math" w:hAnsi="Cambria Math"/>
                        <w:kern w:val="2"/>
                      </w:rPr>
                      <m:t>tm</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α</m:t>
                    </m:r>
                    <m:ctrlPr>
                      <w:rPr>
                        <w:rFonts w:ascii="Cambria Math" w:hAnsi="Cambria Math" w:eastAsiaTheme="minorEastAsia"/>
                        <w:i/>
                        <w:kern w:val="2"/>
                      </w:rPr>
                    </m:ctrlPr>
                  </m:e>
                  <m:sub>
                    <m:r>
                      <m:rPr/>
                      <w:rPr>
                        <w:rFonts w:ascii="Cambria Math" w:hAnsi="Cambria Math"/>
                        <w:kern w:val="2"/>
                      </w:rPr>
                      <m:t>i</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β</m:t>
                    </m:r>
                    <m:ctrlPr>
                      <w:rPr>
                        <w:rFonts w:ascii="Cambria Math" w:hAnsi="Cambria Math" w:eastAsiaTheme="minorEastAsia"/>
                        <w:i/>
                        <w:kern w:val="2"/>
                      </w:rPr>
                    </m:ctrlPr>
                  </m:e>
                  <m:sub>
                    <m:r>
                      <m:rPr/>
                      <w:rPr>
                        <w:rFonts w:ascii="Cambria Math" w:hAnsi="Cambria Math"/>
                        <w:kern w:val="2"/>
                      </w:rPr>
                      <m:t>1</m:t>
                    </m:r>
                    <m:ctrlPr>
                      <w:rPr>
                        <w:rFonts w:ascii="Cambria Math" w:hAnsi="Cambria Math" w:eastAsiaTheme="minorEastAsia"/>
                        <w:i/>
                        <w:kern w:val="2"/>
                      </w:rPr>
                    </m:ctrlPr>
                  </m:sub>
                </m:sSub>
                <m:sSub>
                  <m:sSubPr>
                    <m:ctrlPr>
                      <w:rPr>
                        <w:rFonts w:ascii="Cambria Math" w:hAnsi="Cambria Math" w:eastAsiaTheme="minorEastAsia"/>
                        <w:i/>
                        <w:kern w:val="2"/>
                      </w:rPr>
                    </m:ctrlPr>
                  </m:sSubPr>
                  <m:e>
                    <m:r>
                      <m:rPr/>
                      <w:rPr>
                        <w:rFonts w:ascii="Cambria Math" w:hAnsi="Cambria Math"/>
                        <w:kern w:val="2"/>
                      </w:rPr>
                      <m:t>(r</m:t>
                    </m:r>
                    <m:ctrlPr>
                      <w:rPr>
                        <w:rFonts w:ascii="Cambria Math" w:hAnsi="Cambria Math" w:eastAsiaTheme="minorEastAsia"/>
                        <w:i/>
                        <w:kern w:val="2"/>
                      </w:rPr>
                    </m:ctrlPr>
                  </m:e>
                  <m:sub>
                    <m:r>
                      <m:rPr/>
                      <w:rPr>
                        <w:rFonts w:ascii="Cambria Math" w:hAnsi="Cambria Math"/>
                        <w:kern w:val="2"/>
                      </w:rPr>
                      <m:t>Mtm</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rf</m:t>
                    </m:r>
                    <m:ctrlPr>
                      <w:rPr>
                        <w:rFonts w:ascii="Cambria Math" w:hAnsi="Cambria Math" w:eastAsiaTheme="minorEastAsia"/>
                        <w:i/>
                        <w:kern w:val="2"/>
                      </w:rPr>
                    </m:ctrlPr>
                  </m:e>
                  <m:sub>
                    <m:r>
                      <m:rPr/>
                      <w:rPr>
                        <w:rFonts w:ascii="Cambria Math" w:hAnsi="Cambria Math"/>
                        <w:kern w:val="2"/>
                      </w:rPr>
                      <m:t>tm</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β</m:t>
                    </m:r>
                    <m:ctrlPr>
                      <w:rPr>
                        <w:rFonts w:ascii="Cambria Math" w:hAnsi="Cambria Math" w:eastAsiaTheme="minorEastAsia"/>
                        <w:i/>
                        <w:kern w:val="2"/>
                      </w:rPr>
                    </m:ctrlPr>
                  </m:e>
                  <m:sub>
                    <m:r>
                      <m:rPr/>
                      <w:rPr>
                        <w:rFonts w:ascii="Cambria Math" w:hAnsi="Cambria Math"/>
                        <w:kern w:val="2"/>
                      </w:rPr>
                      <m:t>2</m:t>
                    </m:r>
                    <m:ctrlPr>
                      <w:rPr>
                        <w:rFonts w:ascii="Cambria Math" w:hAnsi="Cambria Math" w:eastAsiaTheme="minorEastAsia"/>
                        <w:i/>
                        <w:kern w:val="2"/>
                      </w:rPr>
                    </m:ctrlPr>
                  </m:sub>
                </m:sSub>
                <m:sSub>
                  <m:sSubPr>
                    <m:ctrlPr>
                      <w:rPr>
                        <w:rFonts w:ascii="Cambria Math" w:hAnsi="Cambria Math" w:eastAsiaTheme="minorEastAsia"/>
                        <w:i/>
                        <w:kern w:val="2"/>
                      </w:rPr>
                    </m:ctrlPr>
                  </m:sSubPr>
                  <m:e>
                    <m:r>
                      <m:rPr/>
                      <w:rPr>
                        <w:rFonts w:ascii="Cambria Math" w:hAnsi="Cambria Math"/>
                        <w:kern w:val="2"/>
                      </w:rPr>
                      <m:t>SMB</m:t>
                    </m:r>
                    <m:ctrlPr>
                      <w:rPr>
                        <w:rFonts w:ascii="Cambria Math" w:hAnsi="Cambria Math" w:eastAsiaTheme="minorEastAsia"/>
                        <w:i/>
                        <w:kern w:val="2"/>
                      </w:rPr>
                    </m:ctrlPr>
                  </m:e>
                  <m:sub>
                    <m:r>
                      <m:rPr/>
                      <w:rPr>
                        <w:rFonts w:ascii="Cambria Math" w:hAnsi="Cambria Math"/>
                        <w:kern w:val="2"/>
                      </w:rPr>
                      <m:t>tm</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β</m:t>
                    </m:r>
                    <m:ctrlPr>
                      <w:rPr>
                        <w:rFonts w:ascii="Cambria Math" w:hAnsi="Cambria Math" w:eastAsiaTheme="minorEastAsia"/>
                        <w:i/>
                        <w:kern w:val="2"/>
                      </w:rPr>
                    </m:ctrlPr>
                  </m:e>
                  <m:sub>
                    <m:r>
                      <m:rPr/>
                      <w:rPr>
                        <w:rFonts w:ascii="Cambria Math" w:hAnsi="Cambria Math"/>
                        <w:kern w:val="2"/>
                      </w:rPr>
                      <m:t>3</m:t>
                    </m:r>
                    <m:ctrlPr>
                      <w:rPr>
                        <w:rFonts w:ascii="Cambria Math" w:hAnsi="Cambria Math" w:eastAsiaTheme="minorEastAsia"/>
                        <w:i/>
                        <w:kern w:val="2"/>
                      </w:rPr>
                    </m:ctrlPr>
                  </m:sub>
                </m:sSub>
                <m:sSub>
                  <m:sSubPr>
                    <m:ctrlPr>
                      <w:rPr>
                        <w:rFonts w:ascii="Cambria Math" w:hAnsi="Cambria Math" w:eastAsiaTheme="minorEastAsia"/>
                        <w:i/>
                        <w:kern w:val="2"/>
                      </w:rPr>
                    </m:ctrlPr>
                  </m:sSubPr>
                  <m:e>
                    <m:r>
                      <m:rPr/>
                      <w:rPr>
                        <w:rFonts w:ascii="Cambria Math" w:hAnsi="Cambria Math"/>
                        <w:kern w:val="2"/>
                      </w:rPr>
                      <m:t>HML</m:t>
                    </m:r>
                    <m:ctrlPr>
                      <w:rPr>
                        <w:rFonts w:ascii="Cambria Math" w:hAnsi="Cambria Math" w:eastAsiaTheme="minorEastAsia"/>
                        <w:i/>
                        <w:kern w:val="2"/>
                      </w:rPr>
                    </m:ctrlPr>
                  </m:e>
                  <m:sub>
                    <m:r>
                      <m:rPr/>
                      <w:rPr>
                        <w:rFonts w:ascii="Cambria Math" w:hAnsi="Cambria Math"/>
                        <w:kern w:val="2"/>
                      </w:rPr>
                      <m:t>tm</m:t>
                    </m:r>
                    <m:ctrlPr>
                      <w:rPr>
                        <w:rFonts w:ascii="Cambria Math" w:hAnsi="Cambria Math" w:eastAsiaTheme="minorEastAsia"/>
                        <w:i/>
                        <w:kern w:val="2"/>
                      </w:rPr>
                    </m:ctrlPr>
                  </m:sub>
                </m:sSub>
                <m:r>
                  <m:rPr/>
                  <w:rPr>
                    <w:rFonts w:ascii="Cambria Math" w:hAnsi="Cambria Math"/>
                    <w:kern w:val="2"/>
                  </w:rPr>
                  <m:t>+</m:t>
                </m:r>
                <m:sSub>
                  <m:sSubPr>
                    <m:ctrlPr>
                      <w:rPr>
                        <w:rFonts w:ascii="Cambria Math" w:hAnsi="Cambria Math" w:eastAsiaTheme="minorEastAsia"/>
                        <w:i/>
                        <w:kern w:val="2"/>
                      </w:rPr>
                    </m:ctrlPr>
                  </m:sSubPr>
                  <m:e>
                    <m:r>
                      <m:rPr/>
                      <w:rPr>
                        <w:rFonts w:ascii="Cambria Math" w:hAnsi="Cambria Math"/>
                        <w:kern w:val="2"/>
                      </w:rPr>
                      <m:t>ε</m:t>
                    </m:r>
                    <m:ctrlPr>
                      <w:rPr>
                        <w:rFonts w:ascii="Cambria Math" w:hAnsi="Cambria Math" w:eastAsiaTheme="minorEastAsia"/>
                        <w:i/>
                        <w:kern w:val="2"/>
                      </w:rPr>
                    </m:ctrlPr>
                  </m:e>
                  <m:sub>
                    <m:r>
                      <m:rPr/>
                      <w:rPr>
                        <w:rFonts w:ascii="Cambria Math" w:hAnsi="Cambria Math"/>
                        <w:kern w:val="2"/>
                      </w:rPr>
                      <m:t>itm</m:t>
                    </m:r>
                    <m:ctrlPr>
                      <w:rPr>
                        <w:rFonts w:ascii="Cambria Math" w:hAnsi="Cambria Math" w:eastAsiaTheme="minorEastAsia"/>
                        <w:i/>
                        <w:kern w:val="2"/>
                      </w:rPr>
                    </m:ctrlPr>
                  </m:sub>
                </m:sSub>
              </m:oMath>
            </m:oMathPara>
          </w:p>
        </w:tc>
        <w:tc>
          <w:tcPr>
            <w:tcW w:w="737" w:type="dxa"/>
            <w:vAlign w:val="center"/>
          </w:tcPr>
          <w:p w14:paraId="73E75C77">
            <w:pPr>
              <w:spacing w:line="360" w:lineRule="auto"/>
              <w:jc w:val="center"/>
              <w:rPr>
                <w:kern w:val="2"/>
              </w:rPr>
            </w:pPr>
          </w:p>
        </w:tc>
      </w:tr>
      <w:tr w14:paraId="07C2D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98" w:type="dxa"/>
            <w:vAlign w:val="center"/>
          </w:tcPr>
          <w:p w14:paraId="7B799CF7">
            <w:pPr>
              <w:spacing w:line="360" w:lineRule="auto"/>
              <w:rPr>
                <w:kern w:val="2"/>
              </w:rPr>
            </w:pPr>
            <m:oMathPara>
              <m:oMathParaPr>
                <m:jc m:val="left"/>
              </m:oMathParaPr>
              <m:oMath>
                <m:sSub>
                  <m:sSubPr>
                    <m:ctrlPr>
                      <w:rPr>
                        <w:rFonts w:ascii="Cambria Math" w:hAnsi="Cambria Math" w:eastAsiaTheme="minorEastAsia"/>
                        <w:kern w:val="2"/>
                      </w:rPr>
                    </m:ctrlPr>
                  </m:sSubPr>
                  <m:e>
                    <m:r>
                      <m:rPr/>
                      <w:rPr>
                        <w:rFonts w:ascii="Cambria Math" w:hAnsi="Cambria Math"/>
                        <w:kern w:val="2"/>
                      </w:rPr>
                      <m:t>IV</m:t>
                    </m:r>
                    <m:ctrlPr>
                      <w:rPr>
                        <w:rFonts w:ascii="Cambria Math" w:hAnsi="Cambria Math" w:eastAsiaTheme="minorEastAsia"/>
                        <w:kern w:val="2"/>
                      </w:rPr>
                    </m:ctrlPr>
                  </m:e>
                  <m:sub>
                    <m:r>
                      <m:rPr/>
                      <w:rPr>
                        <w:rFonts w:ascii="Cambria Math" w:hAnsi="Cambria Math"/>
                        <w:kern w:val="2"/>
                      </w:rPr>
                      <m:t>im</m:t>
                    </m:r>
                    <m:ctrlPr>
                      <w:rPr>
                        <w:rFonts w:ascii="Cambria Math" w:hAnsi="Cambria Math" w:eastAsiaTheme="minorEastAsia"/>
                        <w:kern w:val="2"/>
                      </w:rPr>
                    </m:ctrlPr>
                  </m:sub>
                </m:sSub>
                <m:r>
                  <m:rPr/>
                  <w:rPr>
                    <w:rFonts w:ascii="Cambria Math" w:hAnsi="Cambria Math"/>
                    <w:kern w:val="2"/>
                  </w:rPr>
                  <m:t xml:space="preserve">= </m:t>
                </m:r>
                <m:rad>
                  <m:radPr>
                    <m:degHide m:val="1"/>
                    <m:ctrlPr>
                      <w:rPr>
                        <w:rFonts w:ascii="Cambria Math" w:hAnsi="Cambria Math" w:eastAsiaTheme="minorEastAsia"/>
                        <w:i/>
                        <w:kern w:val="2"/>
                      </w:rPr>
                    </m:ctrlPr>
                  </m:radPr>
                  <m:deg>
                    <m:ctrlPr>
                      <w:rPr>
                        <w:rFonts w:ascii="Cambria Math" w:hAnsi="Cambria Math" w:eastAsiaTheme="minorEastAsia"/>
                        <w:i/>
                        <w:kern w:val="2"/>
                      </w:rPr>
                    </m:ctrlPr>
                  </m:deg>
                  <m:e>
                    <m:sSub>
                      <m:sSubPr>
                        <m:ctrlPr>
                          <w:rPr>
                            <w:rFonts w:ascii="Cambria Math" w:hAnsi="Cambria Math" w:eastAsiaTheme="minorEastAsia"/>
                            <w:i/>
                            <w:kern w:val="2"/>
                          </w:rPr>
                        </m:ctrlPr>
                      </m:sSubPr>
                      <m:e>
                        <m:r>
                          <m:rPr/>
                          <w:rPr>
                            <w:rFonts w:ascii="Cambria Math" w:hAnsi="Cambria Math"/>
                            <w:kern w:val="2"/>
                          </w:rPr>
                          <m:t>var(ε</m:t>
                        </m:r>
                        <m:ctrlPr>
                          <w:rPr>
                            <w:rFonts w:ascii="Cambria Math" w:hAnsi="Cambria Math" w:eastAsiaTheme="minorEastAsia"/>
                            <w:i/>
                            <w:kern w:val="2"/>
                          </w:rPr>
                        </m:ctrlPr>
                      </m:e>
                      <m:sub>
                        <m:r>
                          <m:rPr/>
                          <w:rPr>
                            <w:rFonts w:ascii="Cambria Math" w:hAnsi="Cambria Math"/>
                            <w:kern w:val="2"/>
                          </w:rPr>
                          <m:t>it</m:t>
                        </m:r>
                        <m:r>
                          <m:rPr/>
                          <w:rPr>
                            <w:rFonts w:hint="eastAsia" w:ascii="Cambria Math" w:hAnsi="Cambria Math"/>
                            <w:kern w:val="2"/>
                          </w:rPr>
                          <m:t>m</m:t>
                        </m:r>
                        <m:ctrlPr>
                          <w:rPr>
                            <w:rFonts w:ascii="Cambria Math" w:hAnsi="Cambria Math" w:eastAsiaTheme="minorEastAsia"/>
                            <w:i/>
                            <w:kern w:val="2"/>
                          </w:rPr>
                        </m:ctrlPr>
                      </m:sub>
                    </m:sSub>
                    <m:r>
                      <m:rPr/>
                      <w:rPr>
                        <w:rFonts w:ascii="Cambria Math" w:hAnsi="Cambria Math"/>
                        <w:kern w:val="2"/>
                      </w:rPr>
                      <m:t>)</m:t>
                    </m:r>
                    <m:ctrlPr>
                      <w:rPr>
                        <w:rFonts w:ascii="Cambria Math" w:hAnsi="Cambria Math" w:eastAsiaTheme="minorEastAsia"/>
                        <w:i/>
                        <w:kern w:val="2"/>
                      </w:rPr>
                    </m:ctrlPr>
                  </m:e>
                </m:rad>
              </m:oMath>
            </m:oMathPara>
          </w:p>
        </w:tc>
        <w:tc>
          <w:tcPr>
            <w:tcW w:w="737" w:type="dxa"/>
            <w:vAlign w:val="center"/>
          </w:tcPr>
          <w:p w14:paraId="0387B1F6">
            <w:pPr>
              <w:spacing w:line="360" w:lineRule="auto"/>
              <w:jc w:val="center"/>
              <w:rPr>
                <w:kern w:val="2"/>
              </w:rPr>
            </w:pPr>
          </w:p>
        </w:tc>
      </w:tr>
    </w:tbl>
    <w:p w14:paraId="4C340EF1">
      <w:pPr>
        <w:spacing w:line="360" w:lineRule="auto"/>
        <w:jc w:val="both"/>
      </w:pPr>
      <w:r>
        <w:rPr>
          <w:rFonts w:hint="eastAsia"/>
        </w:rPr>
        <w:t>其中，</w:t>
      </w:r>
      <m:oMath>
        <m:sSub>
          <m:sSubPr>
            <m:ctrlPr>
              <w:rPr>
                <w:rFonts w:ascii="Cambria Math" w:hAnsi="Cambria Math" w:eastAsiaTheme="minorEastAsia"/>
              </w:rPr>
            </m:ctrlPr>
          </m:sSubPr>
          <m:e>
            <m:r>
              <m:rPr/>
              <w:rPr>
                <w:rFonts w:ascii="Cambria Math" w:hAnsi="Cambria Math"/>
              </w:rPr>
              <m:t>r</m:t>
            </m:r>
            <m:ctrlPr>
              <w:rPr>
                <w:rFonts w:ascii="Cambria Math" w:hAnsi="Cambria Math" w:eastAsiaTheme="minorEastAsia"/>
              </w:rPr>
            </m:ctrlPr>
          </m:e>
          <m:sub>
            <m:r>
              <m:rPr/>
              <w:rPr>
                <w:rFonts w:ascii="Cambria Math" w:hAnsi="Cambria Math"/>
              </w:rPr>
              <m:t>itm</m:t>
            </m:r>
            <m:ctrlPr>
              <w:rPr>
                <w:rFonts w:ascii="Cambria Math" w:hAnsi="Cambria Math" w:eastAsiaTheme="minorEastAsia"/>
              </w:rPr>
            </m:ctrlPr>
          </m:sub>
        </m:sSub>
      </m:oMath>
      <w:r>
        <w:rPr>
          <w:rFonts w:hint="eastAsia"/>
        </w:rPr>
        <w:t>是第i支股票在m月第t天的收益率，</w:t>
      </w:r>
      <m:oMath>
        <m:sSub>
          <m:sSubPr>
            <m:ctrlPr>
              <w:rPr>
                <w:rFonts w:ascii="Cambria Math" w:hAnsi="Cambria Math" w:eastAsiaTheme="minorEastAsia"/>
                <w:i/>
              </w:rPr>
            </m:ctrlPr>
          </m:sSubPr>
          <m:e>
            <m:r>
              <m:rPr/>
              <w:rPr>
                <w:rFonts w:ascii="Cambria Math" w:hAnsi="Cambria Math"/>
              </w:rPr>
              <m:t>rf</m:t>
            </m:r>
            <m:ctrlPr>
              <w:rPr>
                <w:rFonts w:ascii="Cambria Math" w:hAnsi="Cambria Math" w:eastAsiaTheme="minorEastAsia"/>
                <w:i/>
              </w:rPr>
            </m:ctrlPr>
          </m:e>
          <m:sub>
            <m:r>
              <m:rPr/>
              <w:rPr>
                <w:rFonts w:ascii="Cambria Math" w:hAnsi="Cambria Math"/>
              </w:rPr>
              <m:t>tm</m:t>
            </m:r>
            <m:ctrlPr>
              <w:rPr>
                <w:rFonts w:ascii="Cambria Math" w:hAnsi="Cambria Math" w:eastAsiaTheme="minorEastAsia"/>
                <w:i/>
              </w:rPr>
            </m:ctrlPr>
          </m:sub>
        </m:sSub>
      </m:oMath>
      <w:r>
        <w:rPr>
          <w:rFonts w:hint="eastAsia"/>
        </w:rPr>
        <w:t>是对应的无风险收益率，</w:t>
      </w:r>
      <m:oMath>
        <m:sSub>
          <m:sSubPr>
            <m:ctrlPr>
              <w:rPr>
                <w:rFonts w:ascii="Cambria Math" w:hAnsi="Cambria Math" w:eastAsiaTheme="minorEastAsia"/>
                <w:i/>
              </w:rPr>
            </m:ctrlPr>
          </m:sSubPr>
          <m:e>
            <m:r>
              <m:rPr/>
              <w:rPr>
                <w:rFonts w:ascii="Cambria Math" w:hAnsi="Cambria Math"/>
              </w:rPr>
              <m:t>r</m:t>
            </m:r>
            <m:ctrlPr>
              <w:rPr>
                <w:rFonts w:ascii="Cambria Math" w:hAnsi="Cambria Math" w:eastAsiaTheme="minorEastAsia"/>
                <w:i/>
              </w:rPr>
            </m:ctrlPr>
          </m:e>
          <m:sub>
            <m:r>
              <m:rPr/>
              <w:rPr>
                <w:rFonts w:ascii="Cambria Math" w:hAnsi="Cambria Math"/>
              </w:rPr>
              <m:t>Mtm</m:t>
            </m:r>
            <m:ctrlPr>
              <w:rPr>
                <w:rFonts w:ascii="Cambria Math" w:hAnsi="Cambria Math" w:eastAsiaTheme="minorEastAsia"/>
                <w:i/>
              </w:rPr>
            </m:ctrlPr>
          </m:sub>
        </m:sSub>
      </m:oMath>
      <w:r>
        <w:rPr>
          <w:rFonts w:hint="eastAsia"/>
        </w:rPr>
        <w:t>是m月第t天的市场收益率，</w:t>
      </w:r>
      <m:oMath>
        <m:sSub>
          <m:sSubPr>
            <m:ctrlPr>
              <w:rPr>
                <w:rFonts w:ascii="Cambria Math" w:hAnsi="Cambria Math" w:eastAsiaTheme="minorEastAsia"/>
                <w:i/>
              </w:rPr>
            </m:ctrlPr>
          </m:sSubPr>
          <m:e>
            <m:r>
              <m:rPr/>
              <w:rPr>
                <w:rFonts w:ascii="Cambria Math" w:hAnsi="Cambria Math"/>
              </w:rPr>
              <m:t>SMB</m:t>
            </m:r>
            <m:ctrlPr>
              <w:rPr>
                <w:rFonts w:ascii="Cambria Math" w:hAnsi="Cambria Math" w:eastAsiaTheme="minorEastAsia"/>
                <w:i/>
              </w:rPr>
            </m:ctrlPr>
          </m:e>
          <m:sub>
            <m:r>
              <m:rPr/>
              <w:rPr>
                <w:rFonts w:ascii="Cambria Math" w:hAnsi="Cambria Math"/>
              </w:rPr>
              <m:t>tm</m:t>
            </m:r>
            <m:ctrlPr>
              <w:rPr>
                <w:rFonts w:ascii="Cambria Math" w:hAnsi="Cambria Math" w:eastAsiaTheme="minorEastAsia"/>
                <w:i/>
              </w:rPr>
            </m:ctrlPr>
          </m:sub>
        </m:sSub>
      </m:oMath>
      <w:r>
        <w:rPr>
          <w:rFonts w:hint="eastAsia"/>
        </w:rPr>
        <w:t>和</w:t>
      </w:r>
      <m:oMath>
        <m:sSub>
          <m:sSubPr>
            <m:ctrlPr>
              <w:rPr>
                <w:rFonts w:ascii="Cambria Math" w:hAnsi="Cambria Math" w:eastAsiaTheme="minorEastAsia"/>
                <w:i/>
              </w:rPr>
            </m:ctrlPr>
          </m:sSubPr>
          <m:e>
            <m:r>
              <m:rPr/>
              <w:rPr>
                <w:rFonts w:ascii="Cambria Math" w:hAnsi="Cambria Math"/>
              </w:rPr>
              <m:t>HML</m:t>
            </m:r>
            <m:ctrlPr>
              <w:rPr>
                <w:rFonts w:ascii="Cambria Math" w:hAnsi="Cambria Math" w:eastAsiaTheme="minorEastAsia"/>
                <w:i/>
              </w:rPr>
            </m:ctrlPr>
          </m:e>
          <m:sub>
            <m:r>
              <m:rPr/>
              <w:rPr>
                <w:rFonts w:ascii="Cambria Math" w:hAnsi="Cambria Math"/>
              </w:rPr>
              <m:t>tm</m:t>
            </m:r>
            <m:ctrlPr>
              <w:rPr>
                <w:rFonts w:ascii="Cambria Math" w:hAnsi="Cambria Math" w:eastAsiaTheme="minorEastAsia"/>
                <w:i/>
              </w:rPr>
            </m:ctrlPr>
          </m:sub>
        </m:sSub>
      </m:oMath>
      <w:r>
        <w:rPr>
          <w:rFonts w:hint="eastAsia"/>
        </w:rPr>
        <w:t>为对应的F</w:t>
      </w:r>
      <w:r>
        <w:t>ama-French</w:t>
      </w:r>
      <w:r>
        <w:rPr>
          <w:rFonts w:hint="eastAsia"/>
        </w:rPr>
        <w:t>因子。</w:t>
      </w:r>
    </w:p>
    <w:p w14:paraId="547A675C">
      <w:pPr>
        <w:spacing w:line="360" w:lineRule="auto"/>
        <w:jc w:val="both"/>
      </w:pPr>
    </w:p>
    <w:p w14:paraId="5867A7B5">
      <w:pPr>
        <w:spacing w:line="360" w:lineRule="auto"/>
        <w:jc w:val="both"/>
      </w:pPr>
      <w:r>
        <w:rPr>
          <w:rFonts w:hint="eastAsia"/>
          <w:b/>
          <w:bCs/>
        </w:rPr>
        <w:t>特质波动率之谜</w:t>
      </w:r>
      <w:r>
        <w:rPr>
          <w:rFonts w:hint="eastAsia"/>
        </w:rPr>
        <w:t>：</w:t>
      </w:r>
      <w:r>
        <w:rPr>
          <w:rFonts w:hint="eastAsia"/>
          <w:highlight w:val="lightGray"/>
        </w:rPr>
        <w:t>滞后的特质波动率</w:t>
      </w:r>
      <w:r>
        <w:rPr>
          <w:rFonts w:hint="eastAsia"/>
        </w:rPr>
        <w:t>与</w:t>
      </w:r>
      <w:r>
        <w:rPr>
          <w:rFonts w:hint="eastAsia"/>
          <w:highlight w:val="lightGray"/>
        </w:rPr>
        <w:t>预期收益率</w:t>
      </w:r>
      <w:r>
        <w:rPr>
          <w:rFonts w:hint="eastAsia"/>
        </w:rPr>
        <w:t>之间</w:t>
      </w:r>
      <w:r>
        <w:rPr>
          <w:rFonts w:hint="eastAsia"/>
          <w:highlight w:val="lightGray"/>
        </w:rPr>
        <w:t>存在负向关系</w:t>
      </w:r>
      <w:r>
        <w:rPr>
          <w:rFonts w:hint="eastAsia"/>
        </w:rPr>
        <w:t>, 并把这种实证中的负向关系与理论模型中的正向关系相违背的现象视为“特质波动率之谜”。</w:t>
      </w:r>
    </w:p>
    <w:p w14:paraId="1D18C748">
      <w:pPr>
        <w:spacing w:line="360" w:lineRule="auto"/>
        <w:jc w:val="both"/>
      </w:pPr>
      <w:r>
        <w:rPr>
          <w:rFonts w:hint="eastAsia"/>
        </w:rPr>
        <w:t>现要求基于特质波动率构建量化策略：</w:t>
      </w:r>
    </w:p>
    <w:p w14:paraId="3D57EA92">
      <w:pPr>
        <w:spacing w:line="360" w:lineRule="auto"/>
        <w:jc w:val="both"/>
      </w:pPr>
      <w:r>
        <w:rPr>
          <w:rFonts w:hint="eastAsia"/>
        </w:rPr>
        <w:t>（1）基于A股上市公司近1</w:t>
      </w:r>
      <w:r>
        <w:t>0</w:t>
      </w:r>
      <w:r>
        <w:rPr>
          <w:rFonts w:hint="eastAsia"/>
        </w:rPr>
        <w:t>年的数据，</w:t>
      </w:r>
      <w:r>
        <w:rPr>
          <w:rFonts w:hint="eastAsia"/>
          <w:highlight w:val="lightGray"/>
        </w:rPr>
        <w:t>以特质波动率为因子</w:t>
      </w:r>
      <w:r>
        <w:rPr>
          <w:rFonts w:hint="eastAsia"/>
        </w:rPr>
        <w:t>构建投资组合，每月最后一个交易日调仓一次，卖出当前持有股票，买入新股票。</w:t>
      </w:r>
    </w:p>
    <w:p w14:paraId="49A4803E">
      <w:pPr>
        <w:spacing w:line="360" w:lineRule="auto"/>
        <w:jc w:val="both"/>
      </w:pPr>
      <w:r>
        <w:rPr>
          <w:rFonts w:hint="eastAsia"/>
          <w:color w:val="FF0000"/>
        </w:rPr>
        <w:t>例如：以</w:t>
      </w:r>
      <w:r>
        <w:rPr>
          <w:color w:val="FF0000"/>
        </w:rPr>
        <w:t>2024</w:t>
      </w:r>
      <w:r>
        <w:rPr>
          <w:rFonts w:hint="eastAsia"/>
          <w:color w:val="FF0000"/>
        </w:rPr>
        <w:t>年1</w:t>
      </w:r>
      <w:r>
        <w:rPr>
          <w:color w:val="FF0000"/>
        </w:rPr>
        <w:t>1</w:t>
      </w:r>
      <w:r>
        <w:rPr>
          <w:rFonts w:hint="eastAsia"/>
          <w:color w:val="FF0000"/>
        </w:rPr>
        <w:t>月2</w:t>
      </w:r>
      <w:r>
        <w:rPr>
          <w:color w:val="FF0000"/>
        </w:rPr>
        <w:t>9</w:t>
      </w:r>
      <w:r>
        <w:rPr>
          <w:rFonts w:hint="eastAsia"/>
          <w:color w:val="FF0000"/>
        </w:rPr>
        <w:t>日为例，该日期为2</w:t>
      </w:r>
      <w:r>
        <w:rPr>
          <w:color w:val="FF0000"/>
        </w:rPr>
        <w:t>4</w:t>
      </w:r>
      <w:r>
        <w:rPr>
          <w:rFonts w:hint="eastAsia"/>
          <w:color w:val="FF0000"/>
        </w:rPr>
        <w:t>年1</w:t>
      </w:r>
      <w:r>
        <w:rPr>
          <w:color w:val="FF0000"/>
        </w:rPr>
        <w:t>1</w:t>
      </w:r>
      <w:r>
        <w:rPr>
          <w:rFonts w:hint="eastAsia"/>
          <w:color w:val="FF0000"/>
        </w:rPr>
        <w:t>月最后一个交易日，我们</w:t>
      </w:r>
      <w:r>
        <w:rPr>
          <w:rFonts w:hint="eastAsia"/>
          <w:color w:val="FF0000"/>
          <w:highlight w:val="lightGray"/>
        </w:rPr>
        <w:t>在该天计算每一支股票的特质波动率</w:t>
      </w:r>
      <w:r>
        <w:rPr>
          <w:rFonts w:hint="eastAsia"/>
          <w:color w:val="FF0000"/>
        </w:rPr>
        <w:t>，然后基于特质波动率值的大小，将股票</w:t>
      </w:r>
      <w:r>
        <w:rPr>
          <w:rFonts w:hint="eastAsia"/>
          <w:color w:val="FF0000"/>
          <w:highlight w:val="lightGray"/>
        </w:rPr>
        <w:t>分为3</w:t>
      </w:r>
      <w:r>
        <w:rPr>
          <w:color w:val="FF0000"/>
          <w:highlight w:val="lightGray"/>
        </w:rPr>
        <w:t>0</w:t>
      </w:r>
      <w:r>
        <w:rPr>
          <w:rFonts w:hint="eastAsia"/>
          <w:color w:val="FF0000"/>
          <w:highlight w:val="lightGray"/>
        </w:rPr>
        <w:t>组</w:t>
      </w:r>
      <w:r>
        <w:rPr>
          <w:rFonts w:hint="eastAsia"/>
          <w:color w:val="FF0000"/>
        </w:rPr>
        <w:t>，构建3</w:t>
      </w:r>
      <w:r>
        <w:rPr>
          <w:color w:val="FF0000"/>
        </w:rPr>
        <w:t>0</w:t>
      </w:r>
      <w:r>
        <w:rPr>
          <w:rFonts w:hint="eastAsia"/>
          <w:color w:val="FF0000"/>
        </w:rPr>
        <w:t>个投资组合，且</w:t>
      </w:r>
      <w:r>
        <w:rPr>
          <w:rFonts w:hint="eastAsia"/>
          <w:color w:val="FF0000"/>
          <w:highlight w:val="lightGray"/>
        </w:rPr>
        <w:t>组合为等权重的</w:t>
      </w:r>
      <w:r>
        <w:rPr>
          <w:rFonts w:hint="eastAsia"/>
          <w:color w:val="FF0000"/>
        </w:rPr>
        <w:t>。每一组合我们持有一个月，一直到2</w:t>
      </w:r>
      <w:r>
        <w:rPr>
          <w:color w:val="FF0000"/>
        </w:rPr>
        <w:t>024</w:t>
      </w:r>
      <w:r>
        <w:rPr>
          <w:rFonts w:hint="eastAsia"/>
          <w:color w:val="FF0000"/>
        </w:rPr>
        <w:t>年1</w:t>
      </w:r>
      <w:r>
        <w:rPr>
          <w:color w:val="FF0000"/>
        </w:rPr>
        <w:t>2</w:t>
      </w:r>
      <w:r>
        <w:rPr>
          <w:rFonts w:hint="eastAsia"/>
          <w:color w:val="FF0000"/>
        </w:rPr>
        <w:t>月3</w:t>
      </w:r>
      <w:r>
        <w:rPr>
          <w:color w:val="FF0000"/>
        </w:rPr>
        <w:t>1</w:t>
      </w:r>
      <w:r>
        <w:rPr>
          <w:rFonts w:hint="eastAsia"/>
          <w:color w:val="FF0000"/>
        </w:rPr>
        <w:t>日（1</w:t>
      </w:r>
      <w:r>
        <w:rPr>
          <w:color w:val="FF0000"/>
        </w:rPr>
        <w:t>2</w:t>
      </w:r>
      <w:r>
        <w:rPr>
          <w:rFonts w:hint="eastAsia"/>
          <w:color w:val="FF0000"/>
        </w:rPr>
        <w:t>月的最后一个交易日），卖出当前持有的股票，并买入新的组合的股票（不考虑交易成本，且假定</w:t>
      </w:r>
      <w:r>
        <w:rPr>
          <w:rFonts w:hint="eastAsia"/>
          <w:color w:val="FF0000"/>
          <w:highlight w:val="lightGray"/>
        </w:rPr>
        <w:t>以卖出的资金量买入新的组合</w:t>
      </w:r>
      <w:r>
        <w:rPr>
          <w:rFonts w:hint="eastAsia"/>
          <w:color w:val="FF0000"/>
        </w:rPr>
        <w:t>）</w:t>
      </w:r>
      <w:r>
        <w:rPr>
          <w:rFonts w:hint="eastAsia"/>
        </w:rPr>
        <w:t>；</w:t>
      </w:r>
    </w:p>
    <w:p w14:paraId="3D798C06">
      <w:pPr>
        <w:spacing w:line="360" w:lineRule="auto"/>
        <w:jc w:val="both"/>
      </w:pPr>
      <w:r>
        <w:t>（2）</w:t>
      </w:r>
      <w:r>
        <w:rPr>
          <w:rFonts w:hint="eastAsia"/>
        </w:rPr>
        <w:t>每</w:t>
      </w:r>
      <w:r>
        <w:t>一期持有的股票中</w:t>
      </w:r>
      <w:r>
        <w:rPr>
          <w:highlight w:val="lightGray"/>
        </w:rPr>
        <w:t>不含有</w:t>
      </w:r>
      <w:r>
        <w:rPr>
          <w:rFonts w:hint="eastAsia"/>
          <w:highlight w:val="lightGray"/>
        </w:rPr>
        <w:t>S</w:t>
      </w:r>
      <w:r>
        <w:rPr>
          <w:highlight w:val="lightGray"/>
        </w:rPr>
        <w:t>T类股票</w:t>
      </w:r>
      <w:r>
        <w:t>；</w:t>
      </w:r>
    </w:p>
    <w:p w14:paraId="54252FF1">
      <w:pPr>
        <w:spacing w:line="360" w:lineRule="auto"/>
        <w:jc w:val="both"/>
      </w:pPr>
      <w:r>
        <w:t>（3</w:t>
      </w:r>
      <w:r>
        <w:rPr>
          <w:rFonts w:hint="eastAsia"/>
        </w:rPr>
        <w:t>）进行调仓或者买入时</w:t>
      </w:r>
      <w:r>
        <w:rPr>
          <w:rFonts w:hint="eastAsia"/>
          <w:highlight w:val="lightGray"/>
        </w:rPr>
        <w:t>不包含当天涨停或跌停的股票</w:t>
      </w:r>
      <w:r>
        <w:rPr>
          <w:rFonts w:hint="eastAsia"/>
        </w:rPr>
        <w:t>；</w:t>
      </w:r>
    </w:p>
    <w:p w14:paraId="777B63CA">
      <w:pPr>
        <w:spacing w:line="360" w:lineRule="auto"/>
        <w:jc w:val="both"/>
      </w:pPr>
      <w:r>
        <w:rPr>
          <w:rFonts w:hint="eastAsia"/>
        </w:rPr>
        <w:t>（4）不包含金融行业的股票；</w:t>
      </w:r>
    </w:p>
    <w:p w14:paraId="3B10DE9B">
      <w:pPr>
        <w:spacing w:line="360" w:lineRule="auto"/>
        <w:jc w:val="both"/>
      </w:pPr>
    </w:p>
    <w:p w14:paraId="6669A9D0">
      <w:pPr>
        <w:spacing w:line="360" w:lineRule="auto"/>
        <w:jc w:val="both"/>
        <w:rPr>
          <w:b/>
          <w:bCs/>
        </w:rPr>
      </w:pPr>
      <w:r>
        <w:rPr>
          <w:rFonts w:hint="eastAsia"/>
          <w:b/>
          <w:bCs/>
        </w:rPr>
        <w:t>1</w:t>
      </w:r>
      <w:r>
        <w:rPr>
          <w:b/>
          <w:bCs/>
        </w:rPr>
        <w:t xml:space="preserve">. </w:t>
      </w:r>
      <w:r>
        <w:rPr>
          <w:rFonts w:hint="eastAsia"/>
          <w:b/>
          <w:bCs/>
        </w:rPr>
        <w:t>基于上述思路，要求大家构建一个</w:t>
      </w:r>
      <w:r>
        <w:rPr>
          <w:rFonts w:hint="eastAsia"/>
          <w:b/>
          <w:bCs/>
          <w:highlight w:val="lightGray"/>
        </w:rPr>
        <w:t>基于特质波动率的量化策略类</w:t>
      </w:r>
      <w:r>
        <w:rPr>
          <w:rFonts w:hint="eastAsia"/>
          <w:b/>
          <w:bCs/>
        </w:rPr>
        <w:t>，要求：</w:t>
      </w:r>
    </w:p>
    <w:p w14:paraId="7A25B100">
      <w:pPr>
        <w:spacing w:line="360" w:lineRule="auto"/>
        <w:jc w:val="both"/>
        <w:rPr>
          <w:b/>
          <w:bCs/>
        </w:rPr>
      </w:pPr>
      <w:r>
        <w:rPr>
          <w:rFonts w:hint="eastAsia"/>
          <w:b/>
          <w:bCs/>
        </w:rPr>
        <w:t>（1）这个类能够完成上述投资组合的构建（有组合构建方法，体现出相应的数据筛选）（1</w:t>
      </w:r>
      <w:r>
        <w:rPr>
          <w:b/>
          <w:bCs/>
        </w:rPr>
        <w:t>0</w:t>
      </w:r>
      <w:r>
        <w:rPr>
          <w:rFonts w:hint="eastAsia"/>
          <w:b/>
          <w:bCs/>
        </w:rPr>
        <w:t>分）</w:t>
      </w:r>
    </w:p>
    <w:p w14:paraId="7B2752BC">
      <w:pPr>
        <w:spacing w:line="360" w:lineRule="auto"/>
        <w:jc w:val="both"/>
        <w:rPr>
          <w:b/>
          <w:bCs/>
        </w:rPr>
      </w:pPr>
      <w:r>
        <w:t xml:space="preserve"> </w:t>
      </w:r>
      <w:r>
        <w:rPr>
          <w:rFonts w:hint="eastAsia"/>
          <w:b/>
          <w:bCs/>
        </w:rPr>
        <w:t>（2）计算3</w:t>
      </w:r>
      <w:r>
        <w:rPr>
          <w:b/>
          <w:bCs/>
        </w:rPr>
        <w:t>0</w:t>
      </w:r>
      <w:r>
        <w:rPr>
          <w:rFonts w:hint="eastAsia"/>
          <w:b/>
          <w:bCs/>
        </w:rPr>
        <w:t>个组合的</w:t>
      </w:r>
      <w:r>
        <w:rPr>
          <w:rFonts w:hint="eastAsia"/>
          <w:b/>
          <w:bCs/>
          <w:highlight w:val="lightGray"/>
        </w:rPr>
        <w:t>累积收益率</w:t>
      </w:r>
      <w:r>
        <w:rPr>
          <w:rFonts w:hint="eastAsia"/>
          <w:b/>
          <w:bCs/>
        </w:rPr>
        <w:t>，并以折线图的形式进行可视化。（假设我们的初始净值为1）（1</w:t>
      </w:r>
      <w:r>
        <w:rPr>
          <w:b/>
          <w:bCs/>
        </w:rPr>
        <w:t>0</w:t>
      </w:r>
      <w:r>
        <w:rPr>
          <w:rFonts w:hint="eastAsia"/>
          <w:b/>
          <w:bCs/>
        </w:rPr>
        <w:t>分）</w:t>
      </w:r>
    </w:p>
    <w:p w14:paraId="5B19E065">
      <w:pPr>
        <w:spacing w:line="360" w:lineRule="auto"/>
        <w:jc w:val="both"/>
      </w:pPr>
      <m:oMathPara>
        <m:oMath>
          <m:sSub>
            <m:sSubPr>
              <m:ctrlPr>
                <w:rPr>
                  <w:rFonts w:ascii="Cambria Math" w:hAnsi="Cambria Math"/>
                  <w:i/>
                </w:rPr>
              </m:ctrlPr>
            </m:sSubPr>
            <m:e>
              <m:r>
                <m:rPr/>
                <w:rPr>
                  <w:rFonts w:ascii="Cambria Math" w:hAnsi="Cambria Math"/>
                </w:rPr>
                <m:t>Crt</m:t>
              </m:r>
              <m:ctrlPr>
                <w:rPr>
                  <w:rFonts w:ascii="Cambria Math" w:hAnsi="Cambria Math"/>
                  <w:i/>
                </w:rPr>
              </m:ctrlPr>
            </m:e>
            <m:sub>
              <m:r>
                <m:rPr/>
                <w:rPr>
                  <w:rFonts w:ascii="Cambria Math" w:hAnsi="Cambria Math"/>
                </w:rPr>
                <m:t>i,t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Crt</m:t>
              </m:r>
              <m:ctrlPr>
                <w:rPr>
                  <w:rFonts w:ascii="Cambria Math" w:hAnsi="Cambria Math"/>
                  <w:i/>
                </w:rPr>
              </m:ctrlPr>
            </m:e>
            <m:sub>
              <m:r>
                <m:rPr/>
                <w:rPr>
                  <w:rFonts w:ascii="Cambria Math" w:hAnsi="Cambria Math"/>
                </w:rPr>
                <m:t>i,t−1</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Prt</m:t>
              </m:r>
              <m:ctrlPr>
                <w:rPr>
                  <w:rFonts w:ascii="Cambria Math" w:hAnsi="Cambria Math"/>
                  <w:i/>
                </w:rPr>
              </m:ctrlPr>
            </m:e>
            <m:sub>
              <m:r>
                <m:rPr/>
                <w:rPr>
                  <w:rFonts w:ascii="Cambria Math" w:hAnsi="Cambria Math"/>
                </w:rPr>
                <m:t>i,t</m:t>
              </m:r>
              <m:ctrlPr>
                <w:rPr>
                  <w:rFonts w:ascii="Cambria Math" w:hAnsi="Cambria Math"/>
                  <w:i/>
                </w:rPr>
              </m:ctrlPr>
            </m:sub>
          </m:sSub>
          <m:r>
            <m:rPr/>
            <w:rPr>
              <w:rFonts w:ascii="Cambria Math" w:hAnsi="Cambria Math"/>
            </w:rPr>
            <m:t>)</m:t>
          </m:r>
        </m:oMath>
      </m:oMathPara>
    </w:p>
    <w:p w14:paraId="4817CD6F">
      <w:pPr>
        <w:spacing w:line="360" w:lineRule="auto"/>
        <w:jc w:val="both"/>
      </w:pPr>
      <w:r>
        <w:rPr>
          <w:rFonts w:hint="eastAsia"/>
        </w:rPr>
        <w:t>其中，</w:t>
      </w:r>
      <m:oMath>
        <m:sSub>
          <m:sSubPr>
            <m:ctrlPr>
              <w:rPr>
                <w:rFonts w:ascii="Cambria Math" w:hAnsi="Cambria Math"/>
                <w:i/>
              </w:rPr>
            </m:ctrlPr>
          </m:sSubPr>
          <m:e>
            <m:r>
              <m:rPr/>
              <w:rPr>
                <w:rFonts w:ascii="Cambria Math" w:hAnsi="Cambria Math"/>
              </w:rPr>
              <m:t>Crt</m:t>
            </m:r>
            <m:ctrlPr>
              <w:rPr>
                <w:rFonts w:ascii="Cambria Math" w:hAnsi="Cambria Math"/>
                <w:i/>
              </w:rPr>
            </m:ctrlPr>
          </m:e>
          <m:sub>
            <m:r>
              <m:rPr/>
              <w:rPr>
                <w:rFonts w:ascii="Cambria Math" w:hAnsi="Cambria Math"/>
              </w:rPr>
              <m:t>i,t</m:t>
            </m:r>
            <m:ctrlPr>
              <w:rPr>
                <w:rFonts w:ascii="Cambria Math" w:hAnsi="Cambria Math"/>
                <w:i/>
              </w:rPr>
            </m:ctrlPr>
          </m:sub>
        </m:sSub>
      </m:oMath>
      <w:r>
        <w:rPr>
          <w:rFonts w:hint="eastAsia"/>
        </w:rPr>
        <w:t>为组合i在第t期的累积收益率，</w:t>
      </w:r>
      <m:oMath>
        <m:sSub>
          <m:sSubPr>
            <m:ctrlPr>
              <w:rPr>
                <w:rFonts w:ascii="Cambria Math" w:hAnsi="Cambria Math"/>
                <w:i/>
              </w:rPr>
            </m:ctrlPr>
          </m:sSubPr>
          <m:e>
            <m:r>
              <m:rPr/>
              <w:rPr>
                <w:rFonts w:ascii="Cambria Math" w:hAnsi="Cambria Math"/>
              </w:rPr>
              <m:t>Prt</m:t>
            </m:r>
            <m:ctrlPr>
              <w:rPr>
                <w:rFonts w:ascii="Cambria Math" w:hAnsi="Cambria Math"/>
                <w:i/>
              </w:rPr>
            </m:ctrlPr>
          </m:e>
          <m:sub>
            <m:r>
              <m:rPr/>
              <w:rPr>
                <w:rFonts w:ascii="Cambria Math" w:hAnsi="Cambria Math"/>
              </w:rPr>
              <m:t>i,t</m:t>
            </m:r>
            <m:ctrlPr>
              <w:rPr>
                <w:rFonts w:ascii="Cambria Math" w:hAnsi="Cambria Math"/>
                <w:i/>
              </w:rPr>
            </m:ctrlPr>
          </m:sub>
        </m:sSub>
      </m:oMath>
      <w:r>
        <w:rPr>
          <w:rFonts w:hint="eastAsia"/>
        </w:rPr>
        <w:t>为组合i在第t期的当期收益率。</w:t>
      </w:r>
    </w:p>
    <w:p w14:paraId="09BC2017">
      <w:pPr>
        <w:spacing w:line="360" w:lineRule="auto"/>
        <w:jc w:val="both"/>
      </w:pPr>
      <w:r>
        <w:rPr>
          <w:rFonts w:hint="eastAsia"/>
        </w:rPr>
        <w:t>折线图要求为如下形式，呈现出3</w:t>
      </w:r>
      <w:r>
        <w:t>0</w:t>
      </w:r>
      <w:r>
        <w:rPr>
          <w:rFonts w:hint="eastAsia"/>
        </w:rPr>
        <w:t>个投资组合</w:t>
      </w:r>
    </w:p>
    <w:p w14:paraId="704E4B49">
      <w:pPr>
        <w:spacing w:line="360" w:lineRule="auto"/>
        <w:jc w:val="both"/>
      </w:pPr>
      <w:r>
        <w:drawing>
          <wp:inline distT="0" distB="0" distL="0" distR="0">
            <wp:extent cx="5274310" cy="2241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241550"/>
                    </a:xfrm>
                    <a:prstGeom prst="rect">
                      <a:avLst/>
                    </a:prstGeom>
                    <a:noFill/>
                    <a:ln>
                      <a:noFill/>
                    </a:ln>
                  </pic:spPr>
                </pic:pic>
              </a:graphicData>
            </a:graphic>
          </wp:inline>
        </w:drawing>
      </w:r>
    </w:p>
    <w:p w14:paraId="29C69E4A">
      <w:pPr>
        <w:spacing w:line="360" w:lineRule="auto"/>
        <w:jc w:val="both"/>
      </w:pPr>
    </w:p>
    <w:p w14:paraId="3002DD0B">
      <w:pPr>
        <w:spacing w:line="360" w:lineRule="auto"/>
        <w:jc w:val="both"/>
        <w:rPr>
          <w:b/>
          <w:bCs/>
        </w:rPr>
      </w:pPr>
      <w:r>
        <w:rPr>
          <w:rFonts w:hint="eastAsia"/>
          <w:b/>
          <w:bCs/>
        </w:rPr>
        <w:t>（3）选择累积收益最高的投资组合，计算该组合的每月的收益，并画出对应的条形图，如下形式：（1</w:t>
      </w:r>
      <w:r>
        <w:rPr>
          <w:b/>
          <w:bCs/>
        </w:rPr>
        <w:t>0</w:t>
      </w:r>
      <w:r>
        <w:rPr>
          <w:rFonts w:hint="eastAsia"/>
          <w:b/>
          <w:bCs/>
        </w:rPr>
        <w:t>分）</w:t>
      </w:r>
    </w:p>
    <w:p w14:paraId="76398B9D">
      <w:pPr>
        <w:spacing w:line="360" w:lineRule="auto"/>
        <w:jc w:val="center"/>
      </w:pPr>
      <w:r>
        <w:drawing>
          <wp:inline distT="0" distB="0" distL="0" distR="0">
            <wp:extent cx="4664710" cy="24231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93590" cy="2438490"/>
                    </a:xfrm>
                    <a:prstGeom prst="rect">
                      <a:avLst/>
                    </a:prstGeom>
                    <a:noFill/>
                  </pic:spPr>
                </pic:pic>
              </a:graphicData>
            </a:graphic>
          </wp:inline>
        </w:drawing>
      </w:r>
    </w:p>
    <w:p w14:paraId="0C152462">
      <w:pPr>
        <w:spacing w:line="360" w:lineRule="auto"/>
        <w:rPr>
          <w:b/>
          <w:bCs/>
        </w:rPr>
      </w:pPr>
      <w:r>
        <w:rPr>
          <w:rFonts w:hint="eastAsia"/>
          <w:b/>
          <w:bCs/>
        </w:rPr>
        <w:t>（4）选择累积收益最高的投资组合，作为你的最优投资组合，计算如下指标：（</w:t>
      </w:r>
      <w:r>
        <w:rPr>
          <w:b/>
          <w:bCs/>
        </w:rPr>
        <w:t>30</w:t>
      </w:r>
      <w:r>
        <w:rPr>
          <w:rFonts w:hint="eastAsia"/>
          <w:b/>
          <w:bCs/>
        </w:rPr>
        <w:t>分）</w:t>
      </w:r>
    </w:p>
    <w:p w14:paraId="0C3E1D8A">
      <w:pPr>
        <w:spacing w:line="360" w:lineRule="auto"/>
      </w:pPr>
      <w:r>
        <w:rPr>
          <w:rFonts w:hint="eastAsia"/>
        </w:rPr>
        <w:t>a</w:t>
      </w:r>
      <w:r>
        <w:t xml:space="preserve">. </w:t>
      </w:r>
      <w:r>
        <w:rPr>
          <w:rFonts w:hint="eastAsia"/>
        </w:rPr>
        <w:t>持有期内</w:t>
      </w:r>
      <w:r>
        <w:rPr>
          <w:rFonts w:hint="eastAsia"/>
          <w:color w:val="FF0000"/>
        </w:rPr>
        <w:t>各期收益</w:t>
      </w:r>
      <w:r>
        <w:rPr>
          <w:rFonts w:hint="eastAsia"/>
        </w:rPr>
        <w:t>的</w:t>
      </w:r>
      <w:r>
        <w:rPr>
          <w:rFonts w:hint="eastAsia"/>
          <w:color w:val="FF0000"/>
        </w:rPr>
        <w:t>算术平均</w:t>
      </w:r>
      <w:r>
        <w:rPr>
          <w:rFonts w:hint="eastAsia"/>
        </w:rPr>
        <w:t>，</w:t>
      </w:r>
      <w:r>
        <w:rPr>
          <w:rFonts w:hint="eastAsia"/>
          <w:color w:val="FF0000"/>
        </w:rPr>
        <w:t>几何平均</w:t>
      </w:r>
      <w:r>
        <w:rPr>
          <w:rFonts w:hint="eastAsia"/>
        </w:rPr>
        <w:t>，</w:t>
      </w:r>
      <w:r>
        <w:rPr>
          <w:rFonts w:hint="eastAsia"/>
          <w:color w:val="FF0000"/>
        </w:rPr>
        <w:t>标准差</w:t>
      </w:r>
      <w:r>
        <w:rPr>
          <w:rFonts w:hint="eastAsia"/>
        </w:rPr>
        <w:t>，</w:t>
      </w:r>
      <w:r>
        <w:rPr>
          <w:rFonts w:hint="eastAsia"/>
          <w:color w:val="FF0000"/>
        </w:rPr>
        <w:t>最大值</w:t>
      </w:r>
      <w:r>
        <w:rPr>
          <w:rFonts w:hint="eastAsia"/>
        </w:rPr>
        <w:t>，</w:t>
      </w:r>
      <w:r>
        <w:rPr>
          <w:rFonts w:hint="eastAsia"/>
          <w:color w:val="FF0000"/>
        </w:rPr>
        <w:t>最小值</w:t>
      </w:r>
    </w:p>
    <w:p w14:paraId="67F13C88">
      <w:pPr>
        <w:spacing w:line="360" w:lineRule="auto"/>
      </w:pPr>
      <w:r>
        <w:rPr>
          <w:rFonts w:hint="eastAsia"/>
        </w:rPr>
        <w:t>b</w:t>
      </w:r>
      <w:r>
        <w:t xml:space="preserve">. </w:t>
      </w:r>
      <w:r>
        <w:rPr>
          <w:rFonts w:hint="eastAsia"/>
        </w:rPr>
        <w:t>持有期内</w:t>
      </w:r>
      <w:r>
        <w:rPr>
          <w:rFonts w:hint="eastAsia"/>
          <w:color w:val="FF0000"/>
        </w:rPr>
        <w:t>各期收益的胜率（收益大于0的比率）</w:t>
      </w:r>
    </w:p>
    <w:p w14:paraId="66E74368">
      <w:pPr>
        <w:spacing w:line="360" w:lineRule="auto"/>
      </w:pPr>
      <w:r>
        <w:rPr>
          <w:rFonts w:hint="eastAsia"/>
        </w:rPr>
        <w:t>c</w:t>
      </w:r>
      <w:r>
        <w:t xml:space="preserve">. </w:t>
      </w:r>
      <w:r>
        <w:rPr>
          <w:rFonts w:hint="eastAsia"/>
          <w:color w:val="FF0000"/>
        </w:rPr>
        <w:t>每期收益大于0的个股比率的平均值</w:t>
      </w:r>
      <w:r>
        <w:rPr>
          <w:rFonts w:hint="eastAsia"/>
        </w:rPr>
        <w:t>（每期个股的收益大于零的个股数量占该期组合中股票总量的比率，然后取各期的平均值）</w:t>
      </w:r>
    </w:p>
    <w:p w14:paraId="4E1C11AB">
      <w:pPr>
        <w:spacing w:line="360" w:lineRule="auto"/>
      </w:pPr>
      <w:r>
        <w:t xml:space="preserve">d. </w:t>
      </w:r>
      <w:r>
        <w:rPr>
          <w:rFonts w:hint="eastAsia"/>
          <w:color w:val="FF0000"/>
        </w:rPr>
        <w:t>年化收益率</w:t>
      </w:r>
      <w:r>
        <w:rPr>
          <w:rFonts w:hint="eastAsia"/>
        </w:rPr>
        <w:t>（几何平均）：</w:t>
      </w:r>
      <w:r>
        <w:rPr>
          <w:rFonts w:hint="eastAsia"/>
          <w:color w:val="FF0000"/>
        </w:rPr>
        <w:t>对累积收益开年次方</w:t>
      </w:r>
      <w:r>
        <w:rPr>
          <w:rFonts w:hint="eastAsia"/>
        </w:rPr>
        <w:t>（持有总月数/12）</w:t>
      </w:r>
    </w:p>
    <w:p w14:paraId="5F66877D">
      <w:pPr>
        <w:spacing w:line="360" w:lineRule="auto"/>
      </w:pPr>
      <w:r>
        <w:rPr>
          <w:rFonts w:hint="eastAsia"/>
        </w:rPr>
        <w:t>e</w:t>
      </w:r>
      <w:r>
        <w:t xml:space="preserve">. </w:t>
      </w:r>
      <w:r>
        <w:rPr>
          <w:rFonts w:hint="eastAsia"/>
          <w:color w:val="FF0000"/>
        </w:rPr>
        <w:t>最大回撤</w:t>
      </w:r>
      <w:r>
        <w:rPr>
          <w:rFonts w:hint="eastAsia"/>
        </w:rPr>
        <w:t>：最大回撤率计算公式：max(1-账户当日价值/ 当日之前账户最高价值)*100%</w:t>
      </w:r>
    </w:p>
    <w:p w14:paraId="2C2366D7">
      <w:pPr>
        <w:spacing w:line="360" w:lineRule="auto"/>
        <w:rPr>
          <w:b/>
          <w:bCs/>
        </w:rPr>
      </w:pPr>
      <w:r>
        <w:rPr>
          <w:rFonts w:hint="eastAsia"/>
          <w:b/>
          <w:bCs/>
        </w:rPr>
        <w:t>2</w:t>
      </w:r>
      <w:r>
        <w:rPr>
          <w:b/>
          <w:bCs/>
        </w:rPr>
        <w:t xml:space="preserve">. </w:t>
      </w:r>
      <w:r>
        <w:rPr>
          <w:rFonts w:hint="eastAsia"/>
          <w:b/>
          <w:bCs/>
        </w:rPr>
        <w:t>考虑</w:t>
      </w:r>
      <w:r>
        <w:rPr>
          <w:rFonts w:hint="eastAsia"/>
          <w:b/>
          <w:bCs/>
          <w:color w:val="FF0000"/>
        </w:rPr>
        <w:t>小市值因子</w:t>
      </w:r>
      <w:r>
        <w:rPr>
          <w:rFonts w:hint="eastAsia"/>
          <w:b/>
          <w:bCs/>
        </w:rPr>
        <w:t>长期在A股有效，现将</w:t>
      </w:r>
      <w:r>
        <w:rPr>
          <w:rFonts w:hint="eastAsia"/>
          <w:b/>
          <w:bCs/>
          <w:color w:val="FF0000"/>
        </w:rPr>
        <w:t>市值与特质波动率进行交叉</w:t>
      </w:r>
      <w:r>
        <w:rPr>
          <w:rFonts w:hint="eastAsia"/>
          <w:b/>
          <w:bCs/>
        </w:rPr>
        <w:t>，具体做法，</w:t>
      </w:r>
      <w:r>
        <w:rPr>
          <w:rFonts w:hint="eastAsia"/>
          <w:b/>
          <w:bCs/>
          <w:color w:val="FF0000"/>
        </w:rPr>
        <w:t>先基于特质波动率将分为</w:t>
      </w:r>
      <w:r>
        <w:rPr>
          <w:b/>
          <w:bCs/>
          <w:color w:val="FF0000"/>
        </w:rPr>
        <w:t>6</w:t>
      </w:r>
      <w:r>
        <w:rPr>
          <w:rFonts w:hint="eastAsia"/>
          <w:b/>
          <w:bCs/>
          <w:color w:val="FF0000"/>
        </w:rPr>
        <w:t>组</w:t>
      </w:r>
      <w:r>
        <w:rPr>
          <w:rFonts w:hint="eastAsia"/>
          <w:b/>
          <w:bCs/>
        </w:rPr>
        <w:t>，然后在</w:t>
      </w:r>
      <w:r>
        <w:rPr>
          <w:rFonts w:hint="eastAsia"/>
          <w:b/>
          <w:bCs/>
          <w:color w:val="FF0000"/>
        </w:rPr>
        <w:t>每组内</w:t>
      </w:r>
      <w:r>
        <w:rPr>
          <w:rFonts w:hint="eastAsia"/>
          <w:b/>
          <w:bCs/>
          <w:color w:val="FF0000"/>
          <w:lang w:val="en-US" w:eastAsia="zh-CN"/>
        </w:rPr>
        <w:t>再</w:t>
      </w:r>
      <w:r>
        <w:rPr>
          <w:rFonts w:hint="eastAsia"/>
          <w:b/>
          <w:bCs/>
          <w:color w:val="FF0000"/>
        </w:rPr>
        <w:t>基于市值分为6组</w:t>
      </w:r>
      <w:r>
        <w:rPr>
          <w:rFonts w:hint="eastAsia"/>
          <w:b/>
          <w:bCs/>
        </w:rPr>
        <w:t>。并基于新的量化策略组合，重新完成问题1中的计算与可视化操作。（3</w:t>
      </w:r>
      <w:r>
        <w:rPr>
          <w:b/>
          <w:bCs/>
        </w:rPr>
        <w:t>0</w:t>
      </w:r>
      <w:r>
        <w:rPr>
          <w:rFonts w:hint="eastAsia"/>
          <w:b/>
          <w:bCs/>
        </w:rPr>
        <w:t>分）</w:t>
      </w:r>
    </w:p>
    <w:p w14:paraId="781A7ABB">
      <w:pPr>
        <w:spacing w:before="312" w:beforeLines="100" w:after="312" w:afterLines="100" w:line="360" w:lineRule="auto"/>
        <w:jc w:val="both"/>
        <w:rPr>
          <w:b/>
          <w:bCs/>
          <w:sz w:val="28"/>
          <w:szCs w:val="28"/>
        </w:rPr>
      </w:pPr>
      <w:r>
        <w:rPr>
          <w:rFonts w:hint="eastAsia"/>
          <w:b/>
          <w:bCs/>
          <w:sz w:val="28"/>
          <w:szCs w:val="28"/>
        </w:rPr>
        <w:t>二</w:t>
      </w:r>
      <w:r>
        <w:rPr>
          <w:b/>
          <w:bCs/>
          <w:sz w:val="28"/>
          <w:szCs w:val="28"/>
        </w:rPr>
        <w:t xml:space="preserve">. </w:t>
      </w:r>
      <w:r>
        <w:rPr>
          <w:rFonts w:hint="eastAsia"/>
          <w:b/>
          <w:bCs/>
          <w:sz w:val="28"/>
          <w:szCs w:val="28"/>
        </w:rPr>
        <w:t>文本数据的筛选（1</w:t>
      </w:r>
      <w:r>
        <w:rPr>
          <w:b/>
          <w:bCs/>
          <w:sz w:val="28"/>
          <w:szCs w:val="28"/>
        </w:rPr>
        <w:t>0</w:t>
      </w:r>
      <w:r>
        <w:rPr>
          <w:rFonts w:hint="eastAsia"/>
          <w:b/>
          <w:bCs/>
          <w:sz w:val="28"/>
          <w:szCs w:val="28"/>
        </w:rPr>
        <w:t>分）</w:t>
      </w:r>
    </w:p>
    <w:p w14:paraId="548741A0">
      <w:pPr>
        <w:spacing w:line="360" w:lineRule="auto"/>
        <w:jc w:val="both"/>
      </w:pPr>
      <w:r>
        <w:rPr>
          <w:rFonts w:hint="eastAsia"/>
        </w:rPr>
        <w:t>提供给大家的新闻数据的基本格式如下图：</w:t>
      </w:r>
    </w:p>
    <w:p w14:paraId="0670EFA8">
      <w:pPr>
        <w:spacing w:line="360" w:lineRule="auto"/>
        <w:jc w:val="both"/>
      </w:pPr>
      <w:r>
        <w:drawing>
          <wp:inline distT="0" distB="0" distL="0" distR="0">
            <wp:extent cx="5274310" cy="9277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927735"/>
                    </a:xfrm>
                    <a:prstGeom prst="rect">
                      <a:avLst/>
                    </a:prstGeom>
                    <a:noFill/>
                    <a:ln>
                      <a:noFill/>
                    </a:ln>
                  </pic:spPr>
                </pic:pic>
              </a:graphicData>
            </a:graphic>
          </wp:inline>
        </w:drawing>
      </w:r>
    </w:p>
    <w:p w14:paraId="3751165A">
      <w:pPr>
        <w:spacing w:line="360" w:lineRule="auto"/>
        <w:jc w:val="both"/>
      </w:pPr>
      <w:r>
        <w:rPr>
          <w:rFonts w:hint="eastAsia"/>
        </w:rPr>
        <w:t>其中，s</w:t>
      </w:r>
      <w:r>
        <w:t>ource</w:t>
      </w:r>
      <w:r>
        <w:rPr>
          <w:rFonts w:hint="eastAsia"/>
        </w:rPr>
        <w:t>_</w:t>
      </w:r>
      <w:r>
        <w:t>doc</w:t>
      </w:r>
      <w:r>
        <w:rPr>
          <w:rFonts w:hint="eastAsia"/>
        </w:rPr>
        <w:t>是获取该条新闻的来源，但是，有些的新闻是这些来源转载自其他来源的新闻，现要求大家筛选出来源自《证券时报》的新闻，包括证券时报集团下的各子媒体的新闻，以及其他来源转载自证券时报的新闻。</w:t>
      </w:r>
    </w:p>
    <w:p w14:paraId="7F22F781">
      <w:pPr>
        <w:spacing w:line="360" w:lineRule="auto"/>
        <w:jc w:val="both"/>
      </w:pPr>
    </w:p>
    <w:p w14:paraId="10341668">
      <w:pPr>
        <w:spacing w:line="360" w:lineRule="auto"/>
        <w:jc w:val="both"/>
        <w:rPr>
          <w:b/>
          <w:bCs/>
          <w:sz w:val="32"/>
          <w:szCs w:val="32"/>
        </w:rPr>
      </w:pPr>
      <w:r>
        <w:rPr>
          <w:rFonts w:hint="eastAsia"/>
          <w:b/>
          <w:bCs/>
          <w:sz w:val="32"/>
          <w:szCs w:val="32"/>
        </w:rPr>
        <w:t>作业要求：</w:t>
      </w:r>
    </w:p>
    <w:p w14:paraId="05FDD405">
      <w:pPr>
        <w:spacing w:line="360" w:lineRule="auto"/>
        <w:jc w:val="both"/>
      </w:pPr>
      <w:r>
        <w:rPr>
          <w:rFonts w:hint="eastAsia"/>
        </w:rPr>
        <w:t>1</w:t>
      </w:r>
      <w:r>
        <w:t xml:space="preserve">. </w:t>
      </w:r>
      <w:r>
        <w:rPr>
          <w:rFonts w:hint="eastAsia"/>
        </w:rPr>
        <w:t>以</w:t>
      </w:r>
      <w:r>
        <w:t>Python</w:t>
      </w:r>
      <w:r>
        <w:rPr>
          <w:rFonts w:hint="eastAsia"/>
        </w:rPr>
        <w:t>作为工具来实现上述问题；</w:t>
      </w:r>
    </w:p>
    <w:p w14:paraId="07899694">
      <w:pPr>
        <w:spacing w:line="360" w:lineRule="auto"/>
        <w:jc w:val="both"/>
      </w:pPr>
      <w:r>
        <w:rPr>
          <w:rFonts w:hint="eastAsia"/>
        </w:rPr>
        <w:t>2</w:t>
      </w:r>
      <w:r>
        <w:t xml:space="preserve">. </w:t>
      </w:r>
      <w:r>
        <w:rPr>
          <w:rFonts w:hint="eastAsia"/>
        </w:rPr>
        <w:t>以面向对象的编程思想来实现上述问题；</w:t>
      </w:r>
    </w:p>
    <w:p w14:paraId="7CE4F015">
      <w:pPr>
        <w:spacing w:line="360" w:lineRule="auto"/>
        <w:jc w:val="both"/>
      </w:pPr>
      <w:r>
        <w:rPr>
          <w:rFonts w:hint="eastAsia"/>
        </w:rPr>
        <w:t>3</w:t>
      </w:r>
      <w:r>
        <w:t xml:space="preserve">. </w:t>
      </w:r>
      <w:r>
        <w:rPr>
          <w:rFonts w:hint="eastAsia"/>
        </w:rPr>
        <w:t>数据处理的结果以word或PDF文件形式上交：</w:t>
      </w:r>
    </w:p>
    <w:p w14:paraId="75DB56E1">
      <w:pPr>
        <w:spacing w:line="360" w:lineRule="auto"/>
        <w:ind w:firstLine="480" w:firstLineChars="200"/>
        <w:jc w:val="both"/>
      </w:pPr>
      <w:r>
        <w:rPr>
          <w:rFonts w:hint="eastAsia"/>
        </w:rPr>
        <w:t>a.</w:t>
      </w:r>
      <w:r>
        <w:rPr>
          <w:rFonts w:hint="eastAsia"/>
        </w:rPr>
        <w:tab/>
      </w:r>
      <w:r>
        <w:rPr>
          <w:rFonts w:hint="eastAsia"/>
        </w:rPr>
        <w:t>数据整合结果，保存到excel文件中上交，截取前20行数据的截图插入到上交的word或PDF文件中，并对相应结果进行简要的说明（如：问题1的整理结果共包含xx支股票，xx条数据）；</w:t>
      </w:r>
    </w:p>
    <w:p w14:paraId="2D088C39">
      <w:pPr>
        <w:spacing w:line="360" w:lineRule="auto"/>
        <w:ind w:firstLine="480" w:firstLineChars="200"/>
        <w:jc w:val="both"/>
      </w:pPr>
      <w:r>
        <w:rPr>
          <w:rFonts w:hint="eastAsia"/>
        </w:rPr>
        <w:t>b.</w:t>
      </w:r>
      <w:r>
        <w:rPr>
          <w:rFonts w:hint="eastAsia"/>
        </w:rPr>
        <w:tab/>
      </w:r>
      <w:r>
        <w:rPr>
          <w:rFonts w:hint="eastAsia"/>
        </w:rPr>
        <w:t>可视化结果，将python画出的图保存为png或者jpg等图片格式，插入到word或者PDF文件中，并标识号说明；</w:t>
      </w:r>
    </w:p>
    <w:p w14:paraId="5588FD6F">
      <w:pPr>
        <w:spacing w:line="360" w:lineRule="auto"/>
        <w:jc w:val="both"/>
      </w:pPr>
      <w:r>
        <w:rPr>
          <w:rFonts w:hint="eastAsia"/>
        </w:rPr>
        <w:t>4</w:t>
      </w:r>
      <w:r>
        <w:t xml:space="preserve">. </w:t>
      </w:r>
      <w:r>
        <w:rPr>
          <w:rFonts w:hint="eastAsia"/>
        </w:rPr>
        <w:t>上述数据处理的python程序上交，程序保存为.py文件，程序中要加好注释。</w:t>
      </w:r>
    </w:p>
    <w:p w14:paraId="0FAFD946">
      <w:pPr>
        <w:spacing w:line="360" w:lineRule="auto"/>
        <w:jc w:val="both"/>
      </w:pPr>
      <w:r>
        <w:rPr>
          <w:rFonts w:hint="eastAsia"/>
        </w:rPr>
        <w:t>5</w:t>
      </w:r>
      <w:r>
        <w:t xml:space="preserve">. </w:t>
      </w:r>
      <w:r>
        <w:rPr>
          <w:rFonts w:hint="eastAsia"/>
        </w:rPr>
        <w:t>数据整合完之后的形式：</w:t>
      </w:r>
      <w:bookmarkStart w:id="0" w:name="_GoBack"/>
      <w:bookmarkEnd w:id="0"/>
    </w:p>
    <w:p w14:paraId="367A5C6D">
      <w:pPr>
        <w:spacing w:line="360" w:lineRule="auto"/>
        <w:jc w:val="both"/>
      </w:pPr>
      <w:r>
        <w:drawing>
          <wp:inline distT="0" distB="0" distL="0" distR="0">
            <wp:extent cx="3959225" cy="2375535"/>
            <wp:effectExtent l="0" t="0" r="3175" b="5715"/>
            <wp:docPr id="1" name="图片 1" descr="C:\Users\dell\Documents\WeChat Files\wxid_ttfgc3y027fk22\FileStorage\Temp\1668749107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Documents\WeChat Files\wxid_ttfgc3y027fk22\FileStorage\Temp\16687491075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71290" cy="2382459"/>
                    </a:xfrm>
                    <a:prstGeom prst="rect">
                      <a:avLst/>
                    </a:prstGeom>
                    <a:noFill/>
                    <a:ln>
                      <a:noFill/>
                    </a:ln>
                  </pic:spPr>
                </pic:pic>
              </a:graphicData>
            </a:graphic>
          </wp:inline>
        </w:drawing>
      </w:r>
    </w:p>
    <w:p w14:paraId="291D0A95">
      <w:pPr>
        <w:spacing w:line="360" w:lineRule="auto"/>
        <w:jc w:val="both"/>
      </w:pPr>
      <w:r>
        <w:rPr>
          <w:rFonts w:hint="eastAsia"/>
        </w:rPr>
        <w:t>6</w:t>
      </w:r>
      <w:r>
        <w:t xml:space="preserve">. </w:t>
      </w:r>
      <w:r>
        <w:rPr>
          <w:rFonts w:hint="eastAsia"/>
        </w:rPr>
        <w:t>作业以小组成员的姓名和学号命名，</w:t>
      </w:r>
      <w:r>
        <w:fldChar w:fldCharType="begin"/>
      </w:r>
      <w:r>
        <w:instrText xml:space="preserve"> HYPERLINK "mailto:发送至助教邮箱python_2425@163.com" </w:instrText>
      </w:r>
      <w:r>
        <w:fldChar w:fldCharType="separate"/>
      </w:r>
      <w:r>
        <w:rPr>
          <w:rStyle w:val="5"/>
          <w:rFonts w:hint="eastAsia"/>
        </w:rPr>
        <w:t>发送至助教邮箱</w:t>
      </w:r>
      <w:r>
        <w:rPr>
          <w:rStyle w:val="5"/>
        </w:rPr>
        <w:t>python_2425@163.com</w:t>
      </w:r>
      <w:r>
        <w:rPr>
          <w:rStyle w:val="5"/>
        </w:rPr>
        <w:fldChar w:fldCharType="end"/>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E8"/>
    <w:rsid w:val="001042BF"/>
    <w:rsid w:val="00130813"/>
    <w:rsid w:val="001567BF"/>
    <w:rsid w:val="001C4864"/>
    <w:rsid w:val="002231C7"/>
    <w:rsid w:val="002527FA"/>
    <w:rsid w:val="003A0A2C"/>
    <w:rsid w:val="003F2F27"/>
    <w:rsid w:val="00407C93"/>
    <w:rsid w:val="004B4954"/>
    <w:rsid w:val="005D74C2"/>
    <w:rsid w:val="00714FE1"/>
    <w:rsid w:val="0073081A"/>
    <w:rsid w:val="0088374B"/>
    <w:rsid w:val="008A2561"/>
    <w:rsid w:val="008C484B"/>
    <w:rsid w:val="009B2FCA"/>
    <w:rsid w:val="009F11D3"/>
    <w:rsid w:val="00A36E55"/>
    <w:rsid w:val="00A83B47"/>
    <w:rsid w:val="00B11247"/>
    <w:rsid w:val="00B96E33"/>
    <w:rsid w:val="00BD244F"/>
    <w:rsid w:val="00BF37BA"/>
    <w:rsid w:val="00C34042"/>
    <w:rsid w:val="00CA1CE8"/>
    <w:rsid w:val="00D100C4"/>
    <w:rsid w:val="00D31C26"/>
    <w:rsid w:val="00F42BA9"/>
    <w:rsid w:val="22C64576"/>
    <w:rsid w:val="3ADB7F66"/>
    <w:rsid w:val="44355897"/>
    <w:rsid w:val="47255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styleId="6">
    <w:name w:val="Placeholder Text"/>
    <w:basedOn w:val="4"/>
    <w:semiHidden/>
    <w:uiPriority w:val="99"/>
    <w:rPr>
      <w:color w:val="808080"/>
    </w:rPr>
  </w:style>
  <w:style w:type="character" w:customStyle="1" w:styleId="7">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1547</Words>
  <Characters>1687</Characters>
  <Lines>14</Lines>
  <Paragraphs>3</Paragraphs>
  <TotalTime>0</TotalTime>
  <ScaleCrop>false</ScaleCrop>
  <LinksUpToDate>false</LinksUpToDate>
  <CharactersWithSpaces>1708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2024-12-27T08:51:00Z</dcterms:created>
  <dc:creator>Zuochao Zhang</dc:creator>
  <cp:lastModifiedBy>Lunar Arc</cp:lastModifiedBy>
  <dcterms:modified xsi:type="dcterms:W3CDTF">2025-02-07T02:27:10Z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eyJoZGlkIjoiZjVhNGJiMWVmZTg4ZjFhYWZhYWFiMzBkODkwYWRkZmUiLCJ1c2VySWQiOiI3NDA1NDE3NTUifQ==</vt:lpwstr>
  </property>
  <property fmtid="{D5CDD505-2E9C-101B-9397-08002B2CF9AE}" pid="3" name="KSOProductBuildVer">
    <vt:lpwstr>2052-12.1.0.19770</vt:lpwstr>
  </property>
  <property fmtid="{D5CDD505-2E9C-101B-9397-08002B2CF9AE}" pid="4" name="ICV">
    <vt:lpwstr>0623FC1B989F4FF793BC2BA625D74767_12</vt:lpwstr>
  </property>
</Properties>
</file>