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DE7DC">
      <w:pPr>
        <w:rPr>
          <w:rFonts w:hint="eastAsia" w:ascii="宋体" w:hAnsi="宋体"/>
        </w:rPr>
      </w:pPr>
    </w:p>
    <w:p w14:paraId="61B4A7EE">
      <w:pPr>
        <w:rPr>
          <w:rFonts w:hint="eastAsia" w:ascii="宋体" w:hAnsi="宋体"/>
        </w:rPr>
      </w:pPr>
    </w:p>
    <w:p w14:paraId="6A9B3A77">
      <w:pPr>
        <w:rPr>
          <w:rFonts w:hint="eastAsia" w:ascii="宋体" w:hAnsi="宋体"/>
        </w:rPr>
      </w:pPr>
    </w:p>
    <w:p w14:paraId="601ED260">
      <w:pPr>
        <w:jc w:val="center"/>
        <w:rPr>
          <w:rFonts w:hint="eastAsia" w:ascii="宋体" w:hAnsi="宋体"/>
        </w:rPr>
      </w:pPr>
    </w:p>
    <w:p w14:paraId="1979A357">
      <w:pPr>
        <w:jc w:val="center"/>
        <w:rPr>
          <w:rFonts w:hint="eastAsia" w:ascii="宋体" w:hAnsi="宋体"/>
        </w:rPr>
      </w:pPr>
      <w:r>
        <w:rPr>
          <w:rFonts w:hint="eastAsia" w:ascii="宋体" w:hAnsi="宋体"/>
        </w:rPr>
        <w:drawing>
          <wp:inline distT="0" distB="0" distL="0" distR="0">
            <wp:extent cx="3952875" cy="781050"/>
            <wp:effectExtent l="0" t="0" r="0" b="0"/>
            <wp:docPr id="1" name="图片 2" descr="8c5f8a22720e0cf3bdb5d3a20b46f21fbe09aa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8c5f8a22720e0cf3bdb5d3a20b46f21fbe09aa3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5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BFABF">
      <w:pPr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314F6FCB">
      <w:pPr>
        <w:jc w:val="center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52"/>
          <w:szCs w:val="52"/>
        </w:rPr>
        <w:t>实 验（实训）报 告</w:t>
      </w:r>
    </w:p>
    <w:p w14:paraId="4F8082A1">
      <w:pPr>
        <w:rPr>
          <w:rFonts w:hint="eastAsia" w:ascii="宋体" w:hAnsi="宋体"/>
          <w:sz w:val="28"/>
        </w:rPr>
      </w:pPr>
    </w:p>
    <w:p w14:paraId="10204A0F">
      <w:pPr>
        <w:rPr>
          <w:rFonts w:hint="eastAsia" w:ascii="宋体" w:hAnsi="宋体"/>
          <w:sz w:val="28"/>
        </w:rPr>
      </w:pPr>
    </w:p>
    <w:p w14:paraId="41C5E6AF">
      <w:pPr>
        <w:ind w:firstLine="992" w:firstLineChars="353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项 目 名 称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ascii="宋体" w:hAnsi="宋体"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</w:rPr>
        <w:t>系统可行性分析</w:t>
      </w:r>
      <w:r>
        <w:rPr>
          <w:rFonts w:ascii="宋体" w:hAnsi="宋体"/>
          <w:bCs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</w:p>
    <w:p w14:paraId="602F9B1E">
      <w:pPr>
        <w:ind w:firstLine="992" w:firstLineChars="353"/>
        <w:rPr>
          <w:rFonts w:hint="eastAsia" w:ascii="宋体" w:hAnsi="宋体"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所属课程名称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</w:t>
      </w:r>
      <w:r>
        <w:rPr>
          <w:rFonts w:ascii="宋体" w:hAnsi="宋体"/>
          <w:bCs/>
          <w:sz w:val="28"/>
          <w:szCs w:val="28"/>
          <w:u w:val="single"/>
        </w:rPr>
        <w:t xml:space="preserve">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软 件 工 程 </w:t>
      </w:r>
      <w:r>
        <w:rPr>
          <w:rFonts w:ascii="宋体" w:hAnsi="宋体"/>
          <w:bCs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</w:p>
    <w:p w14:paraId="1D5EBC0C">
      <w:pPr>
        <w:ind w:firstLine="992" w:firstLineChars="353"/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项 目 类 型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  <w:r>
        <w:rPr>
          <w:rFonts w:ascii="宋体" w:hAnsi="宋体"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操作型 </w:t>
      </w:r>
      <w:r>
        <w:rPr>
          <w:rFonts w:ascii="宋体" w:hAnsi="宋体"/>
          <w:bCs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</w:p>
    <w:p w14:paraId="5660CC49">
      <w:pPr>
        <w:ind w:firstLine="992" w:firstLineChars="353"/>
        <w:rPr>
          <w:rFonts w:hint="eastAsia" w:ascii="宋体" w:hAnsi="宋体"/>
          <w:bCs/>
          <w:sz w:val="28"/>
          <w:szCs w:val="28"/>
          <w:u w:val="single"/>
        </w:rPr>
      </w:pPr>
      <w:r>
        <w:rPr>
          <w:rFonts w:hint="eastAsia" w:ascii="宋体" w:hAnsi="宋体"/>
          <w:b/>
          <w:bCs/>
          <w:sz w:val="28"/>
          <w:szCs w:val="28"/>
        </w:rPr>
        <w:t xml:space="preserve">实验(实训)日期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</w:t>
      </w:r>
      <w:r>
        <w:rPr>
          <w:rFonts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</w:t>
      </w:r>
      <w:r>
        <w:rPr>
          <w:rFonts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Cs/>
          <w:sz w:val="28"/>
          <w:szCs w:val="28"/>
          <w:u w:val="single"/>
        </w:rPr>
        <w:t>20</w:t>
      </w:r>
      <w:r>
        <w:rPr>
          <w:rFonts w:ascii="宋体" w:hAnsi="宋体"/>
          <w:bCs/>
          <w:sz w:val="28"/>
          <w:szCs w:val="28"/>
          <w:u w:val="single"/>
        </w:rPr>
        <w:t>26</w:t>
      </w:r>
      <w:r>
        <w:rPr>
          <w:rFonts w:hint="eastAsia" w:ascii="宋体" w:hAnsi="宋体"/>
          <w:bCs/>
          <w:sz w:val="28"/>
          <w:szCs w:val="28"/>
          <w:u w:val="single"/>
        </w:rPr>
        <w:t>-10-13</w:t>
      </w:r>
      <w:r>
        <w:rPr>
          <w:rFonts w:ascii="宋体" w:hAnsi="宋体"/>
          <w:bCs/>
          <w:sz w:val="28"/>
          <w:szCs w:val="28"/>
          <w:u w:val="single"/>
        </w:rPr>
        <w:t xml:space="preserve">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</w:t>
      </w:r>
      <w:r>
        <w:rPr>
          <w:rFonts w:ascii="宋体" w:hAnsi="宋体"/>
          <w:bCs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</w:t>
      </w:r>
    </w:p>
    <w:p w14:paraId="5A89E1A3">
      <w:pPr>
        <w:rPr>
          <w:rFonts w:hint="eastAsia" w:ascii="宋体" w:hAnsi="宋体"/>
          <w:b/>
          <w:bCs/>
          <w:sz w:val="36"/>
        </w:rPr>
      </w:pPr>
    </w:p>
    <w:p w14:paraId="76A2113D">
      <w:pPr>
        <w:ind w:firstLine="1285" w:firstLineChars="400"/>
        <w:rPr>
          <w:rFonts w:hint="eastAsia" w:ascii="宋体" w:hAnsi="宋体"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团队名称 </w:t>
      </w:r>
      <w:r>
        <w:rPr>
          <w:rFonts w:hint="eastAsia" w:ascii="宋体" w:hAnsi="宋体"/>
          <w:bCs/>
          <w:sz w:val="32"/>
          <w:szCs w:val="32"/>
          <w:u w:val="single"/>
        </w:rPr>
        <w:t xml:space="preserve">    TokenMaxxing    </w:t>
      </w:r>
    </w:p>
    <w:p w14:paraId="427C47FF">
      <w:pPr>
        <w:ind w:firstLine="1285" w:firstLineChars="400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组长学号 </w:t>
      </w:r>
      <w:r>
        <w:rPr>
          <w:rFonts w:hint="eastAsia" w:ascii="宋体" w:hAnsi="宋体"/>
          <w:bCs/>
          <w:sz w:val="32"/>
          <w:szCs w:val="32"/>
          <w:u w:val="single"/>
        </w:rPr>
        <w:t xml:space="preserve">    240110900337    </w:t>
      </w:r>
    </w:p>
    <w:p w14:paraId="34E2DEC6">
      <w:pPr>
        <w:ind w:firstLine="1285" w:firstLineChars="400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组长姓名 </w:t>
      </w:r>
      <w:r>
        <w:rPr>
          <w:rFonts w:hint="eastAsia" w:ascii="宋体" w:hAnsi="宋体"/>
          <w:bCs/>
          <w:sz w:val="32"/>
          <w:szCs w:val="32"/>
          <w:u w:val="single"/>
        </w:rPr>
        <w:t xml:space="preserve">      张旭鹏        </w:t>
      </w:r>
    </w:p>
    <w:p w14:paraId="7E89234C">
      <w:pPr>
        <w:ind w:firstLine="1285" w:firstLineChars="400"/>
        <w:rPr>
          <w:rFonts w:hint="eastAsia" w:ascii="宋体" w:hAnsi="宋体"/>
          <w:b/>
          <w:bCs/>
          <w:sz w:val="32"/>
          <w:szCs w:val="32"/>
        </w:rPr>
      </w:pPr>
      <w:r>
        <w:rPr>
          <w:rFonts w:hint="eastAsia" w:ascii="宋体" w:hAnsi="宋体"/>
          <w:b/>
          <w:bCs/>
          <w:sz w:val="32"/>
          <w:szCs w:val="32"/>
        </w:rPr>
        <w:t xml:space="preserve">指导教师 </w:t>
      </w:r>
      <w:r>
        <w:rPr>
          <w:rFonts w:hint="eastAsia" w:ascii="宋体" w:hAnsi="宋体"/>
          <w:bCs/>
          <w:sz w:val="32"/>
          <w:szCs w:val="32"/>
          <w:u w:val="single"/>
        </w:rPr>
        <w:t xml:space="preserve">    陈明晶老师      </w:t>
      </w:r>
    </w:p>
    <w:p w14:paraId="6E1C24D9">
      <w:pPr>
        <w:rPr>
          <w:rFonts w:hint="eastAsia" w:ascii="宋体" w:hAnsi="宋体"/>
          <w:b/>
          <w:bCs/>
          <w:sz w:val="28"/>
        </w:rPr>
      </w:pPr>
    </w:p>
    <w:p w14:paraId="48BE9DFB">
      <w:pPr>
        <w:rPr>
          <w:rFonts w:hint="eastAsia" w:ascii="宋体" w:hAnsi="宋体"/>
          <w:b/>
          <w:bCs/>
          <w:sz w:val="28"/>
        </w:rPr>
      </w:pPr>
    </w:p>
    <w:p w14:paraId="53BF777B">
      <w:pPr>
        <w:rPr>
          <w:rFonts w:hint="eastAsia" w:ascii="宋体" w:hAnsi="宋体"/>
          <w:b/>
          <w:bCs/>
          <w:sz w:val="28"/>
        </w:rPr>
      </w:pPr>
    </w:p>
    <w:p w14:paraId="73578698">
      <w:pPr>
        <w:jc w:val="center"/>
        <w:rPr>
          <w:rFonts w:hint="eastAsia" w:ascii="宋体" w:hAnsi="宋体"/>
          <w:bCs/>
          <w:sz w:val="28"/>
        </w:rPr>
      </w:pPr>
      <w:r>
        <w:rPr>
          <w:rFonts w:hint="eastAsia" w:ascii="宋体" w:hAnsi="宋体"/>
          <w:bCs/>
          <w:sz w:val="28"/>
        </w:rPr>
        <w:t>浙江财经大学教务处制</w:t>
      </w:r>
    </w:p>
    <w:p w14:paraId="7FD3580C">
      <w:pPr>
        <w:jc w:val="center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小组成员分工情况表</w:t>
      </w:r>
    </w:p>
    <w:tbl>
      <w:tblPr>
        <w:tblStyle w:val="11"/>
        <w:tblpPr w:leftFromText="180" w:rightFromText="180" w:vertAnchor="text" w:horzAnchor="margin" w:tblpY="175"/>
        <w:tblW w:w="853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91"/>
        <w:gridCol w:w="2033"/>
        <w:gridCol w:w="1984"/>
        <w:gridCol w:w="1985"/>
        <w:gridCol w:w="1439"/>
      </w:tblGrid>
      <w:tr w14:paraId="5F3E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7" w:hRule="atLeast"/>
          <w:tblHeader/>
        </w:trPr>
        <w:tc>
          <w:tcPr>
            <w:tcW w:w="1091" w:type="dxa"/>
            <w:vMerge w:val="restart"/>
            <w:vAlign w:val="center"/>
          </w:tcPr>
          <w:p w14:paraId="69E5B4A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组长</w:t>
            </w:r>
          </w:p>
        </w:tc>
        <w:tc>
          <w:tcPr>
            <w:tcW w:w="2033" w:type="dxa"/>
            <w:vAlign w:val="center"/>
          </w:tcPr>
          <w:p w14:paraId="2C51357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1984" w:type="dxa"/>
            <w:vAlign w:val="center"/>
          </w:tcPr>
          <w:p w14:paraId="427D60F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985" w:type="dxa"/>
            <w:vAlign w:val="center"/>
          </w:tcPr>
          <w:p w14:paraId="5EFE915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职务</w:t>
            </w:r>
          </w:p>
        </w:tc>
        <w:tc>
          <w:tcPr>
            <w:tcW w:w="1439" w:type="dxa"/>
            <w:vAlign w:val="center"/>
          </w:tcPr>
          <w:p w14:paraId="6719AE3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贡献度</w:t>
            </w:r>
          </w:p>
        </w:tc>
      </w:tr>
      <w:tr w14:paraId="4E213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6" w:hRule="atLeast"/>
        </w:trPr>
        <w:tc>
          <w:tcPr>
            <w:tcW w:w="1091" w:type="dxa"/>
            <w:vMerge w:val="continue"/>
            <w:vAlign w:val="center"/>
          </w:tcPr>
          <w:p w14:paraId="6CFF5C78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033" w:type="dxa"/>
            <w:vAlign w:val="center"/>
          </w:tcPr>
          <w:p w14:paraId="1B8B49A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张旭鹏</w:t>
            </w:r>
          </w:p>
        </w:tc>
        <w:tc>
          <w:tcPr>
            <w:tcW w:w="1984" w:type="dxa"/>
            <w:vAlign w:val="center"/>
          </w:tcPr>
          <w:p w14:paraId="499642D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240110900337</w:t>
            </w:r>
          </w:p>
        </w:tc>
        <w:tc>
          <w:tcPr>
            <w:tcW w:w="1985" w:type="dxa"/>
            <w:vAlign w:val="center"/>
          </w:tcPr>
          <w:p w14:paraId="248F3FD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项目经理</w:t>
            </w:r>
          </w:p>
        </w:tc>
        <w:tc>
          <w:tcPr>
            <w:tcW w:w="1439" w:type="dxa"/>
            <w:vAlign w:val="center"/>
          </w:tcPr>
          <w:p w14:paraId="26921AF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25%</w:t>
            </w:r>
          </w:p>
        </w:tc>
      </w:tr>
      <w:tr w14:paraId="4FDED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0" w:hRule="atLeast"/>
        </w:trPr>
        <w:tc>
          <w:tcPr>
            <w:tcW w:w="1091" w:type="dxa"/>
            <w:vAlign w:val="center"/>
          </w:tcPr>
          <w:p w14:paraId="6C58A3D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主要工作</w:t>
            </w:r>
          </w:p>
        </w:tc>
        <w:tc>
          <w:tcPr>
            <w:tcW w:w="7441" w:type="dxa"/>
            <w:gridSpan w:val="4"/>
          </w:tcPr>
          <w:p w14:paraId="1F926FFC">
            <w:pPr>
              <w:ind w:left="105" w:leftChars="50" w:right="105" w:rightChars="5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负责项目整体进度统筹与任务分配，组织小组讨论，汇总最终文档</w:t>
            </w:r>
          </w:p>
        </w:tc>
      </w:tr>
      <w:tr w14:paraId="1359C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7" w:hRule="atLeast"/>
        </w:trPr>
        <w:tc>
          <w:tcPr>
            <w:tcW w:w="1091" w:type="dxa"/>
            <w:vMerge w:val="restart"/>
            <w:vAlign w:val="center"/>
          </w:tcPr>
          <w:p w14:paraId="3365FDE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成员</w:t>
            </w:r>
            <w:r>
              <w:rPr>
                <w:rFonts w:ascii="宋体" w:hAnsi="宋体"/>
                <w:sz w:val="24"/>
              </w:rPr>
              <w:t>2</w:t>
            </w:r>
          </w:p>
        </w:tc>
        <w:tc>
          <w:tcPr>
            <w:tcW w:w="2033" w:type="dxa"/>
            <w:vAlign w:val="center"/>
          </w:tcPr>
          <w:p w14:paraId="6ACAF1F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1984" w:type="dxa"/>
            <w:vAlign w:val="center"/>
          </w:tcPr>
          <w:p w14:paraId="06B1898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985" w:type="dxa"/>
            <w:vAlign w:val="center"/>
          </w:tcPr>
          <w:p w14:paraId="63F55F4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职务</w:t>
            </w:r>
          </w:p>
        </w:tc>
        <w:tc>
          <w:tcPr>
            <w:tcW w:w="1439" w:type="dxa"/>
            <w:vAlign w:val="center"/>
          </w:tcPr>
          <w:p w14:paraId="5755D85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贡献度</w:t>
            </w:r>
          </w:p>
        </w:tc>
      </w:tr>
      <w:tr w14:paraId="2AB13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6" w:hRule="atLeast"/>
        </w:trPr>
        <w:tc>
          <w:tcPr>
            <w:tcW w:w="1091" w:type="dxa"/>
            <w:vMerge w:val="continue"/>
            <w:vAlign w:val="center"/>
          </w:tcPr>
          <w:p w14:paraId="75C88149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033" w:type="dxa"/>
            <w:vAlign w:val="center"/>
          </w:tcPr>
          <w:p w14:paraId="2814C68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刘畅</w:t>
            </w:r>
          </w:p>
        </w:tc>
        <w:tc>
          <w:tcPr>
            <w:tcW w:w="1984" w:type="dxa"/>
            <w:vAlign w:val="center"/>
          </w:tcPr>
          <w:p w14:paraId="4011105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240110900316</w:t>
            </w:r>
          </w:p>
        </w:tc>
        <w:tc>
          <w:tcPr>
            <w:tcW w:w="1985" w:type="dxa"/>
            <w:vAlign w:val="center"/>
          </w:tcPr>
          <w:p w14:paraId="69ADD27E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规划负责人</w:t>
            </w:r>
          </w:p>
        </w:tc>
        <w:tc>
          <w:tcPr>
            <w:tcW w:w="1439" w:type="dxa"/>
            <w:vAlign w:val="center"/>
          </w:tcPr>
          <w:p w14:paraId="4C711EA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25%</w:t>
            </w:r>
          </w:p>
        </w:tc>
      </w:tr>
      <w:tr w14:paraId="61D5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0" w:hRule="atLeast"/>
        </w:trPr>
        <w:tc>
          <w:tcPr>
            <w:tcW w:w="1091" w:type="dxa"/>
            <w:vAlign w:val="center"/>
          </w:tcPr>
          <w:p w14:paraId="6CB8059F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主要工作</w:t>
            </w:r>
          </w:p>
        </w:tc>
        <w:tc>
          <w:tcPr>
            <w:tcW w:w="7441" w:type="dxa"/>
            <w:gridSpan w:val="4"/>
          </w:tcPr>
          <w:p w14:paraId="6ABCA363">
            <w:pPr>
              <w:ind w:left="105" w:leftChars="50" w:right="105" w:rightChars="5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参与前期需求调研与资料收集，协助撰写部分项目文档，参与核心功能讨论</w:t>
            </w:r>
          </w:p>
        </w:tc>
      </w:tr>
      <w:tr w14:paraId="2AB23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7" w:hRule="atLeast"/>
        </w:trPr>
        <w:tc>
          <w:tcPr>
            <w:tcW w:w="1091" w:type="dxa"/>
            <w:vMerge w:val="restart"/>
            <w:vAlign w:val="center"/>
          </w:tcPr>
          <w:p w14:paraId="45447DD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成员</w:t>
            </w:r>
            <w:r>
              <w:rPr>
                <w:rFonts w:ascii="宋体" w:hAnsi="宋体"/>
                <w:sz w:val="24"/>
              </w:rPr>
              <w:t>3</w:t>
            </w:r>
          </w:p>
        </w:tc>
        <w:tc>
          <w:tcPr>
            <w:tcW w:w="2033" w:type="dxa"/>
            <w:vAlign w:val="center"/>
          </w:tcPr>
          <w:p w14:paraId="6F9CABF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1984" w:type="dxa"/>
            <w:vAlign w:val="center"/>
          </w:tcPr>
          <w:p w14:paraId="687D530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985" w:type="dxa"/>
            <w:vAlign w:val="center"/>
          </w:tcPr>
          <w:p w14:paraId="2AE64360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职务</w:t>
            </w:r>
          </w:p>
        </w:tc>
        <w:tc>
          <w:tcPr>
            <w:tcW w:w="1439" w:type="dxa"/>
            <w:vAlign w:val="center"/>
          </w:tcPr>
          <w:p w14:paraId="5EB396E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贡献度</w:t>
            </w:r>
          </w:p>
        </w:tc>
      </w:tr>
      <w:tr w14:paraId="4F62D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6" w:hRule="atLeast"/>
        </w:trPr>
        <w:tc>
          <w:tcPr>
            <w:tcW w:w="1091" w:type="dxa"/>
            <w:vMerge w:val="continue"/>
            <w:vAlign w:val="center"/>
          </w:tcPr>
          <w:p w14:paraId="133E6BDC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033" w:type="dxa"/>
            <w:vAlign w:val="center"/>
          </w:tcPr>
          <w:p w14:paraId="5CBC8EE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郑月乐</w:t>
            </w:r>
          </w:p>
        </w:tc>
        <w:tc>
          <w:tcPr>
            <w:tcW w:w="1984" w:type="dxa"/>
            <w:vAlign w:val="center"/>
          </w:tcPr>
          <w:p w14:paraId="48C2B4F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240110900444</w:t>
            </w:r>
          </w:p>
        </w:tc>
        <w:tc>
          <w:tcPr>
            <w:tcW w:w="1985" w:type="dxa"/>
            <w:vAlign w:val="center"/>
          </w:tcPr>
          <w:p w14:paraId="70A5566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系统分析负责人</w:t>
            </w:r>
          </w:p>
        </w:tc>
        <w:tc>
          <w:tcPr>
            <w:tcW w:w="1439" w:type="dxa"/>
            <w:vAlign w:val="center"/>
          </w:tcPr>
          <w:p w14:paraId="11F06BC3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25%</w:t>
            </w:r>
          </w:p>
        </w:tc>
      </w:tr>
      <w:tr w14:paraId="44C98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0" w:hRule="atLeast"/>
        </w:trPr>
        <w:tc>
          <w:tcPr>
            <w:tcW w:w="1091" w:type="dxa"/>
            <w:vAlign w:val="center"/>
          </w:tcPr>
          <w:p w14:paraId="1CD6ABD3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主要工作</w:t>
            </w:r>
          </w:p>
        </w:tc>
        <w:tc>
          <w:tcPr>
            <w:tcW w:w="7441" w:type="dxa"/>
            <w:gridSpan w:val="4"/>
          </w:tcPr>
          <w:p w14:paraId="728A7579">
            <w:pPr>
              <w:ind w:left="105" w:leftChars="50" w:right="105" w:rightChars="5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参与系统模块分析与设计讨论，协助绘制相关图表，负责部分文档的排版与校对</w:t>
            </w:r>
          </w:p>
        </w:tc>
      </w:tr>
      <w:tr w14:paraId="11B2C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47" w:hRule="atLeast"/>
        </w:trPr>
        <w:tc>
          <w:tcPr>
            <w:tcW w:w="1091" w:type="dxa"/>
            <w:vMerge w:val="restart"/>
            <w:vAlign w:val="center"/>
          </w:tcPr>
          <w:p w14:paraId="029FBA7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成员</w:t>
            </w:r>
            <w:r>
              <w:rPr>
                <w:rFonts w:ascii="宋体" w:hAnsi="宋体"/>
                <w:sz w:val="24"/>
              </w:rPr>
              <w:t>4</w:t>
            </w:r>
          </w:p>
        </w:tc>
        <w:tc>
          <w:tcPr>
            <w:tcW w:w="2033" w:type="dxa"/>
            <w:vAlign w:val="center"/>
          </w:tcPr>
          <w:p w14:paraId="44C0650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1984" w:type="dxa"/>
            <w:vAlign w:val="center"/>
          </w:tcPr>
          <w:p w14:paraId="23EFBD0C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1985" w:type="dxa"/>
            <w:vAlign w:val="center"/>
          </w:tcPr>
          <w:p w14:paraId="3F342C2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职务</w:t>
            </w:r>
          </w:p>
        </w:tc>
        <w:tc>
          <w:tcPr>
            <w:tcW w:w="1439" w:type="dxa"/>
            <w:vAlign w:val="center"/>
          </w:tcPr>
          <w:p w14:paraId="4F8DE5B9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贡献度</w:t>
            </w:r>
          </w:p>
        </w:tc>
      </w:tr>
      <w:tr w14:paraId="5937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466" w:hRule="atLeast"/>
        </w:trPr>
        <w:tc>
          <w:tcPr>
            <w:tcW w:w="1091" w:type="dxa"/>
            <w:vMerge w:val="continue"/>
            <w:vAlign w:val="center"/>
          </w:tcPr>
          <w:p w14:paraId="139900B4">
            <w:pPr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033" w:type="dxa"/>
            <w:vAlign w:val="center"/>
          </w:tcPr>
          <w:p w14:paraId="6FBCC3A4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魏奕超</w:t>
            </w:r>
          </w:p>
        </w:tc>
        <w:tc>
          <w:tcPr>
            <w:tcW w:w="1984" w:type="dxa"/>
            <w:vAlign w:val="center"/>
          </w:tcPr>
          <w:p w14:paraId="37AA6B0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240110900431</w:t>
            </w:r>
          </w:p>
        </w:tc>
        <w:tc>
          <w:tcPr>
            <w:tcW w:w="1985" w:type="dxa"/>
            <w:vAlign w:val="center"/>
          </w:tcPr>
          <w:p w14:paraId="1FD7EC18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系统设计负责人</w:t>
            </w:r>
          </w:p>
        </w:tc>
        <w:tc>
          <w:tcPr>
            <w:tcW w:w="1439" w:type="dxa"/>
            <w:vAlign w:val="center"/>
          </w:tcPr>
          <w:p w14:paraId="3989095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25%</w:t>
            </w:r>
          </w:p>
        </w:tc>
      </w:tr>
      <w:tr w14:paraId="6E2C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620" w:hRule="atLeast"/>
        </w:trPr>
        <w:tc>
          <w:tcPr>
            <w:tcW w:w="1091" w:type="dxa"/>
            <w:vAlign w:val="center"/>
          </w:tcPr>
          <w:p w14:paraId="3AE71A7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主要工作</w:t>
            </w:r>
          </w:p>
        </w:tc>
        <w:tc>
          <w:tcPr>
            <w:tcW w:w="7441" w:type="dxa"/>
            <w:gridSpan w:val="4"/>
          </w:tcPr>
          <w:p w14:paraId="4EF0279E">
            <w:pPr>
              <w:ind w:left="105" w:leftChars="50" w:right="105" w:rightChars="50"/>
              <w:rPr>
                <w:rFonts w:hint="eastAsia"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参与系统后期的测试与修改完善，协助部分代码编写（或实验数据整理），配合完成最终成果</w:t>
            </w:r>
          </w:p>
        </w:tc>
      </w:tr>
    </w:tbl>
    <w:p w14:paraId="45372EE4">
      <w:pPr>
        <w:widowControl/>
        <w:jc w:val="left"/>
        <w:rPr>
          <w:rFonts w:hint="eastAsia" w:ascii="宋体" w:hAnsi="宋体"/>
          <w:bCs/>
          <w:sz w:val="28"/>
        </w:rPr>
      </w:pPr>
      <w:r>
        <w:rPr>
          <w:rFonts w:ascii="宋体" w:hAnsi="宋体"/>
          <w:bCs/>
          <w:sz w:val="28"/>
        </w:rPr>
        <w:br w:type="page"/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CA34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8522" w:type="dxa"/>
            <w:shd w:val="clear" w:color="auto" w:fill="auto"/>
          </w:tcPr>
          <w:p w14:paraId="710EB784">
            <w:pPr>
              <w:tabs>
                <w:tab w:val="left" w:pos="5970"/>
              </w:tabs>
              <w:spacing w:line="360" w:lineRule="auto"/>
              <w:rPr>
                <w:rFonts w:hint="eastAsia" w:ascii="黑体" w:hAnsi="黑体" w:eastAsia="黑体"/>
                <w:bCs/>
                <w:sz w:val="24"/>
              </w:rPr>
            </w:pPr>
            <w:r>
              <w:rPr>
                <w:rFonts w:ascii="黑体" w:hAnsi="黑体" w:eastAsia="黑体"/>
                <w:bCs/>
                <w:sz w:val="24"/>
              </w:rPr>
              <w:br w:type="page"/>
            </w:r>
            <w:r>
              <w:rPr>
                <w:rFonts w:hint="eastAsia" w:ascii="黑体" w:hAnsi="黑体" w:eastAsia="黑体"/>
                <w:bCs/>
                <w:sz w:val="24"/>
              </w:rPr>
              <w:t>一、实验（实训）概述：</w:t>
            </w:r>
          </w:p>
        </w:tc>
      </w:tr>
      <w:tr w14:paraId="77AE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03" w:hRule="atLeast"/>
        </w:trPr>
        <w:tc>
          <w:tcPr>
            <w:tcW w:w="8522" w:type="dxa"/>
            <w:shd w:val="clear" w:color="auto" w:fill="auto"/>
          </w:tcPr>
          <w:p w14:paraId="7F3CFCB9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【目的与要求】</w:t>
            </w:r>
          </w:p>
          <w:p w14:paraId="61B8506C">
            <w:pPr>
              <w:pStyle w:val="16"/>
              <w:numPr>
                <w:ilvl w:val="0"/>
                <w:numId w:val="3"/>
              </w:numPr>
              <w:spacing w:line="360" w:lineRule="auto"/>
              <w:ind w:left="0" w:firstLine="480"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理解可行性分析在软件生命周期中的位置与作用，建立“先论证、后开发”的工程化思维。</w:t>
            </w:r>
          </w:p>
          <w:p w14:paraId="76F22BF4">
            <w:pPr>
              <w:pStyle w:val="16"/>
              <w:numPr>
                <w:ilvl w:val="0"/>
                <w:numId w:val="3"/>
              </w:numPr>
              <w:spacing w:line="360" w:lineRule="auto"/>
              <w:ind w:left="0" w:firstLine="480"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掌握可行性分析的基本方法，能够从技术、经济、操作、法律四个维度对软件项目进行系统评估。</w:t>
            </w:r>
          </w:p>
          <w:p w14:paraId="438D1EFC">
            <w:pPr>
              <w:pStyle w:val="16"/>
              <w:numPr>
                <w:ilvl w:val="0"/>
                <w:numId w:val="3"/>
              </w:numPr>
              <w:spacing w:line="360" w:lineRule="auto"/>
              <w:ind w:left="0" w:firstLine="480"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掌握初步调查的方法与技巧，能够通过访谈、问卷、查阅文档等方式获取项目背景信息。</w:t>
            </w:r>
          </w:p>
          <w:p w14:paraId="17EA8064">
            <w:pPr>
              <w:pStyle w:val="16"/>
              <w:numPr>
                <w:ilvl w:val="0"/>
                <w:numId w:val="3"/>
              </w:numPr>
              <w:spacing w:line="360" w:lineRule="auto"/>
              <w:ind w:left="0" w:firstLine="480"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掌握成本效益分析的基本方法，能够估算项目成本、预期效益并计算投资回收期。</w:t>
            </w:r>
          </w:p>
          <w:p w14:paraId="1A4C43D0">
            <w:pPr>
              <w:pStyle w:val="16"/>
              <w:numPr>
                <w:ilvl w:val="0"/>
                <w:numId w:val="3"/>
              </w:numPr>
              <w:spacing w:line="360" w:lineRule="auto"/>
              <w:ind w:left="0" w:firstLine="480"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能够撰写规范的《可行性分析报告》，为项目立项决策提供依据。</w:t>
            </w:r>
          </w:p>
          <w:p w14:paraId="7AD240F9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  <w:p w14:paraId="6F139C6C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【实验学时】</w:t>
            </w:r>
          </w:p>
          <w:p w14:paraId="5E64C0C3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6学时（不含课外调研时间）</w:t>
            </w:r>
          </w:p>
          <w:p w14:paraId="5A43D779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36965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shd w:val="clear" w:color="auto" w:fill="auto"/>
          </w:tcPr>
          <w:p w14:paraId="6F0BE67E">
            <w:pPr>
              <w:tabs>
                <w:tab w:val="left" w:pos="5970"/>
              </w:tabs>
              <w:spacing w:line="360" w:lineRule="auto"/>
              <w:rPr>
                <w:rFonts w:hint="eastAsia" w:ascii="黑体" w:hAnsi="黑体" w:eastAsia="黑体"/>
                <w:bCs/>
                <w:sz w:val="24"/>
              </w:rPr>
            </w:pPr>
            <w:r>
              <w:rPr>
                <w:rFonts w:hint="eastAsia" w:ascii="黑体" w:hAnsi="黑体" w:eastAsia="黑体"/>
                <w:bCs/>
                <w:sz w:val="24"/>
              </w:rPr>
              <w:t>二、实验（实训）内容：</w:t>
            </w:r>
          </w:p>
        </w:tc>
      </w:tr>
      <w:tr w14:paraId="73B2E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1" w:hRule="atLeast"/>
        </w:trPr>
        <w:tc>
          <w:tcPr>
            <w:tcW w:w="8522" w:type="dxa"/>
            <w:shd w:val="clear" w:color="auto" w:fill="auto"/>
          </w:tcPr>
          <w:p w14:paraId="40700850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【基本原理】</w:t>
            </w:r>
          </w:p>
          <w:p w14:paraId="24FBCBDE">
            <w:pPr>
              <w:tabs>
                <w:tab w:val="left" w:pos="5970"/>
              </w:tabs>
              <w:spacing w:line="360" w:lineRule="auto"/>
              <w:ind w:left="420" w:left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1. 可行性分析的定义</w:t>
            </w:r>
          </w:p>
          <w:p w14:paraId="6AC8BF37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可行性分析（Feasibility Analysis）是在项目正式立项之前，从技术、经济、操作、法律等维度，对项目是否值得启动、能否实现进行系统评估的过程。其核心目的是回答：“这个项目该不该做？能不能做？”</w:t>
            </w:r>
          </w:p>
          <w:p w14:paraId="325C8A55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</w:p>
          <w:p w14:paraId="2333A158">
            <w:pPr>
              <w:tabs>
                <w:tab w:val="left" w:pos="5970"/>
              </w:tabs>
              <w:spacing w:line="360" w:lineRule="auto"/>
              <w:ind w:left="420" w:left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2. 可行性分析的四个维度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1"/>
              <w:gridCol w:w="2552"/>
              <w:gridCol w:w="3937"/>
            </w:tblGrid>
            <w:tr w14:paraId="4BD9A9C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0EC164D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维度</w:t>
                  </w:r>
                </w:p>
              </w:tc>
              <w:tc>
                <w:tcPr>
                  <w:tcW w:w="2552" w:type="dxa"/>
                </w:tcPr>
                <w:p w14:paraId="2C475F75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核心问题</w:t>
                  </w:r>
                </w:p>
              </w:tc>
              <w:tc>
                <w:tcPr>
                  <w:tcW w:w="3937" w:type="dxa"/>
                </w:tcPr>
                <w:p w14:paraId="4925D7E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评估要点</w:t>
                  </w:r>
                </w:p>
              </w:tc>
            </w:tr>
            <w:tr w14:paraId="042FFF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78538C89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技术可行性</w:t>
                  </w:r>
                </w:p>
              </w:tc>
              <w:tc>
                <w:tcPr>
                  <w:tcW w:w="2552" w:type="dxa"/>
                  <w:vAlign w:val="center"/>
                </w:tcPr>
                <w:p w14:paraId="38436206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现有技术能实现吗？</w:t>
                  </w:r>
                </w:p>
              </w:tc>
              <w:tc>
                <w:tcPr>
                  <w:tcW w:w="3937" w:type="dxa"/>
                </w:tcPr>
                <w:p w14:paraId="0C145C92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硬件性能、软件平台、开发工具、团队技术能力、关键技术风险</w:t>
                  </w:r>
                </w:p>
              </w:tc>
            </w:tr>
            <w:tr w14:paraId="1049DA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4059FC15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经济可行性</w:t>
                  </w:r>
                </w:p>
              </w:tc>
              <w:tc>
                <w:tcPr>
                  <w:tcW w:w="2552" w:type="dxa"/>
                  <w:vAlign w:val="center"/>
                </w:tcPr>
                <w:p w14:paraId="57288C97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成本效益合算吗？</w:t>
                  </w:r>
                </w:p>
              </w:tc>
              <w:tc>
                <w:tcPr>
                  <w:tcW w:w="3937" w:type="dxa"/>
                </w:tcPr>
                <w:p w14:paraId="49A66A53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开发成本、运维成本、直接效益、间接效益、投资回收期</w:t>
                  </w:r>
                </w:p>
              </w:tc>
            </w:tr>
            <w:tr w14:paraId="6BAF290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7C4E67FB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操作可行性</w:t>
                  </w:r>
                </w:p>
              </w:tc>
              <w:tc>
                <w:tcPr>
                  <w:tcW w:w="2552" w:type="dxa"/>
                </w:tcPr>
                <w:p w14:paraId="66F81233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用户会用吗？组织能落地吗？</w:t>
                  </w:r>
                </w:p>
              </w:tc>
              <w:tc>
                <w:tcPr>
                  <w:tcW w:w="3937" w:type="dxa"/>
                </w:tcPr>
                <w:p w14:paraId="55DF1ED8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用户接受度、学习成本、使用习惯、组织流程匹配度</w:t>
                  </w:r>
                </w:p>
              </w:tc>
            </w:tr>
            <w:tr w14:paraId="7AFC8D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39C59BE1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法律可行性</w:t>
                  </w:r>
                </w:p>
              </w:tc>
              <w:tc>
                <w:tcPr>
                  <w:tcW w:w="2552" w:type="dxa"/>
                  <w:vAlign w:val="center"/>
                </w:tcPr>
                <w:p w14:paraId="6CF9D257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这么做合法吗？</w:t>
                  </w:r>
                </w:p>
              </w:tc>
              <w:tc>
                <w:tcPr>
                  <w:tcW w:w="3937" w:type="dxa"/>
                </w:tcPr>
                <w:p w14:paraId="47073802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知识产权、数据隐私、行业法规、合同约束</w:t>
                  </w:r>
                </w:p>
              </w:tc>
            </w:tr>
          </w:tbl>
          <w:p w14:paraId="45DAB7F7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  <w:p w14:paraId="72D05B90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3. 初步调查的方法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40"/>
              <w:gridCol w:w="2268"/>
              <w:gridCol w:w="2344"/>
              <w:gridCol w:w="2018"/>
            </w:tblGrid>
            <w:tr w14:paraId="451E00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0" w:type="dxa"/>
                </w:tcPr>
                <w:p w14:paraId="3E55A58A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方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法</w:t>
                  </w:r>
                </w:p>
              </w:tc>
              <w:tc>
                <w:tcPr>
                  <w:tcW w:w="2268" w:type="dxa"/>
                </w:tcPr>
                <w:p w14:paraId="76BC6D48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适用场景</w:t>
                  </w:r>
                </w:p>
              </w:tc>
              <w:tc>
                <w:tcPr>
                  <w:tcW w:w="2344" w:type="dxa"/>
                </w:tcPr>
                <w:p w14:paraId="35B94E4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优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点</w:t>
                  </w:r>
                </w:p>
              </w:tc>
              <w:tc>
                <w:tcPr>
                  <w:tcW w:w="2018" w:type="dxa"/>
                </w:tcPr>
                <w:p w14:paraId="20FDD696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缺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点</w:t>
                  </w:r>
                </w:p>
              </w:tc>
            </w:tr>
            <w:tr w14:paraId="73C368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0" w:type="dxa"/>
                  <w:vAlign w:val="center"/>
                </w:tcPr>
                <w:p w14:paraId="2B08D734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访谈</w:t>
                  </w:r>
                </w:p>
              </w:tc>
              <w:tc>
                <w:tcPr>
                  <w:tcW w:w="2268" w:type="dxa"/>
                </w:tcPr>
                <w:p w14:paraId="0D34AA87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与关键用户/管理者面谈</w:t>
                  </w:r>
                </w:p>
              </w:tc>
              <w:tc>
                <w:tcPr>
                  <w:tcW w:w="2344" w:type="dxa"/>
                </w:tcPr>
                <w:p w14:paraId="387EBF35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信息丰富、可深入追问</w:t>
                  </w:r>
                </w:p>
              </w:tc>
              <w:tc>
                <w:tcPr>
                  <w:tcW w:w="2018" w:type="dxa"/>
                </w:tcPr>
                <w:p w14:paraId="717A16A3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耗时、可能被访谈者主观影响</w:t>
                  </w:r>
                </w:p>
              </w:tc>
            </w:tr>
            <w:tr w14:paraId="263B3FD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0" w:type="dxa"/>
                  <w:vAlign w:val="center"/>
                </w:tcPr>
                <w:p w14:paraId="2A9AFE04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问卷</w:t>
                  </w:r>
                </w:p>
              </w:tc>
              <w:tc>
                <w:tcPr>
                  <w:tcW w:w="2268" w:type="dxa"/>
                </w:tcPr>
                <w:p w14:paraId="170FB28D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面向大量用户收集意见</w:t>
                  </w:r>
                </w:p>
              </w:tc>
              <w:tc>
                <w:tcPr>
                  <w:tcW w:w="2344" w:type="dxa"/>
                  <w:vAlign w:val="center"/>
                </w:tcPr>
                <w:p w14:paraId="50418F8E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覆盖范围广、效率高</w:t>
                  </w:r>
                </w:p>
              </w:tc>
              <w:tc>
                <w:tcPr>
                  <w:tcW w:w="2018" w:type="dxa"/>
                </w:tcPr>
                <w:p w14:paraId="7E2D2D99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回收率难保证、无法深入追问</w:t>
                  </w:r>
                </w:p>
              </w:tc>
            </w:tr>
            <w:tr w14:paraId="2FF1798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0" w:type="dxa"/>
                  <w:vAlign w:val="center"/>
                </w:tcPr>
                <w:p w14:paraId="4A0C0AD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查阅文档</w:t>
                  </w:r>
                </w:p>
              </w:tc>
              <w:tc>
                <w:tcPr>
                  <w:tcW w:w="2268" w:type="dxa"/>
                </w:tcPr>
                <w:p w14:paraId="4B09CD99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查看现有报表、制度、手册</w:t>
                  </w:r>
                </w:p>
              </w:tc>
              <w:tc>
                <w:tcPr>
                  <w:tcW w:w="2344" w:type="dxa"/>
                  <w:vAlign w:val="center"/>
                </w:tcPr>
                <w:p w14:paraId="52215673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客观、可追溯</w:t>
                  </w:r>
                </w:p>
              </w:tc>
              <w:tc>
                <w:tcPr>
                  <w:tcW w:w="2018" w:type="dxa"/>
                </w:tcPr>
                <w:p w14:paraId="63FE5AE2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文档可能过时或不完整</w:t>
                  </w:r>
                </w:p>
              </w:tc>
            </w:tr>
            <w:tr w14:paraId="0F8C61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40" w:type="dxa"/>
                  <w:vAlign w:val="center"/>
                </w:tcPr>
                <w:p w14:paraId="5DCFF952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现场观察</w:t>
                  </w:r>
                </w:p>
              </w:tc>
              <w:tc>
                <w:tcPr>
                  <w:tcW w:w="2268" w:type="dxa"/>
                </w:tcPr>
                <w:p w14:paraId="0E9CB15C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了解现有流程的实际执行情况</w:t>
                  </w:r>
                </w:p>
              </w:tc>
              <w:tc>
                <w:tcPr>
                  <w:tcW w:w="2344" w:type="dxa"/>
                </w:tcPr>
                <w:p w14:paraId="2C4CBF7C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看到真实操作、发现“潜规则”</w:t>
                  </w:r>
                </w:p>
              </w:tc>
              <w:tc>
                <w:tcPr>
                  <w:tcW w:w="2018" w:type="dxa"/>
                </w:tcPr>
                <w:p w14:paraId="175AC035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被观察者可能行为改变</w:t>
                  </w:r>
                </w:p>
              </w:tc>
            </w:tr>
          </w:tbl>
          <w:p w14:paraId="178B50E9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  <w:p w14:paraId="56ABBD2E">
            <w:pPr>
              <w:tabs>
                <w:tab w:val="left" w:pos="5970"/>
              </w:tabs>
              <w:spacing w:line="360" w:lineRule="auto"/>
              <w:ind w:left="420" w:left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4. 成本效益分析方法</w:t>
            </w:r>
          </w:p>
          <w:p w14:paraId="158572F1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成本估算：开发成本（人力、设备、软件许可）+ 运维成本（服务器、维护、升级）</w:t>
            </w:r>
          </w:p>
          <w:p w14:paraId="3B974A3D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效益估算：</w:t>
            </w:r>
          </w:p>
          <w:p w14:paraId="3607D2F6">
            <w:pPr>
              <w:pStyle w:val="16"/>
              <w:numPr>
                <w:ilvl w:val="0"/>
                <w:numId w:val="4"/>
              </w:numPr>
              <w:tabs>
                <w:tab w:val="left" w:pos="5970"/>
              </w:tabs>
              <w:spacing w:line="360" w:lineRule="auto"/>
              <w:ind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直接效益：可量化的收入增加或成本节省</w:t>
            </w:r>
          </w:p>
          <w:p w14:paraId="6535082C">
            <w:pPr>
              <w:pStyle w:val="16"/>
              <w:numPr>
                <w:ilvl w:val="0"/>
                <w:numId w:val="4"/>
              </w:numPr>
              <w:tabs>
                <w:tab w:val="left" w:pos="5970"/>
              </w:tabs>
              <w:spacing w:line="360" w:lineRule="auto"/>
              <w:ind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间接效益：效率提升、用户满意度、数据价值等</w:t>
            </w:r>
          </w:p>
          <w:p w14:paraId="3E8773E6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投资回收期计算：</w:t>
            </w:r>
          </w:p>
          <w:p w14:paraId="6D761851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投资回收期 = 总投入 ÷ 年净效益</w:t>
            </w:r>
          </w:p>
          <w:p w14:paraId="668FCC7E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</w:p>
          <w:p w14:paraId="35A4DB5C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5. 可行性结论的三种类型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1"/>
              <w:gridCol w:w="3119"/>
              <w:gridCol w:w="3370"/>
            </w:tblGrid>
            <w:tr w14:paraId="043291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10802D3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结论</w:t>
                  </w:r>
                </w:p>
              </w:tc>
              <w:tc>
                <w:tcPr>
                  <w:tcW w:w="3119" w:type="dxa"/>
                </w:tcPr>
                <w:p w14:paraId="20546EA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含义</w:t>
                  </w:r>
                </w:p>
              </w:tc>
              <w:tc>
                <w:tcPr>
                  <w:tcW w:w="3370" w:type="dxa"/>
                </w:tcPr>
                <w:p w14:paraId="6226C3C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后续行动</w:t>
                  </w:r>
                </w:p>
              </w:tc>
            </w:tr>
            <w:tr w14:paraId="7B5CB80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22FDEEAD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可行</w:t>
                  </w:r>
                </w:p>
              </w:tc>
              <w:tc>
                <w:tcPr>
                  <w:tcW w:w="3119" w:type="dxa"/>
                </w:tcPr>
                <w:p w14:paraId="02BA2E4E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项目值得启动</w:t>
                  </w:r>
                </w:p>
              </w:tc>
              <w:tc>
                <w:tcPr>
                  <w:tcW w:w="3370" w:type="dxa"/>
                </w:tcPr>
                <w:p w14:paraId="3B8F1671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推荐方案，进入需求分析</w:t>
                  </w:r>
                </w:p>
              </w:tc>
            </w:tr>
            <w:tr w14:paraId="1BFC6FE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2F0DDB1C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有条件可行</w:t>
                  </w:r>
                </w:p>
              </w:tc>
              <w:tc>
                <w:tcPr>
                  <w:tcW w:w="3119" w:type="dxa"/>
                  <w:vAlign w:val="center"/>
                </w:tcPr>
                <w:p w14:paraId="419B9BE9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需满足特定条件后方可启动</w:t>
                  </w:r>
                </w:p>
              </w:tc>
              <w:tc>
                <w:tcPr>
                  <w:tcW w:w="3370" w:type="dxa"/>
                </w:tcPr>
                <w:p w14:paraId="09B91237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明确条件，待条件满足后再评估</w:t>
                  </w:r>
                </w:p>
              </w:tc>
            </w:tr>
            <w:tr w14:paraId="337F9D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3E5E5D18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不可行</w:t>
                  </w:r>
                </w:p>
              </w:tc>
              <w:tc>
                <w:tcPr>
                  <w:tcW w:w="3119" w:type="dxa"/>
                </w:tcPr>
                <w:p w14:paraId="45262993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建议终止项目</w:t>
                  </w:r>
                </w:p>
              </w:tc>
              <w:tc>
                <w:tcPr>
                  <w:tcW w:w="3370" w:type="dxa"/>
                </w:tcPr>
                <w:p w14:paraId="6415CDA8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避免更大资源浪费</w:t>
                  </w:r>
                </w:p>
              </w:tc>
            </w:tr>
          </w:tbl>
          <w:p w14:paraId="41C5ECBB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</w:p>
          <w:p w14:paraId="61178EE2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【实验环境】</w:t>
            </w:r>
          </w:p>
          <w:p w14:paraId="5FD162D8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办公电脑、个人手机、网络环境、办公软件、问卷平台等</w:t>
            </w:r>
          </w:p>
          <w:p w14:paraId="7EC9E423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</w:p>
          <w:p w14:paraId="22421398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【实验任务】</w:t>
            </w:r>
          </w:p>
          <w:p w14:paraId="5BF671E1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任务1：项目选题</w:t>
            </w:r>
          </w:p>
          <w:p w14:paraId="187B9F67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要求：每组选定一个软件项目，需满足以下条件：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07"/>
              <w:gridCol w:w="6063"/>
            </w:tblGrid>
            <w:tr w14:paraId="2CBE66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7" w:type="dxa"/>
                </w:tcPr>
                <w:p w14:paraId="599F0403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条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件</w:t>
                  </w:r>
                </w:p>
              </w:tc>
              <w:tc>
                <w:tcPr>
                  <w:tcW w:w="6063" w:type="dxa"/>
                </w:tcPr>
                <w:p w14:paraId="4469DFE0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说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 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明</w:t>
                  </w:r>
                </w:p>
              </w:tc>
            </w:tr>
            <w:tr w14:paraId="1D86066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7" w:type="dxa"/>
                </w:tcPr>
                <w:p w14:paraId="1F779296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贴近实际</w:t>
                  </w:r>
                </w:p>
              </w:tc>
              <w:tc>
                <w:tcPr>
                  <w:tcW w:w="6063" w:type="dxa"/>
                </w:tcPr>
                <w:p w14:paraId="493F53FE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校园场景或企业真实业务，有明确的用户群体</w:t>
                  </w:r>
                </w:p>
              </w:tc>
            </w:tr>
            <w:tr w14:paraId="46706C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7" w:type="dxa"/>
                </w:tcPr>
                <w:p w14:paraId="39B049B4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规模适中</w:t>
                  </w:r>
                </w:p>
              </w:tc>
              <w:tc>
                <w:tcPr>
                  <w:tcW w:w="6063" w:type="dxa"/>
                </w:tcPr>
                <w:p w14:paraId="3B083F47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功能数量适合4-5人团队在一学期内完成</w:t>
                  </w:r>
                </w:p>
              </w:tc>
            </w:tr>
            <w:tr w14:paraId="3B4BED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7" w:type="dxa"/>
                </w:tcPr>
                <w:p w14:paraId="61F2A49B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有调研空间</w:t>
                  </w:r>
                </w:p>
              </w:tc>
              <w:tc>
                <w:tcPr>
                  <w:tcW w:w="6063" w:type="dxa"/>
                </w:tcPr>
                <w:p w14:paraId="34A1B93B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现有业务流程存在可改进之处，能获取真实数据</w:t>
                  </w:r>
                </w:p>
              </w:tc>
            </w:tr>
            <w:tr w14:paraId="31F5AF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007" w:type="dxa"/>
                </w:tcPr>
                <w:p w14:paraId="6AF5EFC7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有分析价值</w:t>
                  </w:r>
                </w:p>
              </w:tc>
              <w:tc>
                <w:tcPr>
                  <w:tcW w:w="6063" w:type="dxa"/>
                </w:tcPr>
                <w:p w14:paraId="77FCA292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涉及技术、经济、操作、法律等多维度考量</w:t>
                  </w:r>
                </w:p>
              </w:tc>
            </w:tr>
          </w:tbl>
          <w:p w14:paraId="39681EEE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</w:p>
          <w:p w14:paraId="6A77570B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选题参考：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31"/>
              <w:gridCol w:w="3118"/>
              <w:gridCol w:w="4221"/>
            </w:tblGrid>
            <w:tr w14:paraId="183EDC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 w14:paraId="7F531EE1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序号</w:t>
                  </w:r>
                </w:p>
              </w:tc>
              <w:tc>
                <w:tcPr>
                  <w:tcW w:w="3118" w:type="dxa"/>
                </w:tcPr>
                <w:p w14:paraId="32D48E6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项目名称</w:t>
                  </w:r>
                </w:p>
              </w:tc>
              <w:tc>
                <w:tcPr>
                  <w:tcW w:w="4221" w:type="dxa"/>
                </w:tcPr>
                <w:p w14:paraId="1F68F2FF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特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 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点</w:t>
                  </w:r>
                </w:p>
              </w:tc>
            </w:tr>
            <w:tr w14:paraId="7757E4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 w14:paraId="3EA6BF56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3118" w:type="dxa"/>
                </w:tcPr>
                <w:p w14:paraId="1E071212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图书馆研讨室预约系统</w:t>
                  </w:r>
                </w:p>
              </w:tc>
              <w:tc>
                <w:tcPr>
                  <w:tcW w:w="4221" w:type="dxa"/>
                </w:tcPr>
                <w:p w14:paraId="104D0F7D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业务清晰，痛点明确，适合全流程实验</w:t>
                  </w:r>
                </w:p>
              </w:tc>
            </w:tr>
            <w:tr w14:paraId="519D5E4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 w14:paraId="01F1AE19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2</w:t>
                  </w:r>
                </w:p>
              </w:tc>
              <w:tc>
                <w:tcPr>
                  <w:tcW w:w="3118" w:type="dxa"/>
                </w:tcPr>
                <w:p w14:paraId="2FB0A0EB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校园二手交易平台</w:t>
                  </w:r>
                </w:p>
              </w:tc>
              <w:tc>
                <w:tcPr>
                  <w:tcW w:w="4221" w:type="dxa"/>
                </w:tcPr>
                <w:p w14:paraId="261A14D1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涉及用户、商品、订单，用户需求多样</w:t>
                  </w:r>
                </w:p>
              </w:tc>
            </w:tr>
            <w:tr w14:paraId="4BF064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 w14:paraId="1D37C203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3</w:t>
                  </w:r>
                </w:p>
              </w:tc>
              <w:tc>
                <w:tcPr>
                  <w:tcW w:w="3118" w:type="dxa"/>
                </w:tcPr>
                <w:p w14:paraId="7F1AA13D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学生考勤管理系统</w:t>
                  </w:r>
                </w:p>
              </w:tc>
              <w:tc>
                <w:tcPr>
                  <w:tcW w:w="4221" w:type="dxa"/>
                </w:tcPr>
                <w:p w14:paraId="3BA88B2F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流程规范，适合结构化分析</w:t>
                  </w:r>
                </w:p>
              </w:tc>
            </w:tr>
            <w:tr w14:paraId="09931F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 w14:paraId="60585820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4</w:t>
                  </w:r>
                </w:p>
              </w:tc>
              <w:tc>
                <w:tcPr>
                  <w:tcW w:w="3118" w:type="dxa"/>
                </w:tcPr>
                <w:p w14:paraId="3839B84A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校园快递代取系统</w:t>
                  </w:r>
                </w:p>
              </w:tc>
              <w:tc>
                <w:tcPr>
                  <w:tcW w:w="4221" w:type="dxa"/>
                </w:tcPr>
                <w:p w14:paraId="195FC19B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贴近学生生活，涉及支付与通知</w:t>
                  </w:r>
                </w:p>
              </w:tc>
            </w:tr>
            <w:tr w14:paraId="3B3EB0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31" w:type="dxa"/>
                </w:tcPr>
                <w:p w14:paraId="6C1F6F83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5</w:t>
                  </w:r>
                </w:p>
              </w:tc>
              <w:tc>
                <w:tcPr>
                  <w:tcW w:w="3118" w:type="dxa"/>
                </w:tcPr>
                <w:p w14:paraId="0D05EBF4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食堂订餐与取餐通知系统</w:t>
                  </w:r>
                </w:p>
              </w:tc>
              <w:tc>
                <w:tcPr>
                  <w:tcW w:w="4221" w:type="dxa"/>
                </w:tcPr>
                <w:p w14:paraId="3739B0C1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高峰期排队问题突出，需求明确</w:t>
                  </w:r>
                </w:p>
              </w:tc>
            </w:tr>
          </w:tbl>
          <w:p w14:paraId="6EF40D87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交付：选题登记表（含项目名称、背景简述、小组成员分工）</w:t>
            </w:r>
          </w:p>
          <w:p w14:paraId="23B7E017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</w:p>
          <w:p w14:paraId="601CA97F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任务2：初步调查</w:t>
            </w:r>
          </w:p>
          <w:p w14:paraId="469F507E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要求：通过访谈、问卷、现场观察等方式，完成以下调研：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65"/>
              <w:gridCol w:w="3515"/>
              <w:gridCol w:w="2690"/>
            </w:tblGrid>
            <w:tr w14:paraId="73F6AE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</w:tcPr>
                <w:p w14:paraId="68DFC611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调研内容</w:t>
                  </w:r>
                </w:p>
              </w:tc>
              <w:tc>
                <w:tcPr>
                  <w:tcW w:w="3515" w:type="dxa"/>
                </w:tcPr>
                <w:p w14:paraId="6BBE6146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具体任务</w:t>
                  </w:r>
                </w:p>
              </w:tc>
              <w:tc>
                <w:tcPr>
                  <w:tcW w:w="2690" w:type="dxa"/>
                </w:tcPr>
                <w:p w14:paraId="01A6B83D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产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出</w:t>
                  </w:r>
                </w:p>
              </w:tc>
            </w:tr>
            <w:tr w14:paraId="2215E2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  <w:vAlign w:val="center"/>
                </w:tcPr>
                <w:p w14:paraId="599A5370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现有业务流程</w:t>
                  </w:r>
                </w:p>
              </w:tc>
              <w:tc>
                <w:tcPr>
                  <w:tcW w:w="3515" w:type="dxa"/>
                </w:tcPr>
                <w:p w14:paraId="107FDFB5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了解当前工作是如何开展的，涉及哪些角色、哪些环节</w:t>
                  </w:r>
                </w:p>
              </w:tc>
              <w:tc>
                <w:tcPr>
                  <w:tcW w:w="2690" w:type="dxa"/>
                </w:tcPr>
                <w:p w14:paraId="14B5EB70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业务流程图（手绘或工具绘制）</w:t>
                  </w:r>
                </w:p>
              </w:tc>
            </w:tr>
            <w:tr w14:paraId="332C94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  <w:vAlign w:val="center"/>
                </w:tcPr>
                <w:p w14:paraId="3C9F5F42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存在问题与痛点</w:t>
                  </w:r>
                </w:p>
              </w:tc>
              <w:tc>
                <w:tcPr>
                  <w:tcW w:w="3515" w:type="dxa"/>
                </w:tcPr>
                <w:p w14:paraId="49162C23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记录用户反映的主要问题，尽可能量化</w:t>
                  </w:r>
                </w:p>
              </w:tc>
              <w:tc>
                <w:tcPr>
                  <w:tcW w:w="2690" w:type="dxa"/>
                  <w:vAlign w:val="center"/>
                </w:tcPr>
                <w:p w14:paraId="72A8074A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问题清单（含具体数据）</w:t>
                  </w:r>
                </w:p>
              </w:tc>
            </w:tr>
            <w:tr w14:paraId="6D2B52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  <w:vAlign w:val="center"/>
                </w:tcPr>
                <w:p w14:paraId="503C4FCB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用户需求</w:t>
                  </w:r>
                </w:p>
              </w:tc>
              <w:tc>
                <w:tcPr>
                  <w:tcW w:w="3515" w:type="dxa"/>
                </w:tcPr>
                <w:p w14:paraId="34CDFE5B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了解用户对新系统的期望功能和优先级</w:t>
                  </w:r>
                </w:p>
              </w:tc>
              <w:tc>
                <w:tcPr>
                  <w:tcW w:w="2690" w:type="dxa"/>
                </w:tcPr>
                <w:p w14:paraId="5DA3BA34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需求清单（按优先级排序）</w:t>
                  </w:r>
                </w:p>
              </w:tc>
            </w:tr>
            <w:tr w14:paraId="4F5C64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  <w:vAlign w:val="center"/>
                </w:tcPr>
                <w:p w14:paraId="31FE6625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技术与资源约束</w:t>
                  </w:r>
                </w:p>
              </w:tc>
              <w:tc>
                <w:tcPr>
                  <w:tcW w:w="3515" w:type="dxa"/>
                </w:tcPr>
                <w:p w14:paraId="07A162A6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了解现有技术条件、数据接口、硬件设备等情况</w:t>
                  </w:r>
                </w:p>
              </w:tc>
              <w:tc>
                <w:tcPr>
                  <w:tcW w:w="2690" w:type="dxa"/>
                  <w:vAlign w:val="center"/>
                </w:tcPr>
                <w:p w14:paraId="55523F8A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约束条件清单</w:t>
                  </w:r>
                </w:p>
              </w:tc>
            </w:tr>
            <w:tr w14:paraId="20AB27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  <w:vAlign w:val="center"/>
                </w:tcPr>
                <w:p w14:paraId="268F2EFE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关键干系人</w:t>
                  </w:r>
                </w:p>
              </w:tc>
              <w:tc>
                <w:tcPr>
                  <w:tcW w:w="3515" w:type="dxa"/>
                </w:tcPr>
                <w:p w14:paraId="5E0AA08F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识别谁是决策者、谁是使用者、谁可能反对</w:t>
                  </w:r>
                </w:p>
              </w:tc>
              <w:tc>
                <w:tcPr>
                  <w:tcW w:w="2690" w:type="dxa"/>
                  <w:vAlign w:val="center"/>
                </w:tcPr>
                <w:p w14:paraId="58BE896E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干系人列表</w:t>
                  </w:r>
                </w:p>
              </w:tc>
            </w:tr>
          </w:tbl>
          <w:p w14:paraId="6129E562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交付：调研记录（访谈纪要、问卷统计结果、现场观察笔记）</w:t>
            </w:r>
          </w:p>
          <w:p w14:paraId="1F51BD97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</w:p>
          <w:p w14:paraId="1DE30D4B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任务3：可行性分析</w:t>
            </w:r>
          </w:p>
          <w:p w14:paraId="2A81BC02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要求：从以下四个维度进行可行性分析：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1"/>
              <w:gridCol w:w="2977"/>
              <w:gridCol w:w="3512"/>
            </w:tblGrid>
            <w:tr w14:paraId="3C669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4E165053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维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度</w:t>
                  </w:r>
                </w:p>
              </w:tc>
              <w:tc>
                <w:tcPr>
                  <w:tcW w:w="2977" w:type="dxa"/>
                </w:tcPr>
                <w:p w14:paraId="49145173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分析内容</w:t>
                  </w:r>
                </w:p>
              </w:tc>
              <w:tc>
                <w:tcPr>
                  <w:tcW w:w="3512" w:type="dxa"/>
                </w:tcPr>
                <w:p w14:paraId="2B8585B1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需要回答的问题</w:t>
                  </w:r>
                </w:p>
              </w:tc>
            </w:tr>
            <w:tr w14:paraId="31A6A0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463FB672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技术可行性</w:t>
                  </w:r>
                </w:p>
              </w:tc>
              <w:tc>
                <w:tcPr>
                  <w:tcW w:w="2977" w:type="dxa"/>
                </w:tcPr>
                <w:p w14:paraId="15471101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技术方案、技术风险、团队能力</w:t>
                  </w:r>
                </w:p>
              </w:tc>
              <w:tc>
                <w:tcPr>
                  <w:tcW w:w="3512" w:type="dxa"/>
                </w:tcPr>
                <w:p w14:paraId="626401D1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现有技术能实现吗？有什么技术难点？</w:t>
                  </w:r>
                </w:p>
              </w:tc>
            </w:tr>
            <w:tr w14:paraId="335AAB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6065F002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经济可行性</w:t>
                  </w:r>
                </w:p>
              </w:tc>
              <w:tc>
                <w:tcPr>
                  <w:tcW w:w="2977" w:type="dxa"/>
                </w:tcPr>
                <w:p w14:paraId="41B55837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成本估算、效益估算、投资回收期</w:t>
                  </w:r>
                </w:p>
              </w:tc>
              <w:tc>
                <w:tcPr>
                  <w:tcW w:w="3512" w:type="dxa"/>
                </w:tcPr>
                <w:p w14:paraId="65060780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需要多少钱？能带来多少收益？多久回本？</w:t>
                  </w:r>
                </w:p>
              </w:tc>
            </w:tr>
            <w:tr w14:paraId="05FBCF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386B18E5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操作可行性</w:t>
                  </w:r>
                </w:p>
              </w:tc>
              <w:tc>
                <w:tcPr>
                  <w:tcW w:w="2977" w:type="dxa"/>
                </w:tcPr>
                <w:p w14:paraId="7FA6D431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用户接受度、学习成本、流程匹配</w:t>
                  </w:r>
                </w:p>
              </w:tc>
              <w:tc>
                <w:tcPr>
                  <w:tcW w:w="3512" w:type="dxa"/>
                </w:tcPr>
                <w:p w14:paraId="3E27552F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用户会用吗？需要培训吗？流程要改吗？</w:t>
                  </w:r>
                </w:p>
              </w:tc>
            </w:tr>
            <w:tr w14:paraId="5CB115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  <w:vAlign w:val="center"/>
                </w:tcPr>
                <w:p w14:paraId="285FE29C">
                  <w:pPr>
                    <w:tabs>
                      <w:tab w:val="left" w:pos="5970"/>
                    </w:tabs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法律可行性</w:t>
                  </w:r>
                </w:p>
              </w:tc>
              <w:tc>
                <w:tcPr>
                  <w:tcW w:w="2977" w:type="dxa"/>
                </w:tcPr>
                <w:p w14:paraId="01854D2C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知识产权、数据隐私、合规性</w:t>
                  </w:r>
                </w:p>
              </w:tc>
              <w:tc>
                <w:tcPr>
                  <w:tcW w:w="3512" w:type="dxa"/>
                </w:tcPr>
                <w:p w14:paraId="71EE43EF">
                  <w:pPr>
                    <w:tabs>
                      <w:tab w:val="left" w:pos="5970"/>
                    </w:tabs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有法律风险吗？符合法规要求吗？</w:t>
                  </w:r>
                </w:p>
              </w:tc>
            </w:tr>
          </w:tbl>
          <w:p w14:paraId="109091E8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交付：可行性分析（含分析依据和结论）</w:t>
            </w:r>
          </w:p>
          <w:p w14:paraId="153A1C71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（附）成本效益分析方法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65"/>
              <w:gridCol w:w="6205"/>
            </w:tblGrid>
            <w:tr w14:paraId="22D6BD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</w:tcPr>
                <w:p w14:paraId="7161E680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计算项</w:t>
                  </w:r>
                </w:p>
              </w:tc>
              <w:tc>
                <w:tcPr>
                  <w:tcW w:w="6205" w:type="dxa"/>
                </w:tcPr>
                <w:p w14:paraId="53D4B954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内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 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容</w:t>
                  </w:r>
                </w:p>
              </w:tc>
            </w:tr>
            <w:tr w14:paraId="55C18E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</w:tcPr>
                <w:p w14:paraId="231EBCDE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一次性投入</w:t>
                  </w:r>
                </w:p>
              </w:tc>
              <w:tc>
                <w:tcPr>
                  <w:tcW w:w="6205" w:type="dxa"/>
                </w:tcPr>
                <w:p w14:paraId="6D4045C5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开发人力成本、硬件设备、软件许可、认证费用等</w:t>
                  </w:r>
                </w:p>
              </w:tc>
            </w:tr>
            <w:tr w14:paraId="53074F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</w:tcPr>
                <w:p w14:paraId="7D82C397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年运维成本</w:t>
                  </w:r>
                </w:p>
              </w:tc>
              <w:tc>
                <w:tcPr>
                  <w:tcW w:w="6205" w:type="dxa"/>
                </w:tcPr>
                <w:p w14:paraId="1C9674B0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服务器费用、维护人力、第三方服务费等</w:t>
                  </w:r>
                </w:p>
              </w:tc>
            </w:tr>
            <w:tr w14:paraId="4F2D20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</w:tcPr>
                <w:p w14:paraId="5A720650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年直接效益</w:t>
                  </w:r>
                </w:p>
              </w:tc>
              <w:tc>
                <w:tcPr>
                  <w:tcW w:w="6205" w:type="dxa"/>
                </w:tcPr>
                <w:p w14:paraId="6369068C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节省人力、减少浪费、增加收入等</w:t>
                  </w:r>
                </w:p>
              </w:tc>
            </w:tr>
            <w:tr w14:paraId="543CC2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</w:tcPr>
                <w:p w14:paraId="114E0AD8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年间接效益</w:t>
                  </w:r>
                </w:p>
              </w:tc>
              <w:tc>
                <w:tcPr>
                  <w:tcW w:w="6205" w:type="dxa"/>
                </w:tcPr>
                <w:p w14:paraId="7A02B092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效率提升、满意度提升、数据价值等</w:t>
                  </w:r>
                </w:p>
              </w:tc>
            </w:tr>
            <w:tr w14:paraId="3E3023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865" w:type="dxa"/>
                </w:tcPr>
                <w:p w14:paraId="39FAE2E1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投资回收期</w:t>
                  </w:r>
                </w:p>
              </w:tc>
              <w:tc>
                <w:tcPr>
                  <w:tcW w:w="6205" w:type="dxa"/>
                </w:tcPr>
                <w:p w14:paraId="68DE9612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总投入 ÷ 年净效益</w:t>
                  </w:r>
                </w:p>
              </w:tc>
            </w:tr>
          </w:tbl>
          <w:p w14:paraId="57D0D175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</w:p>
          <w:p w14:paraId="01004B4D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任务</w:t>
            </w:r>
            <w:r>
              <w:rPr>
                <w:rFonts w:ascii="宋体" w:hAnsi="宋体"/>
                <w:b/>
                <w:sz w:val="24"/>
              </w:rPr>
              <w:t>4</w:t>
            </w:r>
            <w:r>
              <w:rPr>
                <w:rFonts w:hint="eastAsia" w:ascii="宋体" w:hAnsi="宋体"/>
                <w:b/>
                <w:sz w:val="24"/>
              </w:rPr>
              <w:t>：撰写可行性分析报告</w:t>
            </w:r>
          </w:p>
          <w:p w14:paraId="03557BA1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要求：按照标准结构撰写，包含以下章节：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15"/>
              <w:gridCol w:w="5355"/>
            </w:tblGrid>
            <w:tr w14:paraId="044D1D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01747AE1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章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节</w:t>
                  </w:r>
                </w:p>
              </w:tc>
              <w:tc>
                <w:tcPr>
                  <w:tcW w:w="5355" w:type="dxa"/>
                </w:tcPr>
                <w:p w14:paraId="6C9AA8DD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内容要求</w:t>
                  </w:r>
                </w:p>
              </w:tc>
            </w:tr>
            <w:tr w14:paraId="1C6B8D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1D7C0FAC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1. 引言</w:t>
                  </w:r>
                </w:p>
              </w:tc>
              <w:tc>
                <w:tcPr>
                  <w:tcW w:w="5355" w:type="dxa"/>
                </w:tcPr>
                <w:p w14:paraId="3B71EBB0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项目背景、报告目的、范围</w:t>
                  </w:r>
                </w:p>
              </w:tc>
            </w:tr>
            <w:tr w14:paraId="37BF70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65162FE1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2. 现有系统概述</w:t>
                  </w:r>
                </w:p>
              </w:tc>
              <w:tc>
                <w:tcPr>
                  <w:tcW w:w="5355" w:type="dxa"/>
                </w:tcPr>
                <w:p w14:paraId="1F37B8F6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现有业务流程、存在问题</w:t>
                  </w:r>
                </w:p>
              </w:tc>
            </w:tr>
            <w:tr w14:paraId="475E0B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46428B56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3. 候选方案概述</w:t>
                  </w:r>
                </w:p>
              </w:tc>
              <w:tc>
                <w:tcPr>
                  <w:tcW w:w="5355" w:type="dxa"/>
                </w:tcPr>
                <w:p w14:paraId="01E849A6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2-3个可选方案对比</w:t>
                  </w:r>
                </w:p>
              </w:tc>
            </w:tr>
            <w:tr w14:paraId="57648C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7DFB1892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4. 技术可行性分析</w:t>
                  </w:r>
                </w:p>
              </w:tc>
              <w:tc>
                <w:tcPr>
                  <w:tcW w:w="5355" w:type="dxa"/>
                </w:tcPr>
                <w:p w14:paraId="24EA9BB7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技术方案、风险评估</w:t>
                  </w:r>
                </w:p>
              </w:tc>
            </w:tr>
            <w:tr w14:paraId="18FF1F7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477F4AF2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5. 经济可行性分析</w:t>
                  </w:r>
                </w:p>
              </w:tc>
              <w:tc>
                <w:tcPr>
                  <w:tcW w:w="5355" w:type="dxa"/>
                </w:tcPr>
                <w:p w14:paraId="796B0080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成本效益分析、投资回收期</w:t>
                  </w:r>
                </w:p>
              </w:tc>
            </w:tr>
            <w:tr w14:paraId="007E2B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0E67FB52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6. 操作可行性分析</w:t>
                  </w:r>
                </w:p>
              </w:tc>
              <w:tc>
                <w:tcPr>
                  <w:tcW w:w="5355" w:type="dxa"/>
                </w:tcPr>
                <w:p w14:paraId="46212466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用户接受度、组织适配度</w:t>
                  </w:r>
                </w:p>
              </w:tc>
            </w:tr>
            <w:tr w14:paraId="0CC083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036913C0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7. 法律可行性分析</w:t>
                  </w:r>
                </w:p>
              </w:tc>
              <w:tc>
                <w:tcPr>
                  <w:tcW w:w="5355" w:type="dxa"/>
                </w:tcPr>
                <w:p w14:paraId="712753A3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合规性审查</w:t>
                  </w:r>
                </w:p>
              </w:tc>
            </w:tr>
            <w:tr w14:paraId="086731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15" w:type="dxa"/>
                </w:tcPr>
                <w:p w14:paraId="50937CF6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8. 结论与建议</w:t>
                  </w:r>
                </w:p>
              </w:tc>
              <w:tc>
                <w:tcPr>
                  <w:tcW w:w="5355" w:type="dxa"/>
                </w:tcPr>
                <w:p w14:paraId="452DC83A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可行性结论、推荐方案、风险应对</w:t>
                  </w:r>
                </w:p>
              </w:tc>
            </w:tr>
          </w:tbl>
          <w:p w14:paraId="79D9A929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交付：《可行性分析报告》（不少于2000字）</w:t>
            </w:r>
          </w:p>
          <w:p w14:paraId="2E3B7139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</w:p>
          <w:p w14:paraId="39735DC4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任务</w:t>
            </w:r>
            <w:r>
              <w:rPr>
                <w:rFonts w:ascii="宋体" w:hAnsi="宋体"/>
                <w:b/>
                <w:sz w:val="24"/>
              </w:rPr>
              <w:t>5</w:t>
            </w:r>
            <w:r>
              <w:rPr>
                <w:rFonts w:hint="eastAsia" w:ascii="宋体" w:hAnsi="宋体"/>
                <w:b/>
                <w:sz w:val="24"/>
              </w:rPr>
              <w:t>：汇报与答辩</w:t>
            </w:r>
          </w:p>
          <w:p w14:paraId="19E0FBAD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要求：每组准备5-8分钟PPT汇报，内容包括：</w:t>
            </w:r>
          </w:p>
          <w:p w14:paraId="6723DCA9">
            <w:pPr>
              <w:pStyle w:val="16"/>
              <w:numPr>
                <w:ilvl w:val="0"/>
                <w:numId w:val="5"/>
              </w:numPr>
              <w:tabs>
                <w:tab w:val="left" w:pos="5970"/>
              </w:tabs>
              <w:spacing w:line="360" w:lineRule="auto"/>
              <w:ind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项目背景与选题理由</w:t>
            </w:r>
          </w:p>
          <w:p w14:paraId="65D51DCD">
            <w:pPr>
              <w:pStyle w:val="16"/>
              <w:numPr>
                <w:ilvl w:val="0"/>
                <w:numId w:val="5"/>
              </w:numPr>
              <w:tabs>
                <w:tab w:val="left" w:pos="5970"/>
              </w:tabs>
              <w:spacing w:line="360" w:lineRule="auto"/>
              <w:ind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调研发现与核心痛点</w:t>
            </w:r>
          </w:p>
          <w:p w14:paraId="3BE53C95">
            <w:pPr>
              <w:pStyle w:val="16"/>
              <w:numPr>
                <w:ilvl w:val="0"/>
                <w:numId w:val="5"/>
              </w:numPr>
              <w:tabs>
                <w:tab w:val="left" w:pos="5970"/>
              </w:tabs>
              <w:spacing w:line="360" w:lineRule="auto"/>
              <w:ind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四维度分析结论</w:t>
            </w:r>
          </w:p>
          <w:p w14:paraId="6451E450">
            <w:pPr>
              <w:pStyle w:val="16"/>
              <w:numPr>
                <w:ilvl w:val="0"/>
                <w:numId w:val="5"/>
              </w:numPr>
              <w:tabs>
                <w:tab w:val="left" w:pos="5970"/>
              </w:tabs>
              <w:spacing w:line="360" w:lineRule="auto"/>
              <w:ind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成本效益分析结果</w:t>
            </w:r>
          </w:p>
          <w:p w14:paraId="34B0B624">
            <w:pPr>
              <w:pStyle w:val="16"/>
              <w:numPr>
                <w:ilvl w:val="0"/>
                <w:numId w:val="5"/>
              </w:numPr>
              <w:tabs>
                <w:tab w:val="left" w:pos="5970"/>
              </w:tabs>
              <w:spacing w:line="360" w:lineRule="auto"/>
              <w:ind w:firstLineChars="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可行性结论与推荐方案</w:t>
            </w:r>
          </w:p>
          <w:p w14:paraId="7A485E30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</w:p>
          <w:p w14:paraId="455252D8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【实验安排】</w:t>
            </w:r>
          </w:p>
          <w:p w14:paraId="0241089B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</w:t>
            </w:r>
            <w:r>
              <w:rPr>
                <w:rFonts w:ascii="宋体" w:hAnsi="宋体"/>
                <w:b/>
                <w:sz w:val="24"/>
              </w:rPr>
              <w:t xml:space="preserve">. </w:t>
            </w:r>
            <w:r>
              <w:rPr>
                <w:rFonts w:hint="eastAsia" w:ascii="宋体" w:hAnsi="宋体"/>
                <w:b/>
                <w:sz w:val="24"/>
              </w:rPr>
              <w:t>实验流程</w:t>
            </w:r>
          </w:p>
          <w:p w14:paraId="13F3D783">
            <w:pPr>
              <w:tabs>
                <w:tab w:val="left" w:pos="5970"/>
              </w:tabs>
              <w:spacing w:line="360" w:lineRule="auto"/>
              <w:jc w:val="center"/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drawing>
                <wp:inline distT="0" distB="0" distL="0" distR="0">
                  <wp:extent cx="4887595" cy="476885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1191" cy="51087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C9F6EB9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</w:p>
          <w:p w14:paraId="5B67672D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2</w:t>
            </w:r>
            <w:r>
              <w:rPr>
                <w:rFonts w:hint="eastAsia" w:ascii="宋体" w:hAnsi="宋体"/>
                <w:b/>
                <w:sz w:val="24"/>
              </w:rPr>
              <w:t>. 时间安排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8"/>
              <w:gridCol w:w="3118"/>
              <w:gridCol w:w="1418"/>
              <w:gridCol w:w="2236"/>
            </w:tblGrid>
            <w:tr w14:paraId="627483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98" w:type="dxa"/>
                </w:tcPr>
                <w:p w14:paraId="28EE1D7D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阶 段</w:t>
                  </w:r>
                </w:p>
              </w:tc>
              <w:tc>
                <w:tcPr>
                  <w:tcW w:w="3118" w:type="dxa"/>
                </w:tcPr>
                <w:p w14:paraId="51EE0CB7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任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 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务</w:t>
                  </w:r>
                </w:p>
              </w:tc>
              <w:tc>
                <w:tcPr>
                  <w:tcW w:w="1418" w:type="dxa"/>
                </w:tcPr>
                <w:p w14:paraId="346AAD2F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建议用时</w:t>
                  </w:r>
                </w:p>
              </w:tc>
              <w:tc>
                <w:tcPr>
                  <w:tcW w:w="2236" w:type="dxa"/>
                </w:tcPr>
                <w:p w14:paraId="7B82C2B5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产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出</w:t>
                  </w:r>
                </w:p>
              </w:tc>
            </w:tr>
            <w:tr w14:paraId="6AE96C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98" w:type="dxa"/>
                </w:tcPr>
                <w:p w14:paraId="2AE1E4C1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第</w:t>
                  </w:r>
                  <w:r>
                    <w:rPr>
                      <w:rFonts w:ascii="宋体" w:hAnsi="宋体"/>
                      <w:bCs/>
                      <w:sz w:val="24"/>
                    </w:rPr>
                    <w:t>2</w:t>
                  </w:r>
                  <w:r>
                    <w:rPr>
                      <w:rFonts w:hint="eastAsia" w:ascii="宋体" w:hAnsi="宋体"/>
                      <w:bCs/>
                      <w:sz w:val="24"/>
                    </w:rPr>
                    <w:t>周</w:t>
                  </w:r>
                </w:p>
              </w:tc>
              <w:tc>
                <w:tcPr>
                  <w:tcW w:w="3118" w:type="dxa"/>
                </w:tcPr>
                <w:p w14:paraId="37118DE4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项目选题、组建团队、分工</w:t>
                  </w:r>
                </w:p>
              </w:tc>
              <w:tc>
                <w:tcPr>
                  <w:tcW w:w="1418" w:type="dxa"/>
                </w:tcPr>
                <w:p w14:paraId="377D2C23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课外</w:t>
                  </w:r>
                </w:p>
              </w:tc>
              <w:tc>
                <w:tcPr>
                  <w:tcW w:w="2236" w:type="dxa"/>
                </w:tcPr>
                <w:p w14:paraId="5812F90E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选题登记表</w:t>
                  </w:r>
                </w:p>
              </w:tc>
            </w:tr>
            <w:tr w14:paraId="300291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98" w:type="dxa"/>
                </w:tcPr>
                <w:p w14:paraId="17FCB87F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第</w:t>
                  </w:r>
                  <w:r>
                    <w:rPr>
                      <w:rFonts w:ascii="宋体" w:hAnsi="宋体"/>
                      <w:bCs/>
                      <w:sz w:val="24"/>
                    </w:rPr>
                    <w:t>3-4</w:t>
                  </w:r>
                  <w:r>
                    <w:rPr>
                      <w:rFonts w:hint="eastAsia" w:ascii="宋体" w:hAnsi="宋体"/>
                      <w:bCs/>
                      <w:sz w:val="24"/>
                    </w:rPr>
                    <w:t>周</w:t>
                  </w:r>
                </w:p>
              </w:tc>
              <w:tc>
                <w:tcPr>
                  <w:tcW w:w="3118" w:type="dxa"/>
                </w:tcPr>
                <w:p w14:paraId="553E981B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初步调查（访谈/问卷/观察）</w:t>
                  </w:r>
                </w:p>
              </w:tc>
              <w:tc>
                <w:tcPr>
                  <w:tcW w:w="1418" w:type="dxa"/>
                </w:tcPr>
                <w:p w14:paraId="5D5E37F2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课外</w:t>
                  </w:r>
                </w:p>
              </w:tc>
              <w:tc>
                <w:tcPr>
                  <w:tcW w:w="2236" w:type="dxa"/>
                </w:tcPr>
                <w:p w14:paraId="02952D96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调研记录</w:t>
                  </w:r>
                </w:p>
              </w:tc>
            </w:tr>
            <w:tr w14:paraId="441786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98" w:type="dxa"/>
                </w:tcPr>
                <w:p w14:paraId="6DA17703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第</w:t>
                  </w:r>
                  <w:r>
                    <w:rPr>
                      <w:rFonts w:ascii="宋体" w:hAnsi="宋体"/>
                      <w:bCs/>
                      <w:sz w:val="24"/>
                    </w:rPr>
                    <w:t>5</w:t>
                  </w:r>
                  <w:r>
                    <w:rPr>
                      <w:rFonts w:hint="eastAsia" w:ascii="宋体" w:hAnsi="宋体"/>
                      <w:bCs/>
                      <w:sz w:val="24"/>
                    </w:rPr>
                    <w:t>周</w:t>
                  </w:r>
                </w:p>
              </w:tc>
              <w:tc>
                <w:tcPr>
                  <w:tcW w:w="3118" w:type="dxa"/>
                </w:tcPr>
                <w:p w14:paraId="665FAEBD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四维度分析、成本效益分析</w:t>
                  </w:r>
                </w:p>
              </w:tc>
              <w:tc>
                <w:tcPr>
                  <w:tcW w:w="1418" w:type="dxa"/>
                </w:tcPr>
                <w:p w14:paraId="7FBF8437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课内</w:t>
                  </w:r>
                  <w:r>
                    <w:rPr>
                      <w:rFonts w:ascii="宋体" w:hAnsi="宋体"/>
                      <w:bCs/>
                      <w:sz w:val="24"/>
                    </w:rPr>
                    <w:t>2</w:t>
                  </w:r>
                  <w:r>
                    <w:rPr>
                      <w:rFonts w:hint="eastAsia" w:ascii="宋体" w:hAnsi="宋体"/>
                      <w:bCs/>
                      <w:sz w:val="24"/>
                    </w:rPr>
                    <w:t>学时</w:t>
                  </w:r>
                </w:p>
              </w:tc>
              <w:tc>
                <w:tcPr>
                  <w:tcW w:w="2236" w:type="dxa"/>
                </w:tcPr>
                <w:p w14:paraId="71401FF9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分析表</w:t>
                  </w:r>
                </w:p>
              </w:tc>
            </w:tr>
            <w:tr w14:paraId="1C3790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98" w:type="dxa"/>
                </w:tcPr>
                <w:p w14:paraId="5583236B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第</w:t>
                  </w:r>
                  <w:r>
                    <w:rPr>
                      <w:rFonts w:ascii="宋体" w:hAnsi="宋体"/>
                      <w:bCs/>
                      <w:sz w:val="24"/>
                    </w:rPr>
                    <w:t>5</w:t>
                  </w:r>
                  <w:r>
                    <w:rPr>
                      <w:rFonts w:hint="eastAsia" w:ascii="宋体" w:hAnsi="宋体"/>
                      <w:bCs/>
                      <w:sz w:val="24"/>
                    </w:rPr>
                    <w:t>周</w:t>
                  </w:r>
                </w:p>
              </w:tc>
              <w:tc>
                <w:tcPr>
                  <w:tcW w:w="3118" w:type="dxa"/>
                </w:tcPr>
                <w:p w14:paraId="22F2AD1E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撰写报告、制作PPT</w:t>
                  </w:r>
                </w:p>
              </w:tc>
              <w:tc>
                <w:tcPr>
                  <w:tcW w:w="1418" w:type="dxa"/>
                </w:tcPr>
                <w:p w14:paraId="52E82B4B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课内</w:t>
                  </w:r>
                  <w:r>
                    <w:rPr>
                      <w:rFonts w:ascii="宋体" w:hAnsi="宋体"/>
                      <w:bCs/>
                      <w:sz w:val="24"/>
                    </w:rPr>
                    <w:t>1</w:t>
                  </w:r>
                  <w:r>
                    <w:rPr>
                      <w:rFonts w:hint="eastAsia" w:ascii="宋体" w:hAnsi="宋体"/>
                      <w:bCs/>
                      <w:sz w:val="24"/>
                    </w:rPr>
                    <w:t>学时</w:t>
                  </w:r>
                </w:p>
              </w:tc>
              <w:tc>
                <w:tcPr>
                  <w:tcW w:w="2236" w:type="dxa"/>
                </w:tcPr>
                <w:p w14:paraId="2FD1BC75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可行性报告、PPT</w:t>
                  </w:r>
                </w:p>
              </w:tc>
            </w:tr>
            <w:tr w14:paraId="3A917D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298" w:type="dxa"/>
                </w:tcPr>
                <w:p w14:paraId="1AB5EADB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第</w:t>
                  </w:r>
                  <w:r>
                    <w:rPr>
                      <w:rFonts w:ascii="宋体" w:hAnsi="宋体"/>
                      <w:bCs/>
                      <w:sz w:val="24"/>
                    </w:rPr>
                    <w:t>6</w:t>
                  </w:r>
                  <w:r>
                    <w:rPr>
                      <w:rFonts w:hint="eastAsia" w:ascii="宋体" w:hAnsi="宋体"/>
                      <w:bCs/>
                      <w:sz w:val="24"/>
                    </w:rPr>
                    <w:t>周</w:t>
                  </w:r>
                </w:p>
              </w:tc>
              <w:tc>
                <w:tcPr>
                  <w:tcW w:w="3118" w:type="dxa"/>
                </w:tcPr>
                <w:p w14:paraId="4FFF9B44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汇报答辩</w:t>
                  </w:r>
                </w:p>
              </w:tc>
              <w:tc>
                <w:tcPr>
                  <w:tcW w:w="1418" w:type="dxa"/>
                </w:tcPr>
                <w:p w14:paraId="1BF45307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课内</w:t>
                  </w:r>
                  <w:r>
                    <w:rPr>
                      <w:rFonts w:ascii="宋体" w:hAnsi="宋体"/>
                      <w:bCs/>
                      <w:sz w:val="24"/>
                    </w:rPr>
                    <w:t>3</w:t>
                  </w:r>
                  <w:r>
                    <w:rPr>
                      <w:rFonts w:hint="eastAsia" w:ascii="宋体" w:hAnsi="宋体"/>
                      <w:bCs/>
                      <w:sz w:val="24"/>
                    </w:rPr>
                    <w:t>学时</w:t>
                  </w:r>
                </w:p>
              </w:tc>
              <w:tc>
                <w:tcPr>
                  <w:tcW w:w="2236" w:type="dxa"/>
                </w:tcPr>
                <w:p w14:paraId="0721E66C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汇报评分</w:t>
                  </w:r>
                </w:p>
              </w:tc>
            </w:tr>
          </w:tbl>
          <w:p w14:paraId="7A8951AC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</w:p>
          <w:p w14:paraId="010F2514">
            <w:pPr>
              <w:tabs>
                <w:tab w:val="left" w:pos="5970"/>
              </w:tabs>
              <w:spacing w:line="360" w:lineRule="auto"/>
              <w:ind w:firstLine="482" w:firstLineChars="200"/>
              <w:rPr>
                <w:rFonts w:hint="eastAsia" w:ascii="宋体" w:hAnsi="宋体"/>
                <w:b/>
                <w:sz w:val="24"/>
              </w:rPr>
            </w:pPr>
            <w:r>
              <w:rPr>
                <w:rFonts w:ascii="宋体" w:hAnsi="宋体"/>
                <w:b/>
                <w:sz w:val="24"/>
              </w:rPr>
              <w:t>3</w:t>
            </w:r>
            <w:r>
              <w:rPr>
                <w:rFonts w:hint="eastAsia" w:ascii="宋体" w:hAnsi="宋体"/>
                <w:b/>
                <w:sz w:val="24"/>
              </w:rPr>
              <w:t>. 分组与分工建议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1"/>
              <w:gridCol w:w="1134"/>
              <w:gridCol w:w="5355"/>
            </w:tblGrid>
            <w:tr w14:paraId="5EBD10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3D0E31D4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角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色</w:t>
                  </w:r>
                </w:p>
              </w:tc>
              <w:tc>
                <w:tcPr>
                  <w:tcW w:w="1134" w:type="dxa"/>
                </w:tcPr>
                <w:p w14:paraId="649A6962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>人 数</w:t>
                  </w:r>
                </w:p>
              </w:tc>
              <w:tc>
                <w:tcPr>
                  <w:tcW w:w="5355" w:type="dxa"/>
                </w:tcPr>
                <w:p w14:paraId="12C9B1F7">
                  <w:pPr>
                    <w:spacing w:line="360" w:lineRule="auto"/>
                    <w:jc w:val="center"/>
                    <w:rPr>
                      <w:rFonts w:hint="eastAsia" w:ascii="宋体" w:hAnsi="宋体"/>
                      <w:b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sz w:val="24"/>
                    </w:rPr>
                    <w:t xml:space="preserve">职 </w:t>
                  </w:r>
                  <w:r>
                    <w:rPr>
                      <w:rFonts w:ascii="宋体" w:hAnsi="宋体"/>
                      <w:b/>
                      <w:sz w:val="24"/>
                    </w:rPr>
                    <w:t xml:space="preserve">   </w:t>
                  </w:r>
                  <w:r>
                    <w:rPr>
                      <w:rFonts w:hint="eastAsia" w:ascii="宋体" w:hAnsi="宋体"/>
                      <w:b/>
                      <w:sz w:val="24"/>
                    </w:rPr>
                    <w:t>责</w:t>
                  </w:r>
                </w:p>
              </w:tc>
            </w:tr>
            <w:tr w14:paraId="6AC1B8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16346176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组长</w:t>
                  </w:r>
                </w:p>
              </w:tc>
              <w:tc>
                <w:tcPr>
                  <w:tcW w:w="1134" w:type="dxa"/>
                </w:tcPr>
                <w:p w14:paraId="728BA556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1人</w:t>
                  </w:r>
                </w:p>
              </w:tc>
              <w:tc>
                <w:tcPr>
                  <w:tcW w:w="5355" w:type="dxa"/>
                </w:tcPr>
                <w:p w14:paraId="7252BA4B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统筹协调、进度把控、最终报告整合</w:t>
                  </w:r>
                </w:p>
              </w:tc>
            </w:tr>
            <w:tr w14:paraId="3CAF23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24CAE85C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调研负责人</w:t>
                  </w:r>
                </w:p>
              </w:tc>
              <w:tc>
                <w:tcPr>
                  <w:tcW w:w="1134" w:type="dxa"/>
                </w:tcPr>
                <w:p w14:paraId="1740CEB7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1-2人</w:t>
                  </w:r>
                </w:p>
              </w:tc>
              <w:tc>
                <w:tcPr>
                  <w:tcW w:w="5355" w:type="dxa"/>
                </w:tcPr>
                <w:p w14:paraId="2C470C49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设计访谈提纲/问卷、执行调研、整理记录</w:t>
                  </w:r>
                </w:p>
              </w:tc>
            </w:tr>
            <w:tr w14:paraId="203D76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25E3CEA8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分析负责人</w:t>
                  </w:r>
                </w:p>
              </w:tc>
              <w:tc>
                <w:tcPr>
                  <w:tcW w:w="1134" w:type="dxa"/>
                </w:tcPr>
                <w:p w14:paraId="2F7BCDD0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1-2人</w:t>
                  </w:r>
                </w:p>
              </w:tc>
              <w:tc>
                <w:tcPr>
                  <w:tcW w:w="5355" w:type="dxa"/>
                </w:tcPr>
                <w:p w14:paraId="3B9362AE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四维度分析、成本效益计算</w:t>
                  </w:r>
                </w:p>
              </w:tc>
            </w:tr>
            <w:tr w14:paraId="42F6AAC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7108CB32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文档负责人</w:t>
                  </w:r>
                </w:p>
              </w:tc>
              <w:tc>
                <w:tcPr>
                  <w:tcW w:w="1134" w:type="dxa"/>
                </w:tcPr>
                <w:p w14:paraId="79684096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1人</w:t>
                  </w:r>
                </w:p>
              </w:tc>
              <w:tc>
                <w:tcPr>
                  <w:tcW w:w="5355" w:type="dxa"/>
                </w:tcPr>
                <w:p w14:paraId="2F82AB69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报告撰写、格式排版</w:t>
                  </w:r>
                </w:p>
              </w:tc>
            </w:tr>
            <w:tr w14:paraId="469D0A4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581" w:type="dxa"/>
                </w:tcPr>
                <w:p w14:paraId="0C030ACF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汇报负责人</w:t>
                  </w:r>
                </w:p>
              </w:tc>
              <w:tc>
                <w:tcPr>
                  <w:tcW w:w="1134" w:type="dxa"/>
                </w:tcPr>
                <w:p w14:paraId="6BC2719A">
                  <w:pPr>
                    <w:spacing w:line="360" w:lineRule="auto"/>
                    <w:jc w:val="center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1人</w:t>
                  </w:r>
                </w:p>
              </w:tc>
              <w:tc>
                <w:tcPr>
                  <w:tcW w:w="5355" w:type="dxa"/>
                </w:tcPr>
                <w:p w14:paraId="1D8D08F3">
                  <w:pPr>
                    <w:spacing w:line="360" w:lineRule="auto"/>
                    <w:rPr>
                      <w:rFonts w:hint="eastAsia" w:ascii="宋体" w:hAnsi="宋体"/>
                      <w:bCs/>
                      <w:sz w:val="24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</w:rPr>
                    <w:t>PPT制作、现场汇报</w:t>
                  </w:r>
                </w:p>
              </w:tc>
            </w:tr>
          </w:tbl>
          <w:p w14:paraId="119F0707">
            <w:pPr>
              <w:tabs>
                <w:tab w:val="left" w:pos="5970"/>
              </w:tabs>
              <w:spacing w:line="360" w:lineRule="auto"/>
              <w:ind w:firstLine="480" w:firstLineChars="200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说明：角色可兼任，但需确保每人都有实质性贡献。</w:t>
            </w:r>
          </w:p>
          <w:p w14:paraId="1CDD5FDA">
            <w:pPr>
              <w:tabs>
                <w:tab w:val="left" w:pos="5970"/>
              </w:tabs>
              <w:spacing w:line="360" w:lineRule="auto"/>
              <w:ind w:left="480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6F19B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6" w:hRule="atLeast"/>
        </w:trPr>
        <w:tc>
          <w:tcPr>
            <w:tcW w:w="8522" w:type="dxa"/>
            <w:shd w:val="clear" w:color="auto" w:fill="auto"/>
          </w:tcPr>
          <w:p w14:paraId="32292268">
            <w:pPr>
              <w:tabs>
                <w:tab w:val="left" w:pos="5970"/>
              </w:tabs>
              <w:spacing w:line="360" w:lineRule="auto"/>
              <w:rPr>
                <w:rFonts w:hint="eastAsia" w:ascii="黑体" w:hAnsi="黑体" w:eastAsia="黑体"/>
                <w:bCs/>
                <w:sz w:val="24"/>
              </w:rPr>
            </w:pPr>
            <w:r>
              <w:rPr>
                <w:rFonts w:hint="eastAsia" w:ascii="黑体" w:hAnsi="黑体" w:eastAsia="黑体"/>
                <w:bCs/>
                <w:sz w:val="24"/>
              </w:rPr>
              <w:t>三、实验（实训）过程与结论：</w:t>
            </w:r>
          </w:p>
        </w:tc>
      </w:tr>
      <w:tr w14:paraId="6F6FC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shd w:val="clear" w:color="auto" w:fill="auto"/>
          </w:tcPr>
          <w:p w14:paraId="47FA513B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  <w:p w14:paraId="690B26AA">
            <w:pPr>
              <w:tabs>
                <w:tab w:val="left" w:pos="5970"/>
              </w:tabs>
              <w:spacing w:line="360" w:lineRule="auto"/>
              <w:ind w:firstLine="49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《可行性分析报告》（含项目背景、现有业务分析、四维度可行性分析、成本效益估算、结论与建议）</w:t>
            </w:r>
          </w:p>
          <w:p w14:paraId="6BD7269D">
            <w:pPr>
              <w:tabs>
                <w:tab w:val="left" w:pos="5970"/>
              </w:tabs>
              <w:spacing w:line="360" w:lineRule="auto"/>
              <w:ind w:firstLine="49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要求：不少于2000字，含成本估算表</w:t>
            </w:r>
          </w:p>
          <w:p w14:paraId="37F15397">
            <w:pPr>
              <w:tabs>
                <w:tab w:val="left" w:pos="5970"/>
              </w:tabs>
              <w:spacing w:line="360" w:lineRule="auto"/>
              <w:ind w:firstLine="495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参考大纲：</w:t>
            </w:r>
          </w:p>
          <w:tbl>
            <w:tblPr>
              <w:tblStyle w:val="12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070"/>
            </w:tblGrid>
            <w:tr w14:paraId="72576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8070" w:type="dxa"/>
                </w:tcPr>
                <w:p w14:paraId="402099C1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一、引言</w:t>
                  </w:r>
                </w:p>
                <w:p w14:paraId="3DB7490B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1.1 项目背景</w:t>
                  </w:r>
                </w:p>
                <w:p w14:paraId="3B7A1339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1.2 报告目的</w:t>
                  </w:r>
                </w:p>
                <w:p w14:paraId="55403E95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1.3 报告范围</w:t>
                  </w:r>
                </w:p>
                <w:p w14:paraId="1CADC1E8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二、现有系统概述</w:t>
                  </w:r>
                </w:p>
                <w:p w14:paraId="50F4AAB6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2.1 现有业务流程</w:t>
                  </w:r>
                </w:p>
                <w:p w14:paraId="5545E241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2.2 存在问题与痛点</w:t>
                  </w:r>
                </w:p>
                <w:p w14:paraId="7505C528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三、候选方案概述</w:t>
                  </w:r>
                </w:p>
                <w:p w14:paraId="79697ECC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3.1 方案一</w:t>
                  </w:r>
                </w:p>
                <w:p w14:paraId="5F324E45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3.2 方案二</w:t>
                  </w:r>
                </w:p>
                <w:p w14:paraId="27F19824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3.3 方案三</w:t>
                  </w:r>
                </w:p>
                <w:p w14:paraId="7A666634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四、技术可行性分析</w:t>
                  </w:r>
                </w:p>
                <w:p w14:paraId="456BE3E2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4.1 关键技术点评估</w:t>
                  </w:r>
                </w:p>
                <w:p w14:paraId="57122CD7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4.2 技术资源评估</w:t>
                  </w:r>
                </w:p>
                <w:p w14:paraId="6F4F28D7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4.3 技术可行性结论</w:t>
                  </w:r>
                </w:p>
                <w:p w14:paraId="4ADEC028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五、经济可行性分析</w:t>
                  </w:r>
                </w:p>
                <w:p w14:paraId="5E7EA8B4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5.1 成本估算</w:t>
                  </w:r>
                </w:p>
                <w:p w14:paraId="3C1AE9FE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5.2 效益估算</w:t>
                  </w:r>
                </w:p>
                <w:p w14:paraId="6F8F7EA0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5.3 投资回收期计算</w:t>
                  </w:r>
                </w:p>
                <w:p w14:paraId="6EF9B9A8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5.4 经济可行性结论</w:t>
                  </w:r>
                </w:p>
                <w:p w14:paraId="7D5453D8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六、操作可行性分析</w:t>
                  </w:r>
                </w:p>
                <w:p w14:paraId="27218260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6.1 用户接受度分析</w:t>
                  </w:r>
                </w:p>
                <w:p w14:paraId="4B936EEC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6.2 组织与流程适配度</w:t>
                  </w:r>
                </w:p>
                <w:p w14:paraId="72132999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6.3 操作可行性结论</w:t>
                  </w:r>
                </w:p>
                <w:p w14:paraId="642FD8ED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七、法律可行性分析</w:t>
                  </w:r>
                </w:p>
                <w:p w14:paraId="1AA1F02A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7.1 知识产权风险</w:t>
                  </w:r>
                </w:p>
                <w:p w14:paraId="51873C98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7.2 数据隐私与合规性</w:t>
                  </w:r>
                </w:p>
                <w:p w14:paraId="4C2C7C0B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7.3 法律可行性结论</w:t>
                  </w:r>
                </w:p>
                <w:p w14:paraId="619F9041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八、结论与建议</w:t>
                  </w:r>
                </w:p>
                <w:p w14:paraId="416DFAC9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8.1 综合评估</w:t>
                  </w:r>
                </w:p>
                <w:p w14:paraId="333ABD73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8.2 最终结论</w:t>
                  </w:r>
                </w:p>
                <w:p w14:paraId="6F82A2BE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8.3 建议与风险应对</w:t>
                  </w:r>
                </w:p>
                <w:p w14:paraId="01AA352F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>附录</w:t>
                  </w:r>
                </w:p>
                <w:p w14:paraId="79C6FDC0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附录A：调研记录</w:t>
                  </w:r>
                </w:p>
                <w:p w14:paraId="620198FF">
                  <w:pPr>
                    <w:tabs>
                      <w:tab w:val="left" w:pos="5970"/>
                    </w:tabs>
                    <w:spacing w:line="360" w:lineRule="auto"/>
                    <w:ind w:firstLine="495"/>
                    <w:rPr>
                      <w:rFonts w:hint="eastAsia" w:ascii="宋体" w:hAnsi="宋体"/>
                      <w:bCs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Cs w:val="21"/>
                    </w:rPr>
                    <w:t xml:space="preserve">    附录B：成本效益详细数据</w:t>
                  </w:r>
                </w:p>
              </w:tc>
            </w:tr>
          </w:tbl>
          <w:p w14:paraId="1E808893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  <w:p w14:paraId="44042E44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</w:tc>
      </w:tr>
      <w:tr w14:paraId="2644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" w:hRule="atLeast"/>
        </w:trPr>
        <w:tc>
          <w:tcPr>
            <w:tcW w:w="8522" w:type="dxa"/>
            <w:shd w:val="clear" w:color="auto" w:fill="auto"/>
          </w:tcPr>
          <w:p w14:paraId="2F81EBEB">
            <w:pPr>
              <w:tabs>
                <w:tab w:val="left" w:pos="5970"/>
              </w:tabs>
              <w:spacing w:line="360" w:lineRule="auto"/>
              <w:rPr>
                <w:rFonts w:hint="eastAsia" w:ascii="黑体" w:hAnsi="黑体" w:eastAsia="黑体"/>
                <w:bCs/>
                <w:sz w:val="24"/>
              </w:rPr>
            </w:pPr>
            <w:r>
              <w:rPr>
                <w:rFonts w:hint="eastAsia" w:ascii="黑体" w:hAnsi="黑体" w:eastAsia="黑体"/>
                <w:bCs/>
                <w:sz w:val="24"/>
              </w:rPr>
              <w:t>四、指导教师评语及成绩：</w:t>
            </w:r>
          </w:p>
        </w:tc>
      </w:tr>
      <w:tr w14:paraId="4D95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shd w:val="clear" w:color="auto" w:fill="auto"/>
          </w:tcPr>
          <w:p w14:paraId="25E00F59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评语：</w:t>
            </w:r>
          </w:p>
          <w:p w14:paraId="1FB99EFA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  <w:p w14:paraId="2F14A7E6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  <w:p w14:paraId="4679FC8B">
            <w:pPr>
              <w:tabs>
                <w:tab w:val="left" w:pos="5970"/>
              </w:tabs>
              <w:spacing w:line="360" w:lineRule="auto"/>
              <w:rPr>
                <w:rFonts w:hint="eastAsia" w:ascii="宋体" w:hAnsi="宋体"/>
                <w:bCs/>
                <w:sz w:val="24"/>
              </w:rPr>
            </w:pPr>
          </w:p>
          <w:p w14:paraId="50DA401B">
            <w:pPr>
              <w:tabs>
                <w:tab w:val="left" w:pos="5970"/>
              </w:tabs>
              <w:spacing w:line="360" w:lineRule="auto"/>
              <w:ind w:right="2661" w:rightChars="1267"/>
              <w:jc w:val="righ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成绩：           指导教师签名：</w:t>
            </w:r>
          </w:p>
          <w:p w14:paraId="5FDA1CF4">
            <w:pPr>
              <w:spacing w:line="360" w:lineRule="auto"/>
              <w:ind w:left="21" w:leftChars="10" w:right="2661" w:rightChars="1267"/>
              <w:jc w:val="right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批阅日期：</w:t>
            </w:r>
          </w:p>
        </w:tc>
      </w:tr>
    </w:tbl>
    <w:p w14:paraId="02D9AEE6">
      <w:pPr>
        <w:tabs>
          <w:tab w:val="left" w:pos="5970"/>
        </w:tabs>
        <w:spacing w:line="60" w:lineRule="exact"/>
        <w:rPr>
          <w:rFonts w:hint="eastAsia" w:ascii="宋体" w:hAnsi="宋体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4175052">
      <w:pPr>
        <w:pStyle w:val="10"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智慧研讨室预约与门禁管理系统</w:t>
      </w:r>
      <w:r>
        <w:rPr>
          <w:rFonts w:ascii="宋体" w:hAnsi="宋体" w:cs="宋体"/>
          <w:color w:val="000000"/>
          <w:sz w:val="24"/>
        </w:rPr>
        <w:br w:type="textWrapping"/>
      </w:r>
      <w:r>
        <w:rPr>
          <w:rFonts w:ascii="宋体" w:hAnsi="宋体" w:cs="宋体"/>
          <w:color w:val="000000"/>
          <w:sz w:val="24"/>
        </w:rPr>
        <w:t>可行性分析报告</w:t>
      </w:r>
    </w:p>
    <w:p w14:paraId="3D713E6C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本项目采用独立Web原型与STM32设备端，完成真实电控锁、屏幕和蜂鸣器的课程桌面演示。一期把预约时段细化为15分钟单元，以基础规则、管理员附加规则和信用分构成自动审核路径，保留人工审核，并为学生与教师提供申诉渠道；签到截止设为开始后5分钟，结束前5分钟提醒。本文固定一期规则、选型、工作量和预算作为设计基线；调研场景与经济数据为课程情景假设及测算示例，不代表已完成访谈、采购或测试。综合判断为有条件可行，实施后按验收标准检验。</w:t>
      </w:r>
    </w:p>
    <w:p w14:paraId="3C747D8A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1 引言</w:t>
      </w:r>
    </w:p>
    <w:p w14:paraId="5C00FBD6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1.1 项目背景</w:t>
      </w:r>
    </w:p>
    <w:p w14:paraId="2CCA1F61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研讨室管理不仅需要记录谁预约了哪个时段，还需要明确到场核验、开门授权和异常处理之间的关系。本项目以预约信息与现场开门控制之间的衔接为分析对象，研究如何在课程原型中完成预约、规则审核、签到、开锁、提醒与爽约释放，并使审核结论与信用变动可追溯。</w:t>
      </w:r>
    </w:p>
    <w:p w14:paraId="61228F86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现状分析采用统一情景：已有在线预约系统，现场门禁独立工作，预约与到场、开门记录未自动关联。场景设2间研讨室，每间容量6人；使用3个学生、1个教师和1个管理员测试账号。上述设置用于课程需求分析，不对应本校已经核实的系统或调查样本。</w:t>
      </w:r>
    </w:p>
    <w:p w14:paraId="05E8E5DE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1.2 报告目的</w:t>
      </w:r>
    </w:p>
    <w:p w14:paraId="52C7357D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本报告从技术、经济、操作与法律四个维度判断课程原型是否具备实施基础，比较候选方案，明确一期功能边界、关键验证任务和立项条件。课程演示的技术可行性与学校正式部署的可行性分别讨论，不以桌面演示替代真实场所的安全与管理评估。</w:t>
      </w:r>
    </w:p>
    <w:p w14:paraId="3F5BCCF5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1.3 报告范围</w:t>
      </w:r>
    </w:p>
    <w:p w14:paraId="3FD2B6F5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一期采用独立原型和测试账号，用户角色为学生、教师与管理员；预约时段以15分钟为最小单元，每日08:00—22:00共56个单元。软件采用Java 17、Spring Boot、MySQL和浏览器Web界面，MQTT服务采用Mosquitto，设备端采用STM32 HAL库。框架补丁版本在开发环境建立时锁定，不将设计选型表述为已完成代码。设备端控制真实屏幕、蜂鸣器和电控锁，不使用电脑模拟这些器件。</w:t>
      </w:r>
    </w:p>
    <w:p w14:paraId="11C1BAAF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一期包括预约、基础规则与附加规则自动审核、人数阈值转人工审核、信用分与扣分流水、学生与教师申诉、教师优先、15分钟单元冲突控制、每笔预约签到码、首次签到（开始后5分钟截止）、有效期内再次开门、结束前5分钟提醒、爽约释放、到期结束、设备心跳及基本操作记录。教师优先与信用评分规则是本原型拟演示的业务规则，尚不代表学校已批准相同管理制度。</w:t>
      </w:r>
    </w:p>
    <w:p w14:paraId="502391B5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签退、人体感应与真实占用检测、候补排队、能耗统计、设备维护模式，以及信用分的跨房间、跨系统联评暂列后续扩展。一期仅展示预约与签到状态，不承诺确认房间已腾空，也不通过自动上锁强制人员离场。本次不接入学校统一身份认证、正式预约系统或现有门禁，不承诺真实研讨室试用。</w:t>
      </w:r>
    </w:p>
    <w:p w14:paraId="7F99A730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2 现有系统概述</w:t>
      </w:r>
    </w:p>
    <w:p w14:paraId="44AFE5DB">
      <w:pPr>
        <w:pStyle w:val="3"/>
        <w:spacing w:before="312" w:after="312" w:line="276" w:lineRule="auto"/>
        <w:rPr>
          <w:rFonts w:hint="eastAsia" w:ascii="黑体" w:hAnsi="黑体"/>
          <w:color w:val="000000"/>
        </w:rPr>
      </w:pPr>
      <w:r>
        <w:rPr>
          <w:rFonts w:ascii="黑体" w:hAnsi="黑体" w:cs="黑体"/>
          <w:color w:val="000000"/>
        </w:rPr>
        <w:t>2.</w:t>
      </w:r>
      <w:r>
        <w:rPr>
          <w:rFonts w:hint="eastAsia" w:ascii="黑体" w:hAnsi="黑体" w:cs="黑体"/>
          <w:color w:val="000000"/>
        </w:rPr>
        <w:t>1</w:t>
      </w:r>
      <w:r>
        <w:rPr>
          <w:rFonts w:ascii="黑体" w:hAnsi="黑体" w:cs="黑体"/>
          <w:color w:val="000000"/>
        </w:rPr>
        <w:t xml:space="preserve"> 现有业务流程</w:t>
      </w:r>
    </w:p>
    <w:p w14:paraId="2B11E17F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本节以在线预约与独立门禁并存的情景建立业务基线。流程、问题和用例均按该情景分析，供后续原型验证；不据此断言本校后台接口或现场制度。附录A列出模拟场景及验证方法。</w:t>
      </w:r>
    </w:p>
    <w:p w14:paraId="68047DEE">
      <w:pPr>
        <w:widowControl/>
        <w:spacing w:after="80" w:line="360" w:lineRule="auto"/>
        <w:ind w:firstLine="480"/>
        <w:rPr>
          <w:rFonts w:hint="eastAsia" w:ascii="宋体" w:hAnsi="宋体"/>
          <w:color w:val="000000"/>
          <w:sz w:val="24"/>
        </w:rPr>
      </w:pPr>
    </w:p>
    <w:p w14:paraId="0F600787">
      <w:pPr>
        <w:widowControl/>
        <w:spacing w:after="80" w:line="360" w:lineRule="auto"/>
        <w:ind w:firstLine="480"/>
        <w:rPr>
          <w:rFonts w:hint="eastAsia" w:ascii="宋体" w:hAnsi="宋体"/>
          <w:color w:val="000000"/>
          <w:sz w:val="24"/>
        </w:rPr>
      </w:pPr>
    </w:p>
    <w:p w14:paraId="720D8761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表2-1 情景业务流程与验证方式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417"/>
        <w:gridCol w:w="3402"/>
        <w:gridCol w:w="3685"/>
      </w:tblGrid>
      <w:tr w14:paraId="4CDB146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EDEDED"/>
            <w:vAlign w:val="center"/>
          </w:tcPr>
          <w:p w14:paraId="0C0F7D1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环节</w:t>
            </w:r>
          </w:p>
        </w:tc>
        <w:tc>
          <w:tcPr>
            <w:tcW w:w="3402" w:type="dxa"/>
            <w:shd w:val="clear" w:color="auto" w:fill="EDEDED"/>
            <w:vAlign w:val="center"/>
          </w:tcPr>
          <w:p w14:paraId="493DAD2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情景业务描述</w:t>
            </w:r>
          </w:p>
        </w:tc>
        <w:tc>
          <w:tcPr>
            <w:tcW w:w="3685" w:type="dxa"/>
            <w:shd w:val="clear" w:color="auto" w:fill="EDEDED"/>
            <w:vAlign w:val="center"/>
          </w:tcPr>
          <w:p w14:paraId="5E285894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原型验证方式</w:t>
            </w:r>
          </w:p>
        </w:tc>
      </w:tr>
      <w:tr w14:paraId="778039D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BABCB08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查询与申请</w:t>
            </w:r>
          </w:p>
        </w:tc>
        <w:tc>
          <w:tcPr>
            <w:tcW w:w="3402" w:type="dxa"/>
            <w:vAlign w:val="center"/>
          </w:tcPr>
          <w:p w14:paraId="5898AA2D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用户在在线预约系统选择房间与时段</w:t>
            </w:r>
          </w:p>
        </w:tc>
        <w:tc>
          <w:tcPr>
            <w:tcW w:w="3685" w:type="dxa"/>
            <w:vAlign w:val="center"/>
          </w:tcPr>
          <w:p w14:paraId="73C569FE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在测试Web页面查询2间房间可约的15分钟单元，并核对时长与人数限制</w:t>
            </w:r>
          </w:p>
        </w:tc>
      </w:tr>
      <w:tr w14:paraId="13C792C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0D37139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审核与确认</w:t>
            </w:r>
          </w:p>
        </w:tc>
        <w:tc>
          <w:tcPr>
            <w:tcW w:w="3402" w:type="dxa"/>
            <w:vAlign w:val="center"/>
          </w:tcPr>
          <w:p w14:paraId="14F6794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管理员审核申请并返回结果</w:t>
            </w:r>
          </w:p>
        </w:tc>
        <w:tc>
          <w:tcPr>
            <w:tcW w:w="3685" w:type="dxa"/>
            <w:vAlign w:val="center"/>
          </w:tcPr>
          <w:p w14:paraId="4E970C81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按3.2节规则验证规则自动通过、人数阈值转人工、信用分判定、申诉与教师覆盖</w:t>
            </w:r>
          </w:p>
        </w:tc>
      </w:tr>
      <w:tr w14:paraId="6B65D38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6A575F18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到场与开门</w:t>
            </w:r>
          </w:p>
        </w:tc>
        <w:tc>
          <w:tcPr>
            <w:tcW w:w="3402" w:type="dxa"/>
            <w:vAlign w:val="center"/>
          </w:tcPr>
          <w:p w14:paraId="34E80465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到场后通过现场门禁进入</w:t>
            </w:r>
          </w:p>
        </w:tc>
        <w:tc>
          <w:tcPr>
            <w:tcW w:w="3685" w:type="dxa"/>
            <w:vAlign w:val="center"/>
          </w:tcPr>
          <w:p w14:paraId="43FD6704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使用独立STM32桌面装置验证预约授权开锁</w:t>
            </w:r>
          </w:p>
        </w:tc>
      </w:tr>
      <w:tr w14:paraId="63E2A59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417" w:type="dxa"/>
            <w:vAlign w:val="center"/>
          </w:tcPr>
          <w:p w14:paraId="3C6FC78B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使用与离开</w:t>
            </w:r>
          </w:p>
        </w:tc>
        <w:tc>
          <w:tcPr>
            <w:tcW w:w="3402" w:type="dxa"/>
            <w:vAlign w:val="center"/>
          </w:tcPr>
          <w:p w14:paraId="2746E4A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原情景中预约与门禁记录未关联</w:t>
            </w:r>
          </w:p>
        </w:tc>
        <w:tc>
          <w:tcPr>
            <w:tcW w:w="3685" w:type="dxa"/>
            <w:vAlign w:val="center"/>
          </w:tcPr>
          <w:p w14:paraId="65BECD9B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对比预约状态、签到记录和设备执行回执</w:t>
            </w:r>
          </w:p>
        </w:tc>
      </w:tr>
    </w:tbl>
    <w:p w14:paraId="08F6D252">
      <w:pPr>
        <w:keepNext/>
        <w:spacing w:before="80" w:after="40"/>
        <w:jc w:val="center"/>
      </w:pPr>
    </w:p>
    <w:p w14:paraId="7FEF4610">
      <w:pPr>
        <w:keepNext/>
        <w:spacing w:before="80" w:after="40"/>
        <w:jc w:val="center"/>
      </w:pPr>
      <w:r>
        <w:drawing>
          <wp:inline distT="0" distB="0" distL="114300" distR="114300">
            <wp:extent cx="5399405" cy="3520440"/>
            <wp:effectExtent l="0" t="0" r="1079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FCF72">
      <w:pPr>
        <w:spacing w:before="120" w:after="80"/>
        <w:jc w:val="center"/>
        <w:rPr>
          <w:rFonts w:hint="eastAsia" w:ascii="宋体" w:hAnsi="宋体"/>
          <w:color w:val="000000"/>
        </w:rPr>
      </w:pPr>
      <w:r>
        <w:rPr>
          <w:rFonts w:ascii="宋体" w:hAnsi="宋体" w:cs="宋体"/>
          <w:color w:val="000000"/>
        </w:rPr>
        <w:t>图2-1 情景预约与使用流程</w:t>
      </w:r>
    </w:p>
    <w:p w14:paraId="0BA6172B">
      <w:pPr>
        <w:spacing w:before="120" w:after="80"/>
        <w:jc w:val="center"/>
        <w:rPr>
          <w:rFonts w:hint="eastAsia" w:ascii="宋体" w:hAnsi="宋体"/>
          <w:color w:val="000000"/>
        </w:rPr>
      </w:pPr>
    </w:p>
    <w:p w14:paraId="7DD37C6C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2.2 存在问题与痛点</w:t>
      </w:r>
    </w:p>
    <w:p w14:paraId="35593718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本项目按统一情景归纳八类问题，优先解决审核效率、预约授权、到场签到、开门控制与爽约释放之间的衔接。表2-2是需求假设清单，不是问卷统计结果；不为问题编造发生比例和满意度评分。</w:t>
      </w:r>
    </w:p>
    <w:p w14:paraId="3AA350F0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表2-2 痛点与一期能力边界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701"/>
        <w:gridCol w:w="3061"/>
        <w:gridCol w:w="3742"/>
      </w:tblGrid>
      <w:tr w14:paraId="3E33EA7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2664CA07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待验证问题</w:t>
            </w:r>
          </w:p>
        </w:tc>
        <w:tc>
          <w:tcPr>
            <w:tcW w:w="3061" w:type="dxa"/>
            <w:shd w:val="clear" w:color="auto" w:fill="EDEDED"/>
            <w:vAlign w:val="center"/>
          </w:tcPr>
          <w:p w14:paraId="03A722E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一期拟提供的能力</w:t>
            </w:r>
          </w:p>
        </w:tc>
        <w:tc>
          <w:tcPr>
            <w:tcW w:w="3742" w:type="dxa"/>
            <w:shd w:val="clear" w:color="auto" w:fill="EDEDED"/>
            <w:vAlign w:val="center"/>
          </w:tcPr>
          <w:p w14:paraId="3DF369F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能力限制或后续安排</w:t>
            </w:r>
          </w:p>
        </w:tc>
      </w:tr>
      <w:tr w14:paraId="405B6C9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8B7902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信息不透明</w:t>
            </w:r>
          </w:p>
        </w:tc>
        <w:tc>
          <w:tcPr>
            <w:tcW w:w="3061" w:type="dxa"/>
            <w:vAlign w:val="center"/>
          </w:tcPr>
          <w:p w14:paraId="65213035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展示预约、审核路径、信用分与签到状态</w:t>
            </w:r>
          </w:p>
        </w:tc>
        <w:tc>
          <w:tcPr>
            <w:tcW w:w="3742" w:type="dxa"/>
            <w:vAlign w:val="center"/>
          </w:tcPr>
          <w:p w14:paraId="45434283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不把预约或开门记录等同于实时物理占用</w:t>
            </w:r>
          </w:p>
        </w:tc>
      </w:tr>
      <w:tr w14:paraId="1DDB29F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E619DE6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占而不用</w:t>
            </w:r>
          </w:p>
        </w:tc>
        <w:tc>
          <w:tcPr>
            <w:tcW w:w="3061" w:type="dxa"/>
            <w:vAlign w:val="center"/>
          </w:tcPr>
          <w:p w14:paraId="51F3272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首次签到截止后释放未签到预约</w:t>
            </w:r>
          </w:p>
        </w:tc>
        <w:tc>
          <w:tcPr>
            <w:tcW w:w="3742" w:type="dxa"/>
            <w:vAlign w:val="center"/>
          </w:tcPr>
          <w:p w14:paraId="78317ED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候补通知列二期；先验证爽约释放规则</w:t>
            </w:r>
          </w:p>
        </w:tc>
      </w:tr>
      <w:tr w14:paraId="005CD2A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BE59CF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超时占用</w:t>
            </w:r>
          </w:p>
        </w:tc>
        <w:tc>
          <w:tcPr>
            <w:tcW w:w="3061" w:type="dxa"/>
            <w:vAlign w:val="center"/>
          </w:tcPr>
          <w:p w14:paraId="32C32DA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结束前蜂鸣提醒，到期结束授权</w:t>
            </w:r>
          </w:p>
        </w:tc>
        <w:tc>
          <w:tcPr>
            <w:tcW w:w="3742" w:type="dxa"/>
            <w:vAlign w:val="center"/>
          </w:tcPr>
          <w:p w14:paraId="04BA7666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不自动检测滞留，不声称自动使房间腾空</w:t>
            </w:r>
          </w:p>
        </w:tc>
      </w:tr>
      <w:tr w14:paraId="673E772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40A92A9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预约与开门脱节</w:t>
            </w:r>
          </w:p>
        </w:tc>
        <w:tc>
          <w:tcPr>
            <w:tcW w:w="3061" w:type="dxa"/>
            <w:vAlign w:val="center"/>
          </w:tcPr>
          <w:p w14:paraId="24A91B2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验证预约人身份、状态、时段后授权开锁</w:t>
            </w:r>
          </w:p>
        </w:tc>
        <w:tc>
          <w:tcPr>
            <w:tcW w:w="3742" w:type="dxa"/>
            <w:vAlign w:val="center"/>
          </w:tcPr>
          <w:p w14:paraId="0682E95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不承诺完全防止转发签到码或他人跟随进入</w:t>
            </w:r>
          </w:p>
        </w:tc>
      </w:tr>
      <w:tr w14:paraId="5B92724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26EBCE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离场无凭证</w:t>
            </w:r>
          </w:p>
        </w:tc>
        <w:tc>
          <w:tcPr>
            <w:tcW w:w="3061" w:type="dxa"/>
            <w:vAlign w:val="center"/>
          </w:tcPr>
          <w:p w14:paraId="4D51808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保留预约结束与开门操作记录</w:t>
            </w:r>
          </w:p>
        </w:tc>
        <w:tc>
          <w:tcPr>
            <w:tcW w:w="3742" w:type="dxa"/>
            <w:vAlign w:val="center"/>
          </w:tcPr>
          <w:p w14:paraId="4ABD4F27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签退和离场检测列二期，不作为已确认离场凭证</w:t>
            </w:r>
          </w:p>
        </w:tc>
      </w:tr>
      <w:tr w14:paraId="2FF17BB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C36988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高峰缺少候补</w:t>
            </w:r>
          </w:p>
        </w:tc>
        <w:tc>
          <w:tcPr>
            <w:tcW w:w="3061" w:type="dxa"/>
            <w:vAlign w:val="center"/>
          </w:tcPr>
          <w:p w14:paraId="75858C17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按15分钟单元展示可预约资源</w:t>
            </w:r>
          </w:p>
        </w:tc>
        <w:tc>
          <w:tcPr>
            <w:tcW w:w="3742" w:type="dxa"/>
            <w:vAlign w:val="center"/>
          </w:tcPr>
          <w:p w14:paraId="1F5C388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候补排队与空位通知列二期</w:t>
            </w:r>
          </w:p>
        </w:tc>
      </w:tr>
      <w:tr w14:paraId="44E3B44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E24122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管理缺少数据</w:t>
            </w:r>
          </w:p>
        </w:tc>
        <w:tc>
          <w:tcPr>
            <w:tcW w:w="3061" w:type="dxa"/>
            <w:vAlign w:val="center"/>
          </w:tcPr>
          <w:p w14:paraId="28D9CAAC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提供预约、审核路径与规则版本、信用分流水、签到、指令和申诉记录</w:t>
            </w:r>
          </w:p>
        </w:tc>
        <w:tc>
          <w:tcPr>
            <w:tcW w:w="3742" w:type="dxa"/>
            <w:vAlign w:val="center"/>
          </w:tcPr>
          <w:p w14:paraId="4640F429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信用分与违规认定按规则演示，不替代真实管理处罚</w:t>
            </w:r>
          </w:p>
        </w:tc>
      </w:tr>
      <w:tr w14:paraId="592D8A6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E8779B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设备与能耗粗放</w:t>
            </w:r>
          </w:p>
        </w:tc>
        <w:tc>
          <w:tcPr>
            <w:tcW w:w="3061" w:type="dxa"/>
            <w:vAlign w:val="center"/>
          </w:tcPr>
          <w:p w14:paraId="5E54E8E6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设备心跳及离线提示</w:t>
            </w:r>
          </w:p>
        </w:tc>
        <w:tc>
          <w:tcPr>
            <w:tcW w:w="3742" w:type="dxa"/>
            <w:vAlign w:val="center"/>
          </w:tcPr>
          <w:p w14:paraId="7A7798CB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能耗采集与管理列二期</w:t>
            </w:r>
          </w:p>
        </w:tc>
      </w:tr>
    </w:tbl>
    <w:p w14:paraId="43233F33">
      <w:pPr>
        <w:widowControl/>
        <w:spacing w:after="80" w:line="360" w:lineRule="auto"/>
        <w:ind w:firstLine="480"/>
        <w:rPr>
          <w:rFonts w:hint="eastAsia" w:ascii="宋体" w:hAnsi="宋体"/>
          <w:color w:val="000000"/>
          <w:sz w:val="24"/>
        </w:rPr>
      </w:pPr>
    </w:p>
    <w:p w14:paraId="3A3C60B1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将系统与硬件连接可以增加可记录的执行环节，但不能自动证明真人持续在场或房间已腾空。原型的直接验收对象是授权规则、状态流转、消息传递和实物开锁，而不是未经传感器与调查验证的真实占用改善。</w:t>
      </w:r>
    </w:p>
    <w:p w14:paraId="395645FC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3 方案概述</w:t>
      </w:r>
    </w:p>
    <w:p w14:paraId="3DC7ACAA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3.1 候选方案对比</w:t>
      </w:r>
    </w:p>
    <w:p w14:paraId="3037C09D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表3-1 候选方案比较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701"/>
        <w:gridCol w:w="2324"/>
        <w:gridCol w:w="2608"/>
        <w:gridCol w:w="1871"/>
      </w:tblGrid>
      <w:tr w14:paraId="60953C5C">
        <w:tblPrEx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65E50C1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方案</w:t>
            </w:r>
          </w:p>
        </w:tc>
        <w:tc>
          <w:tcPr>
            <w:tcW w:w="2324" w:type="dxa"/>
            <w:shd w:val="clear" w:color="auto" w:fill="EDEDED"/>
            <w:vAlign w:val="center"/>
          </w:tcPr>
          <w:p w14:paraId="1F0EC6DF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能力与优点</w:t>
            </w:r>
          </w:p>
        </w:tc>
        <w:tc>
          <w:tcPr>
            <w:tcW w:w="2608" w:type="dxa"/>
            <w:shd w:val="clear" w:color="auto" w:fill="EDEDED"/>
            <w:vAlign w:val="center"/>
          </w:tcPr>
          <w:p w14:paraId="14F0290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成本与局限</w:t>
            </w:r>
          </w:p>
        </w:tc>
        <w:tc>
          <w:tcPr>
            <w:tcW w:w="1871" w:type="dxa"/>
            <w:shd w:val="clear" w:color="auto" w:fill="EDEDED"/>
            <w:vAlign w:val="center"/>
          </w:tcPr>
          <w:p w14:paraId="5C6317CF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评价</w:t>
            </w:r>
          </w:p>
        </w:tc>
      </w:tr>
      <w:tr w14:paraId="1F50225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8397F4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一：纯软件升级</w:t>
            </w:r>
          </w:p>
        </w:tc>
        <w:tc>
          <w:tcPr>
            <w:tcW w:w="2324" w:type="dxa"/>
            <w:vAlign w:val="center"/>
          </w:tcPr>
          <w:p w14:paraId="30D5535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实现预约、审批和Web签到；开发链路较短</w:t>
            </w:r>
          </w:p>
        </w:tc>
        <w:tc>
          <w:tcPr>
            <w:tcW w:w="2608" w:type="dxa"/>
            <w:vAlign w:val="center"/>
          </w:tcPr>
          <w:p w14:paraId="02EAE41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无需新增门锁控制设备；无法完成真实开锁演示</w:t>
            </w:r>
          </w:p>
        </w:tc>
        <w:tc>
          <w:tcPr>
            <w:tcW w:w="1871" w:type="dxa"/>
            <w:vAlign w:val="center"/>
          </w:tcPr>
          <w:p w14:paraId="083CCB4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可作软件预研，不能独立满足本期硬件演示目标</w:t>
            </w:r>
          </w:p>
        </w:tc>
      </w:tr>
      <w:tr w14:paraId="14B2487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0432F0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二：STM32轻量硬件</w:t>
            </w:r>
          </w:p>
        </w:tc>
        <w:tc>
          <w:tcPr>
            <w:tcW w:w="2324" w:type="dxa"/>
            <w:vAlign w:val="center"/>
          </w:tcPr>
          <w:p w14:paraId="0C6F132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真实锁、屏幕、蜂鸣器与MQTT协同；可分步验证</w:t>
            </w:r>
          </w:p>
        </w:tc>
        <w:tc>
          <w:tcPr>
            <w:tcW w:w="2608" w:type="dxa"/>
            <w:vAlign w:val="center"/>
          </w:tcPr>
          <w:p w14:paraId="1C3F13A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桌面硬件预算220元；需开发屏幕、锁驱动及通信并联调</w:t>
            </w:r>
          </w:p>
        </w:tc>
        <w:tc>
          <w:tcPr>
            <w:tcW w:w="1871" w:type="dxa"/>
            <w:vAlign w:val="center"/>
          </w:tcPr>
          <w:p w14:paraId="3AE23FB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推荐，符合课程实物演示目标</w:t>
            </w:r>
          </w:p>
        </w:tc>
      </w:tr>
      <w:tr w14:paraId="4A871BD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692A49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三：树莓派或商用平板</w:t>
            </w:r>
          </w:p>
        </w:tc>
        <w:tc>
          <w:tcPr>
            <w:tcW w:w="2324" w:type="dxa"/>
            <w:vAlign w:val="center"/>
          </w:tcPr>
          <w:p w14:paraId="12C03661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可采用图形界面或集成终端</w:t>
            </w:r>
          </w:p>
        </w:tc>
        <w:tc>
          <w:tcPr>
            <w:tcW w:w="2608" w:type="dxa"/>
            <w:vAlign w:val="center"/>
          </w:tcPr>
          <w:p w14:paraId="72F2E9B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相同功能边界下另估终端、接口与运维成本，本次不采购</w:t>
            </w:r>
          </w:p>
        </w:tc>
        <w:tc>
          <w:tcPr>
            <w:tcW w:w="1871" w:type="dxa"/>
            <w:vAlign w:val="center"/>
          </w:tcPr>
          <w:p w14:paraId="6BFC5649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本期无必要引入新的终端平台</w:t>
            </w:r>
          </w:p>
        </w:tc>
      </w:tr>
    </w:tbl>
    <w:p w14:paraId="3C43E18B">
      <w:pPr>
        <w:widowControl/>
        <w:spacing w:after="80" w:line="360" w:lineRule="auto"/>
        <w:ind w:firstLine="480"/>
        <w:rPr>
          <w:rFonts w:hint="eastAsia" w:ascii="宋体" w:hAnsi="宋体"/>
          <w:color w:val="000000"/>
          <w:sz w:val="24"/>
        </w:rPr>
      </w:pPr>
    </w:p>
    <w:p w14:paraId="1330748E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采用方案二作为一期实施方案：STM32控制真实屏幕、蜂鸣器和电控锁，分步验证通信及执行链路。硬件预算统一按表B-1全量购置测算220元，已有器材可在实际采购时冲减，预算值不作为商家报价。</w:t>
      </w:r>
    </w:p>
    <w:p w14:paraId="44F42402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3.2 推荐方案详细设计</w:t>
      </w:r>
    </w:p>
    <w:p w14:paraId="651631F2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本期架构为“手机Web端—独立后端与数据库—MQTT Broker—STM32及通信模块—真实屏幕、蜂鸣器、电控锁”。后台管理端与预约页面同属一个Web应用，提供房间与时段管理、审核规则参数配置和申诉处理入口。设计选型为STM32F103C8T6开发板、ESP8266串口Wi-Fi模块、SSD1306 I²C OLED屏、5V有源蜂鸣器模块及12V桌面电控柜锁。锁和屏幕驱动均列为开发任务；蜂鸣器可复用已有器材，预算仍按全量购置留足额度。采购替代件须保持接口和功能一致。</w:t>
      </w:r>
    </w:p>
    <w:p w14:paraId="1F870D39">
      <w:pPr>
        <w:keepNext/>
        <w:spacing w:before="80" w:after="40"/>
        <w:jc w:val="center"/>
      </w:pPr>
      <w:r>
        <w:drawing>
          <wp:inline distT="0" distB="0" distL="114300" distR="114300">
            <wp:extent cx="5399405" cy="3941445"/>
            <wp:effectExtent l="0" t="0" r="10795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044C">
      <w:pPr>
        <w:spacing w:before="120" w:after="80"/>
        <w:jc w:val="center"/>
        <w:rPr>
          <w:rFonts w:hint="eastAsia" w:ascii="宋体" w:hAnsi="宋体"/>
          <w:color w:val="000000"/>
        </w:rPr>
      </w:pPr>
      <w:r>
        <w:rPr>
          <w:rFonts w:ascii="宋体" w:hAnsi="宋体" w:cs="宋体"/>
          <w:color w:val="000000"/>
        </w:rPr>
        <w:t>图3-1 本期软硬件架构与执行链路</w:t>
      </w:r>
    </w:p>
    <w:p w14:paraId="4398A11D">
      <w:pPr>
        <w:spacing w:before="120" w:after="80"/>
        <w:jc w:val="center"/>
        <w:rPr>
          <w:rFonts w:hint="eastAsia" w:ascii="宋体" w:hAnsi="宋体"/>
          <w:color w:val="000000"/>
        </w:rPr>
      </w:pPr>
    </w:p>
    <w:p w14:paraId="5169B6A4">
      <w:pPr>
        <w:pStyle w:val="4"/>
        <w:spacing w:before="312" w:after="312" w:line="276" w:lineRule="auto"/>
        <w:ind w:firstLine="0" w:firstLineChars="0"/>
      </w:pPr>
      <w:r>
        <w:rPr>
          <w:rFonts w:hint="eastAsia" w:ascii="黑体" w:hAnsi="黑体" w:cs="黑体"/>
          <w:sz w:val="28"/>
        </w:rPr>
        <w:t>3.2.1 预约时段与优先规则</w:t>
      </w:r>
    </w:p>
    <w:p w14:paraId="5F909B00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场景设2间房间、每间容量6人，每日开放08:00—22:00，按15分钟划分为56个单元，两间合计112个单元。预约由连续单元组成：起止时刻对齐15分钟整点，单次时长15分钟至4小时（1—16个单元），开始时刻不早于服务器当前时刻，最多提前7天预约。测试日采用系统当日日期，另用可注入测试时钟验证整点对齐、签到截止与结束边界。申请人数限定1—6人；后端校验账号权限、信用分和容量，并以“房间—日期—单元序号”三元组记录有效占用。</w:t>
      </w:r>
    </w:p>
    <w:p w14:paraId="49973EA5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“已通过”和“已签到”的有效预约逐单元占用，待审批申请不直接占用单元；规则或管理员批准时必须在同一事务内重新检查并写入全部单元，任一元冲突即整体回滚。终止预约保留历史记录并释放全部单元，不继续占用资源，避免把历史记录的唯一约束误当作有效资源占用约束。</w:t>
      </w:r>
    </w:p>
    <w:p w14:paraId="4A4B0C25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学生提交申请后先经3.2.2节规则判定：命中自动通过即直接进入“已通过”，命中人工审核则进入“待审批”，基础规则不通过则拒绝并说明理由；管理员批准前必须重新检查单元占用。教师申请仍按教师优先规则处理：与其他教师预约单元重叠则拒绝；只能覆盖尚未开始的学生预约，不得覆盖已经开始或已进入签到窗口的预约。覆盖时整笔取消原学生预约并释放其全部单元，置为“已取消”，记录原因与判定所依据的规则版本，撤销签到码与开门授权，并通过站内通知提示重新选择时段。取消、占用释放与通知记录须在同一事务内保持一致。</w:t>
      </w:r>
    </w:p>
    <w:p w14:paraId="3C1DB6DE">
      <w:pPr>
        <w:pStyle w:val="4"/>
        <w:spacing w:before="312" w:after="312" w:line="276" w:lineRule="auto"/>
        <w:ind w:firstLine="0" w:firstLineChars="0"/>
      </w:pPr>
      <w:r>
        <w:rPr>
          <w:rFonts w:hint="eastAsia" w:ascii="黑体" w:hAnsi="黑体" w:cs="黑体"/>
          <w:sz w:val="28"/>
        </w:rPr>
        <w:t>3.2.2 审核规则、信用管理与申诉</w:t>
      </w:r>
    </w:p>
    <w:p w14:paraId="5AFD2ACE">
      <w:pPr>
        <w:keepNext/>
        <w:spacing w:after="80" w:line="360" w:lineRule="auto"/>
        <w:ind w:firstLine="480" w:firstLineChars="200"/>
        <w:rPr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一期不再对每笔学生申请都走人工审批，而是把审核拆成三层：基础规则由系统内置、只读，每次提交必检；附加规则由管理员在后台规则配置页维护，可针对房间、角色、时段和人数设定阈值与例外，规则带版本号和生效时间；人工审核保留为最终闸口，管理员可对任一申请强制转人工，也可在规则误判时直接批准或拒绝。判定顺序为：基础规则不通过即拒绝并说明理由，附加规则命中则自动通过或转人工，达到人数阈值的申请一律转人工。</w:t>
      </w:r>
    </w:p>
    <w:p w14:paraId="3D5FF79A">
      <w:pPr>
        <w:keepNext/>
        <w:spacing w:after="80" w:line="360" w:lineRule="auto"/>
        <w:ind w:firstLine="480" w:firstLineChars="200"/>
        <w:rPr>
          <w:rFonts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基础规则包括：账号有效且角色与房间权限匹配；起止时刻对齐15分钟整点，时长15分钟至4小时，开始时刻不早于当前时刻，最多提前7天；申请人数1至房间容量6人；与同房间有效占用单元无重叠；信用分不低于60分；无未处理的严重违规记录。附加规则的默认参数为：信用分90分及以上自动通过，70—89分仅自动通过2小时以内的申请，70分以下转人工并须说明用途；同一账号每日自动通过不超过3笔；单间连续占用不超过4小时；管理员可临时冻结某一房间或某一时段的自动通过。所有规则带版本与生效时间，历史审核按当时的版本记录，便于复核和申诉取证。</w:t>
      </w:r>
    </w:p>
    <w:p w14:paraId="25AAB5D3">
      <w:pPr>
        <w:keepNext/>
        <w:spacing w:after="80" w:line="360" w:lineRule="auto"/>
        <w:ind w:firstLine="480" w:firstLineChars="200"/>
        <w:rPr>
          <w:rFonts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人数阈值默认设为5人，即单次预约达到5人及以上（房间容量6人）必须由管理员人工审核；阈值与容量均可由管理员在后台调整。人工审核须在申请提交后24小时内完成，超时由值班管理员接手，结论必须填写理由。信用分初始100分，上限100分、下限0分：签到截止仍未签到被释放记爽约扣10分，结束超时占用累计超过15分钟扣5分，经确认的违规使用扣20分，30日内再次发生同类问题加倍扣分；按时签到并正常结束加2分，30日内无爽约加5分。加减分均由规则写入流水，附原因、预约编号与操作者。</w:t>
      </w:r>
    </w:p>
    <w:p w14:paraId="210E2231">
      <w:pPr>
        <w:keepNext/>
        <w:spacing w:after="80" w:line="360" w:lineRule="auto"/>
        <w:ind w:firstLine="480" w:firstLineChars="200"/>
        <w:rPr>
          <w:rFonts w:cs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学生与教师均可对拒绝、取消、超时释放的扣分或违规认定，在7日内提交一次申诉，附文字说明与必要凭证；申诉工单独立于预约状态机，不占用房间单元，记录提交人、原处理结论、依据的规则版本与复核结论。演示阶段由未参与原审核的成员使用独立复核权限处理，避免自审；3个工作日内给出书面结论，可撤销扣分、纠正记录或维持原判。已释放的单元不因申诉自动恢复，申诉成立时按剩余可用单元优先重建预约。表3-3汇总三层规则的默认参数与处理路径。</w:t>
      </w:r>
    </w:p>
    <w:p w14:paraId="364270AB">
      <w:pPr>
        <w:keepNext/>
        <w:spacing w:before="120" w:after="80"/>
        <w:jc w:val="center"/>
        <w:rPr>
          <w:rFonts w:hint="eastAsia" w:ascii="宋体" w:hAnsi="宋体" w:cs="宋体"/>
          <w:sz w:val="20"/>
        </w:rPr>
      </w:pPr>
      <w:r>
        <w:rPr>
          <w:rFonts w:hint="eastAsia" w:ascii="宋体" w:hAnsi="宋体" w:cs="宋体"/>
        </w:rPr>
        <w:t>表3-3 审核规则分层、默认参数与处理路径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896"/>
        <w:gridCol w:w="4309"/>
        <w:gridCol w:w="2299"/>
      </w:tblGrid>
      <w:tr w14:paraId="07286EC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871" w:type="dxa"/>
            <w:shd w:val="clear" w:color="auto" w:fill="EDEDED"/>
            <w:vAlign w:val="center"/>
          </w:tcPr>
          <w:p w14:paraId="2DE912C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层级与规则来源</w:t>
            </w:r>
          </w:p>
        </w:tc>
        <w:tc>
          <w:tcPr>
            <w:tcW w:w="4252" w:type="dxa"/>
            <w:shd w:val="clear" w:color="auto" w:fill="EDEDED"/>
            <w:vAlign w:val="center"/>
          </w:tcPr>
          <w:p w14:paraId="61835C00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默认参数与判定条件</w:t>
            </w:r>
          </w:p>
        </w:tc>
        <w:tc>
          <w:tcPr>
            <w:tcW w:w="2268" w:type="dxa"/>
            <w:shd w:val="clear" w:color="auto" w:fill="EDEDED"/>
            <w:vAlign w:val="center"/>
          </w:tcPr>
          <w:p w14:paraId="076D4CD0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命中后的处理路径</w:t>
            </w:r>
          </w:p>
        </w:tc>
      </w:tr>
      <w:tr w14:paraId="5917CF5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352D958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基础规则（系统内置、只读，每次提交必检）</w:t>
            </w:r>
          </w:p>
        </w:tc>
        <w:tc>
          <w:tcPr>
            <w:tcW w:w="4252" w:type="dxa"/>
            <w:vAlign w:val="center"/>
          </w:tcPr>
          <w:p w14:paraId="30CDB3A8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账号有效、角色与房间权限匹配；起止对齐15分钟整点，时长15分钟至4小时，最多提前7天；人数1至容量6人；同房间单元不重叠；信用分不低于60；无未处理严重违规</w:t>
            </w:r>
          </w:p>
        </w:tc>
        <w:tc>
          <w:tcPr>
            <w:tcW w:w="2268" w:type="dxa"/>
            <w:vAlign w:val="center"/>
          </w:tcPr>
          <w:p w14:paraId="5E72118A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任一条不满足即拒绝并说明理由，不再进入后续判定</w:t>
            </w:r>
          </w:p>
        </w:tc>
      </w:tr>
      <w:tr w14:paraId="77476A5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017A589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附加规则（管理员后台配置，带版本号与生效时间）</w:t>
            </w:r>
          </w:p>
        </w:tc>
        <w:tc>
          <w:tcPr>
            <w:tcW w:w="4252" w:type="dxa"/>
            <w:vAlign w:val="center"/>
          </w:tcPr>
          <w:p w14:paraId="4DA612E4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信用分90及以上自动通过；70—89分仅自动通过2小时以内申请；70分以下转人工并须说明用途；每日自动通过不超过3笔；单间连续占用不超过4小时；可临时冻结房间或时段</w:t>
            </w:r>
          </w:p>
        </w:tc>
        <w:tc>
          <w:tcPr>
            <w:tcW w:w="2268" w:type="dxa"/>
            <w:vAlign w:val="center"/>
          </w:tcPr>
          <w:p w14:paraId="772F93D6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命中自动通过条件即置为“已通过”；命中转人工条件、冻结或人数达阈值则转“待审批”</w:t>
            </w:r>
          </w:p>
        </w:tc>
      </w:tr>
      <w:tr w14:paraId="6C59C73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09C726C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人工审核（管理员保留，最终闸口）</w:t>
            </w:r>
          </w:p>
        </w:tc>
        <w:tc>
          <w:tcPr>
            <w:tcW w:w="4252" w:type="dxa"/>
            <w:vAlign w:val="center"/>
          </w:tcPr>
          <w:p w14:paraId="38288447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人数达到5人及以上（默认阈值，可调）或管理员强制转人工；须在提交后24小时内办结并填写理由</w:t>
            </w:r>
          </w:p>
        </w:tc>
        <w:tc>
          <w:tcPr>
            <w:tcW w:w="2268" w:type="dxa"/>
            <w:vAlign w:val="center"/>
          </w:tcPr>
          <w:p w14:paraId="056770A9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批准后重查单元占用并置“已通过”；拒绝置“已拒绝”；超时由值班管理员接手</w:t>
            </w:r>
          </w:p>
        </w:tc>
      </w:tr>
      <w:tr w14:paraId="067DBA3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4B3BFE7D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信用计分（只由规则写入流水）</w:t>
            </w:r>
          </w:p>
        </w:tc>
        <w:tc>
          <w:tcPr>
            <w:tcW w:w="4252" w:type="dxa"/>
            <w:vAlign w:val="center"/>
          </w:tcPr>
          <w:p w14:paraId="579EF121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初始100分，上限100分、下限0分：爽约 −10分，结束超时占用累计超过15分钟 −5分，确认违规 −20分，30日内同类再犯加倍；按时签到并正常结束 +2分，30日无爽约 +5分</w:t>
            </w:r>
          </w:p>
        </w:tc>
        <w:tc>
          <w:tcPr>
            <w:tcW w:w="2268" w:type="dxa"/>
            <w:vAlign w:val="center"/>
          </w:tcPr>
          <w:p w14:paraId="0795522A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变动记入流水（原因、预约编号、操作者）；低于60分不再自动通过，改由人工审核</w:t>
            </w:r>
          </w:p>
        </w:tc>
      </w:tr>
      <w:tr w14:paraId="18659E9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71" w:type="dxa"/>
            <w:vAlign w:val="center"/>
          </w:tcPr>
          <w:p w14:paraId="205CFF0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申诉（学生与教师）</w:t>
            </w:r>
          </w:p>
        </w:tc>
        <w:tc>
          <w:tcPr>
            <w:tcW w:w="4252" w:type="dxa"/>
            <w:vAlign w:val="center"/>
          </w:tcPr>
          <w:p w14:paraId="2AB1B5B2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对拒绝、取消、超时释放扣分或违规认定，7日内提交一次，附说明与凭证；3个工作日内给出书面结论</w:t>
            </w:r>
          </w:p>
        </w:tc>
        <w:tc>
          <w:tcPr>
            <w:tcW w:w="2268" w:type="dxa"/>
            <w:vAlign w:val="center"/>
          </w:tcPr>
          <w:p w14:paraId="7E943FEF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工单独立于预约状态机、不占房间单元；可撤销扣分、纠正记录或维持原判；不自动恢复已释放单元，成立时按剩余单元优先重建</w:t>
            </w:r>
          </w:p>
        </w:tc>
      </w:tr>
    </w:tbl>
    <w:p w14:paraId="0D822748">
      <w:pPr>
        <w:pStyle w:val="4"/>
        <w:spacing w:before="312" w:after="312" w:line="276" w:lineRule="auto"/>
        <w:ind w:firstLine="0" w:firstLineChars="0"/>
      </w:pPr>
      <w:r>
        <w:rPr>
          <w:rFonts w:hint="eastAsia" w:ascii="黑体" w:hAnsi="黑体" w:cs="黑体"/>
          <w:sz w:val="28"/>
        </w:rPr>
        <w:t>3.2.3 签到与开门规则</w:t>
      </w:r>
    </w:p>
    <w:p w14:paraId="5529A483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预约通过后生成4位随机签到码，并与预约编号、预约人及房间绑定。未来预约的码可先保存在服务端，但设备只显示进入当前签到窗口的有效预约码，避免多笔审批覆盖当前显示。师生均适用同一身份核验规则。</w:t>
      </w:r>
    </w:p>
    <w:p w14:paraId="399907A3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首次签到从预约开始时刻起允许，截止时刻为“开始后5分钟”与“预约结束时刻”中的较早者，窗口采用开始时刻包含、截止时刻不包含的规则，即区间［开始，开始＋5分钟）。截止时刻起，未签到预约不得再签到并按爽约处理。预约人在手机Web端输入真实屏幕上的签到码，服务端同时校验登录身份与预约归属、预约状态、时间窗口和签到码。失败则返回原因并实施限流，允许用户在有效窗口内纠正后重试。</w:t>
      </w:r>
    </w:p>
    <w:p w14:paraId="3EC6CE15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首次签到通过后，预约进入“已签到”，服务端向指定设备发送开锁指令。STM32校验归属、有效期与重复请求后，驱动12V电控柜锁、更新屏幕并蜂鸣提示，返回执行回执。桌面选用通电释放、断电保持锁闭且带手动释放机构的锁；开锁脉冲设3秒，器件须满足该通电时长，锁芯无机械回位时手动复位。选型与驱动测试均按此要求验收。</w:t>
      </w:r>
    </w:p>
    <w:p w14:paraId="6BDCDB9C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签到记录与开锁执行结果分别保存。若已签到但第一次开锁失败，不回滚伪造“未到场”，应记录失败并允许在预约有效期内恢复重试；不可重复执行同一条失效或重复指令。设备执行回执只证明设备报告执行结果，不等同于确认门已打开或房间已腾空。</w:t>
      </w:r>
    </w:p>
    <w:p w14:paraId="12E1E3AA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已签到预约在有效期内允许预约人再次认证申请开门，不要求重复首次签到；每次仍检查当前账号、预约归属、状态与有效时段，并生成独立操作记录。预约未签到而已过签到截止、被覆盖取消、超时释放或已经结束时，均不得借助旧码或旧指令开门。</w:t>
      </w:r>
    </w:p>
    <w:p w14:paraId="7EE7AB20">
      <w:pPr>
        <w:pStyle w:val="4"/>
        <w:spacing w:before="312" w:after="312" w:line="276" w:lineRule="auto"/>
        <w:ind w:firstLine="0" w:firstLineChars="0"/>
      </w:pPr>
      <w:r>
        <w:rPr>
          <w:rFonts w:hint="eastAsia" w:ascii="黑体" w:hAnsi="黑体" w:cs="黑体"/>
          <w:sz w:val="28"/>
        </w:rPr>
        <w:t>3.2.4 提醒、释放与结束</w:t>
      </w:r>
    </w:p>
    <w:p w14:paraId="189CD793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定时任务可按60秒周期检查已签到且即将结束的预约，在结束前5分钟范围内发送一次提醒，并在预约记录中登记提醒时刻；屏幕显示按实际时间计算的剩余时间，蜂鸣器发出结束提示。对15分钟的最短预约，开始后5分钟的签到截止与结束前5分钟的提醒相邻，须按状态区分两者，不得把提醒当作释放信号。扫描存在最多一个周期左右的正常延迟，不承诺精确到秒提醒。</w:t>
      </w:r>
    </w:p>
    <w:p w14:paraId="5406DA13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到达签到截止时刻（开始后5分钟）仍未签到的“已通过”预约进入“超时释放”，释放全部占用单元并撤销授权，同时按信用规则记一次爽约并写入扣分流水；达到预约结束时刻的有效预约进入“已结束”。授权校验直接依据服务器时间，不依赖定时任务是否已更新显示状态。已结束、已取消、已拒绝和超时释放为终止状态，不接受重新签到。</w:t>
      </w:r>
    </w:p>
    <w:p w14:paraId="25E8E32B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设备清屏、提醒及开锁指令均携带预约编号与有效性信息；旧预约的延迟消息不得清除下一笔预约码显或重新开锁。预约释放和到期结束只改变业务状态，不证明实际人员已离开；一期不设置签退，不自动实施物理清场。因爽约、取消或违规认定产生的扣分记录，按3.2.2节申诉流程处理；申诉结论只影响信用记录与后续审核路径，不恢复已释放的占用单元。</w:t>
      </w:r>
    </w:p>
    <w:p w14:paraId="51DF3F5C">
      <w:pPr>
        <w:spacing w:before="160" w:after="160"/>
        <w:jc w:val="center"/>
      </w:pPr>
      <w:r>
        <w:drawing>
          <wp:inline distT="0" distB="0" distL="0" distR="0">
            <wp:extent cx="4031615" cy="3874135"/>
            <wp:effectExtent l="0" t="0" r="698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06" cy="387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BC59">
      <w:pPr>
        <w:spacing w:before="120" w:after="80"/>
        <w:jc w:val="center"/>
        <w:rPr>
          <w:rFonts w:hint="eastAsia" w:ascii="宋体" w:hAnsi="宋体"/>
          <w:color w:val="000000"/>
        </w:rPr>
      </w:pPr>
      <w:r>
        <w:rPr>
          <w:rFonts w:ascii="宋体" w:hAnsi="宋体" w:cs="宋体"/>
          <w:color w:val="000000"/>
        </w:rPr>
        <w:t>图3-2 预约、签到与门禁主流程</w:t>
      </w:r>
    </w:p>
    <w:p w14:paraId="37E9E152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表3-2 统一预约状态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304"/>
        <w:gridCol w:w="3458"/>
        <w:gridCol w:w="3742"/>
      </w:tblGrid>
      <w:tr w14:paraId="7AB8714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304" w:type="dxa"/>
            <w:shd w:val="clear" w:color="auto" w:fill="EDEDED"/>
            <w:vAlign w:val="center"/>
          </w:tcPr>
          <w:p w14:paraId="2275EA72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状态</w:t>
            </w:r>
          </w:p>
        </w:tc>
        <w:tc>
          <w:tcPr>
            <w:tcW w:w="3458" w:type="dxa"/>
            <w:shd w:val="clear" w:color="auto" w:fill="EDEDED"/>
            <w:vAlign w:val="center"/>
          </w:tcPr>
          <w:p w14:paraId="20AFE138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进入条件</w:t>
            </w:r>
          </w:p>
        </w:tc>
        <w:tc>
          <w:tcPr>
            <w:tcW w:w="3742" w:type="dxa"/>
            <w:shd w:val="clear" w:color="auto" w:fill="EDEDED"/>
            <w:vAlign w:val="center"/>
          </w:tcPr>
          <w:p w14:paraId="165FF7F7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后续处理</w:t>
            </w:r>
          </w:p>
        </w:tc>
      </w:tr>
      <w:tr w14:paraId="6CFF9A7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10DFAE7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待审批</w:t>
            </w:r>
          </w:p>
        </w:tc>
        <w:tc>
          <w:tcPr>
            <w:tcW w:w="3458" w:type="dxa"/>
            <w:vAlign w:val="center"/>
          </w:tcPr>
          <w:p w14:paraId="703562F2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学生提交申请且未命中自动通过规则（信用分不足、达到人数阈值或管理员强制转人工）</w:t>
            </w:r>
          </w:p>
        </w:tc>
        <w:tc>
          <w:tcPr>
            <w:tcW w:w="3742" w:type="dxa"/>
            <w:vAlign w:val="center"/>
          </w:tcPr>
          <w:p w14:paraId="4B21DBF1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规则自动通过后转入已通过，或由管理员批准、拒绝；须填写理由</w:t>
            </w:r>
          </w:p>
        </w:tc>
      </w:tr>
      <w:tr w14:paraId="17718D0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24D5D95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已通过</w:t>
            </w:r>
          </w:p>
        </w:tc>
        <w:tc>
          <w:tcPr>
            <w:tcW w:w="3458" w:type="dxa"/>
            <w:vAlign w:val="center"/>
          </w:tcPr>
          <w:p w14:paraId="3AFFC03D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规则自动通过、学生获批或教师自动通过</w:t>
            </w:r>
          </w:p>
        </w:tc>
        <w:tc>
          <w:tcPr>
            <w:tcW w:w="3742" w:type="dxa"/>
            <w:vAlign w:val="center"/>
          </w:tcPr>
          <w:p w14:paraId="007EB1A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有效窗口内首次签到；否则超时释放、到期结束或取消</w:t>
            </w:r>
          </w:p>
        </w:tc>
      </w:tr>
      <w:tr w14:paraId="7F8D897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A3B7AE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已签到</w:t>
            </w:r>
          </w:p>
        </w:tc>
        <w:tc>
          <w:tcPr>
            <w:tcW w:w="3458" w:type="dxa"/>
            <w:vAlign w:val="center"/>
          </w:tcPr>
          <w:p w14:paraId="56E74BA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预约人首次签到校验通过</w:t>
            </w:r>
          </w:p>
        </w:tc>
        <w:tc>
          <w:tcPr>
            <w:tcW w:w="3742" w:type="dxa"/>
            <w:vAlign w:val="center"/>
          </w:tcPr>
          <w:p w14:paraId="024DD91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有效期内可再次开门；到期结束，故障另记执行结果</w:t>
            </w:r>
          </w:p>
        </w:tc>
      </w:tr>
      <w:tr w14:paraId="3224C89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73DF72B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已拒绝</w:t>
            </w:r>
          </w:p>
        </w:tc>
        <w:tc>
          <w:tcPr>
            <w:tcW w:w="3458" w:type="dxa"/>
            <w:vAlign w:val="center"/>
          </w:tcPr>
          <w:p w14:paraId="5E41018A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基础规则不通过、规则判定拒绝或管理员拒绝</w:t>
            </w:r>
          </w:p>
        </w:tc>
        <w:tc>
          <w:tcPr>
            <w:tcW w:w="3742" w:type="dxa"/>
            <w:vAlign w:val="center"/>
          </w:tcPr>
          <w:p w14:paraId="7EE4FF58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终止；7日内可提交一次申诉，申诉不自动恢复已释放的单元</w:t>
            </w:r>
          </w:p>
        </w:tc>
      </w:tr>
      <w:tr w14:paraId="5CDD6AF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4830C30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已取消</w:t>
            </w:r>
          </w:p>
        </w:tc>
        <w:tc>
          <w:tcPr>
            <w:tcW w:w="3458" w:type="dxa"/>
            <w:vAlign w:val="center"/>
          </w:tcPr>
          <w:p w14:paraId="11B74395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未开始的学生预约被教师覆盖，或管理员按规则、申诉复核后取消</w:t>
            </w:r>
          </w:p>
        </w:tc>
        <w:tc>
          <w:tcPr>
            <w:tcW w:w="3742" w:type="dxa"/>
            <w:vAlign w:val="center"/>
          </w:tcPr>
          <w:p w14:paraId="3EA862A7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终止并撤销全部单元占用与授权，保留原因、规则版本和通知记录</w:t>
            </w:r>
          </w:p>
        </w:tc>
      </w:tr>
      <w:tr w14:paraId="72A17B7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355E99A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超时释放</w:t>
            </w:r>
          </w:p>
        </w:tc>
        <w:tc>
          <w:tcPr>
            <w:tcW w:w="3458" w:type="dxa"/>
            <w:vAlign w:val="center"/>
          </w:tcPr>
          <w:p w14:paraId="093A1795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签到截止（开始后5分钟）仍未签到</w:t>
            </w:r>
          </w:p>
        </w:tc>
        <w:tc>
          <w:tcPr>
            <w:tcW w:w="3742" w:type="dxa"/>
            <w:vAlign w:val="center"/>
          </w:tcPr>
          <w:p w14:paraId="14A7562B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终止并释放全部占用单元，记爽约扣分；不再接受旧预约签到</w:t>
            </w:r>
          </w:p>
        </w:tc>
      </w:tr>
      <w:tr w14:paraId="450D19E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304" w:type="dxa"/>
            <w:vAlign w:val="center"/>
          </w:tcPr>
          <w:p w14:paraId="3809BDB9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已结束</w:t>
            </w:r>
          </w:p>
        </w:tc>
        <w:tc>
          <w:tcPr>
            <w:tcW w:w="3458" w:type="dxa"/>
            <w:vAlign w:val="center"/>
          </w:tcPr>
          <w:p w14:paraId="68C03F0B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有效预约达到结束时刻</w:t>
            </w:r>
          </w:p>
        </w:tc>
        <w:tc>
          <w:tcPr>
            <w:tcW w:w="3742" w:type="dxa"/>
            <w:vAlign w:val="center"/>
          </w:tcPr>
          <w:p w14:paraId="323F64D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终止并撤销授权，不代表已确认离场</w:t>
            </w:r>
          </w:p>
        </w:tc>
      </w:tr>
    </w:tbl>
    <w:p w14:paraId="22A84FF3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4 技术可行性分析</w:t>
      </w:r>
    </w:p>
    <w:p w14:paraId="2E0FCF42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4.1 关键技术点评估</w:t>
      </w:r>
    </w:p>
    <w:p w14:paraId="2F8ED05F">
      <w:pPr>
        <w:widowControl/>
        <w:spacing w:after="80" w:line="360" w:lineRule="auto"/>
        <w:ind w:firstLine="480"/>
        <w:rPr>
          <w:rFonts w:hint="eastAsia" w:ascii="宋体" w:hAnsi="宋体"/>
          <w:color w:val="000000"/>
        </w:rPr>
      </w:pPr>
      <w:r>
        <w:rPr>
          <w:rFonts w:hint="eastAsia" w:ascii="宋体" w:hAnsi="宋体" w:cs="宋体"/>
          <w:color w:val="000000"/>
          <w:sz w:val="24"/>
        </w:rPr>
        <w:t>软件与硬件组件具有可采用的实现路径，但团队对具体器件、通信与驱动的掌握程度尚待验证。本期新增的审核规则引擎、信用流水与申诉流程对业务一致性要求较高，技术风险主要在规则判定与状态流转能否被测试覆盖，而不在组件是否成熟；因此不因组件成熟或只接一把锁而直接判定风险很低。</w:t>
      </w:r>
    </w:p>
    <w:p w14:paraId="14DCAB99">
      <w:pPr>
        <w:keepNext/>
        <w:pageBreakBefore w:val="0"/>
        <w:spacing w:before="120" w:after="80"/>
        <w:jc w:val="center"/>
      </w:pPr>
      <w:r>
        <w:rPr>
          <w:rFonts w:hint="eastAsia" w:ascii="宋体" w:hAnsi="宋体" w:cs="宋体"/>
        </w:rPr>
        <w:t>表4-1 十二个技术点与验证任务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020"/>
        <w:gridCol w:w="2098"/>
        <w:gridCol w:w="5386"/>
      </w:tblGrid>
      <w:tr w14:paraId="27A417E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020" w:type="dxa"/>
            <w:shd w:val="clear" w:color="auto" w:fill="EDEDED"/>
            <w:vAlign w:val="center"/>
          </w:tcPr>
          <w:p w14:paraId="70AFD350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编号</w:t>
            </w:r>
          </w:p>
        </w:tc>
        <w:tc>
          <w:tcPr>
            <w:tcW w:w="2098" w:type="dxa"/>
            <w:shd w:val="clear" w:color="auto" w:fill="EDEDED"/>
            <w:vAlign w:val="center"/>
          </w:tcPr>
          <w:p w14:paraId="244A8FE3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技术点</w:t>
            </w:r>
          </w:p>
        </w:tc>
        <w:tc>
          <w:tcPr>
            <w:tcW w:w="5386" w:type="dxa"/>
            <w:shd w:val="clear" w:color="auto" w:fill="EDEDED"/>
            <w:vAlign w:val="center"/>
          </w:tcPr>
          <w:p w14:paraId="5B7EB9A0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主要措施与验收内容</w:t>
            </w:r>
          </w:p>
        </w:tc>
      </w:tr>
      <w:tr w14:paraId="66426BC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5D34C3AA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T1</w:t>
            </w:r>
          </w:p>
        </w:tc>
        <w:tc>
          <w:tcPr>
            <w:tcW w:w="2098" w:type="dxa"/>
            <w:vAlign w:val="center"/>
          </w:tcPr>
          <w:p w14:paraId="4C43420D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15分钟粒度占用与冲突控制</w:t>
            </w:r>
          </w:p>
        </w:tc>
        <w:tc>
          <w:tcPr>
            <w:tcW w:w="5386" w:type="dxa"/>
            <w:vAlign w:val="center"/>
          </w:tcPr>
          <w:p w14:paraId="4B49B8C6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以“房间—日期—单元序号”唯一表示占用，同一事务写入1—16个连续单元，任一冲突即回滚；校验整点对齐、时长与提前天数；测试并发与重叠覆盖</w:t>
            </w:r>
          </w:p>
        </w:tc>
      </w:tr>
      <w:tr w14:paraId="3ADA719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D2DA80F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T2</w:t>
            </w:r>
          </w:p>
        </w:tc>
        <w:tc>
          <w:tcPr>
            <w:tcW w:w="2098" w:type="dxa"/>
            <w:vAlign w:val="center"/>
          </w:tcPr>
          <w:p w14:paraId="7B94F71A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预约与审核状态机</w:t>
            </w:r>
          </w:p>
        </w:tc>
        <w:tc>
          <w:tcPr>
            <w:tcW w:w="5386" w:type="dxa"/>
            <w:vAlign w:val="center"/>
          </w:tcPr>
          <w:p w14:paraId="1CD88E5E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统一表3-2状态；规则判定只写入约定状态并留判定依据；终止状态拒绝签到；测试5分钟与结束边界</w:t>
            </w:r>
          </w:p>
        </w:tc>
      </w:tr>
      <w:tr w14:paraId="03DFA8E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9452FC2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T3</w:t>
            </w:r>
          </w:p>
        </w:tc>
        <w:tc>
          <w:tcPr>
            <w:tcW w:w="2098" w:type="dxa"/>
            <w:vAlign w:val="center"/>
          </w:tcPr>
          <w:p w14:paraId="1E460743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签到码生成与防猜测</w:t>
            </w:r>
          </w:p>
        </w:tc>
        <w:tc>
          <w:tcPr>
            <w:tcW w:w="5386" w:type="dxa"/>
            <w:vAlign w:val="center"/>
          </w:tcPr>
          <w:p w14:paraId="7F914A63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安全随机数、绑定预约与账号、有效期校验；账号与IP限流，防恶意锁死他人预约</w:t>
            </w:r>
          </w:p>
        </w:tc>
      </w:tr>
      <w:tr w14:paraId="2B13A7B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365EB5C0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T4</w:t>
            </w:r>
          </w:p>
        </w:tc>
        <w:tc>
          <w:tcPr>
            <w:tcW w:w="2098" w:type="dxa"/>
            <w:vAlign w:val="center"/>
          </w:tcPr>
          <w:p w14:paraId="6A6F63CF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MQTT消息、状态同步与心跳</w:t>
            </w:r>
          </w:p>
        </w:tc>
        <w:tc>
          <w:tcPr>
            <w:tcW w:w="5386" w:type="dxa"/>
            <w:vAlign w:val="center"/>
          </w:tcPr>
          <w:p w14:paraId="4E54ECF7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拟采用QoS1与状态快照；快照与一次性开锁指令分离，旧消息与过期指令拒绝执行；30秒心跳，超90秒标记离线，重连校验快照</w:t>
            </w:r>
          </w:p>
        </w:tc>
      </w:tr>
      <w:tr w14:paraId="3E1D6DB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2C168F45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T5</w:t>
            </w:r>
          </w:p>
        </w:tc>
        <w:tc>
          <w:tcPr>
            <w:tcW w:w="2098" w:type="dxa"/>
            <w:vAlign w:val="center"/>
          </w:tcPr>
          <w:p w14:paraId="788317D7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身份、时间与权限分离</w:t>
            </w:r>
          </w:p>
        </w:tc>
        <w:tc>
          <w:tcPr>
            <w:tcW w:w="5386" w:type="dxa"/>
            <w:vAlign w:val="center"/>
          </w:tcPr>
          <w:p w14:paraId="583681C6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检查预约人、状态、窗口、房间及签到码；教师也须核验，不因角色高而跳过授权；审核、规则配置与申诉复核按角色分离</w:t>
            </w:r>
          </w:p>
        </w:tc>
      </w:tr>
      <w:tr w14:paraId="23EA086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0A069E5C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T6</w:t>
            </w:r>
          </w:p>
        </w:tc>
        <w:tc>
          <w:tcPr>
            <w:tcW w:w="2098" w:type="dxa"/>
            <w:vAlign w:val="center"/>
          </w:tcPr>
          <w:p w14:paraId="3AF5EE96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锁与屏幕驱动及执行回执</w:t>
            </w:r>
          </w:p>
        </w:tc>
        <w:tc>
          <w:tcPr>
            <w:tcW w:w="5386" w:type="dxa"/>
            <w:vAlign w:val="center"/>
          </w:tcPr>
          <w:p w14:paraId="07CECF0E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12V电控柜锁配3.3V兼容MOSFET与续流保护，验证3秒脉冲与失败恢复；SSD1306屏只显示当前预约，延迟清屏不影响新预约</w:t>
            </w:r>
          </w:p>
        </w:tc>
      </w:tr>
      <w:tr w14:paraId="605428C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45139B9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T7</w:t>
            </w:r>
          </w:p>
        </w:tc>
        <w:tc>
          <w:tcPr>
            <w:tcW w:w="2098" w:type="dxa"/>
            <w:vAlign w:val="center"/>
          </w:tcPr>
          <w:p w14:paraId="1B20540A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蜂鸣器与结束提醒</w:t>
            </w:r>
          </w:p>
        </w:tc>
        <w:tc>
          <w:tcPr>
            <w:tcW w:w="5386" w:type="dxa"/>
            <w:vAlign w:val="center"/>
          </w:tcPr>
          <w:p w14:paraId="4244B157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5V有源蜂鸣器模块，3.3V兼容控制；结束前5分钟提醒只触发一次，与开始后5分钟签到截止分别校验</w:t>
            </w:r>
          </w:p>
        </w:tc>
      </w:tr>
      <w:tr w14:paraId="77B7EA2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17AE2448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T8</w:t>
            </w:r>
          </w:p>
        </w:tc>
        <w:tc>
          <w:tcPr>
            <w:tcW w:w="2098" w:type="dxa"/>
            <w:vAlign w:val="center"/>
          </w:tcPr>
          <w:p w14:paraId="0EB28F8A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定时任务与授权截止</w:t>
            </w:r>
          </w:p>
        </w:tc>
        <w:tc>
          <w:tcPr>
            <w:tcW w:w="5386" w:type="dxa"/>
            <w:vAlign w:val="center"/>
          </w:tcPr>
          <w:p w14:paraId="73394924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截止时间统一为服务器时间；守卫式状态更新，终止消息幂等；签到窗口、结束提醒与释放分别判定；单实例先用现有调度机制</w:t>
            </w:r>
          </w:p>
        </w:tc>
      </w:tr>
      <w:tr w14:paraId="6E0E96D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659DDE29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T9</w:t>
            </w:r>
          </w:p>
        </w:tc>
        <w:tc>
          <w:tcPr>
            <w:tcW w:w="2098" w:type="dxa"/>
            <w:vAlign w:val="center"/>
          </w:tcPr>
          <w:p w14:paraId="7460B391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设备认证与消息校验</w:t>
            </w:r>
          </w:p>
        </w:tc>
        <w:tc>
          <w:tcPr>
            <w:tcW w:w="5386" w:type="dxa"/>
            <w:vAlign w:val="center"/>
          </w:tcPr>
          <w:p w14:paraId="3CD5B85D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独立设备账号、主题ACL、消息HMAC、有效期校验；隔离演示网络；保留手动释放，不装在疏散门</w:t>
            </w:r>
          </w:p>
        </w:tc>
      </w:tr>
      <w:tr w14:paraId="036150F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0BD5B6C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T10</w:t>
            </w:r>
          </w:p>
        </w:tc>
        <w:tc>
          <w:tcPr>
            <w:tcW w:w="2098" w:type="dxa"/>
            <w:vAlign w:val="center"/>
          </w:tcPr>
          <w:p w14:paraId="3B690365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审核规则引擎与规则版本</w:t>
            </w:r>
          </w:p>
        </w:tc>
        <w:tc>
          <w:tcPr>
            <w:tcW w:w="5386" w:type="dxa"/>
            <w:vAlign w:val="center"/>
          </w:tcPr>
          <w:p w14:paraId="46B40645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基础规则内置只读、附加规则后台可配；规则带生效时间与版本，判定记录命中的规则编号；测试参数调整后的回归</w:t>
            </w:r>
          </w:p>
        </w:tc>
      </w:tr>
      <w:tr w14:paraId="5025A77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76C1402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T11</w:t>
            </w:r>
          </w:p>
        </w:tc>
        <w:tc>
          <w:tcPr>
            <w:tcW w:w="2098" w:type="dxa"/>
            <w:vAlign w:val="center"/>
          </w:tcPr>
          <w:p w14:paraId="1848695F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信用流水与申诉工单</w:t>
            </w:r>
          </w:p>
        </w:tc>
        <w:tc>
          <w:tcPr>
            <w:tcW w:w="5386" w:type="dxa"/>
            <w:vAlign w:val="center"/>
          </w:tcPr>
          <w:p w14:paraId="2CFF106B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信用变动只由规则写入，附原因、预约编号与操作者；分数与流水分离记账；申诉工单独立于状态机；测试重复扣分与复核回退</w:t>
            </w:r>
          </w:p>
        </w:tc>
      </w:tr>
      <w:tr w14:paraId="19843DF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020" w:type="dxa"/>
            <w:vAlign w:val="center"/>
          </w:tcPr>
          <w:p w14:paraId="4F969530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T12</w:t>
            </w:r>
          </w:p>
        </w:tc>
        <w:tc>
          <w:tcPr>
            <w:tcW w:w="2098" w:type="dxa"/>
            <w:vAlign w:val="center"/>
          </w:tcPr>
          <w:p w14:paraId="5EE6302C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部署、日志与验证</w:t>
            </w:r>
          </w:p>
        </w:tc>
        <w:tc>
          <w:tcPr>
            <w:tcW w:w="5386" w:type="dxa"/>
            <w:vAlign w:val="center"/>
          </w:tcPr>
          <w:p w14:paraId="3FD2EABD">
            <w:pPr>
              <w:keepNext w:val="0"/>
              <w:keepLines w:val="0"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独立测试环境；记录预约变更、规则判定版本、信用流水与指令结果，保护个人信息，逐项验证故障和恢复</w:t>
            </w:r>
          </w:p>
        </w:tc>
      </w:tr>
    </w:tbl>
    <w:p w14:paraId="0148DB89">
      <w:pPr>
        <w:widowControl/>
        <w:spacing w:after="80" w:line="360" w:lineRule="auto"/>
        <w:ind w:firstLine="480"/>
        <w:rPr>
          <w:rFonts w:hint="eastAsia" w:ascii="宋体" w:hAnsi="宋体"/>
          <w:color w:val="000000"/>
          <w:sz w:val="24"/>
        </w:rPr>
      </w:pPr>
    </w:p>
    <w:p w14:paraId="631AC4D9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MQTT QoS1允许重复消息，必须在应用层验证指令身份、有效期与幂等性，不能把协议送达等同于物理执行成功。开锁类一次性指令不作为保留消息重放；如使用保留消息恢复屏幕状态，仅保留带版本与有效期的业务快照，并在设备端重新核验。[1]</w:t>
      </w:r>
    </w:p>
    <w:p w14:paraId="14FEADE0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4.2 技术资源与工时评估</w:t>
      </w:r>
    </w:p>
    <w:p w14:paraId="09611EAE">
      <w:pPr>
        <w:widowControl/>
        <w:spacing w:after="80" w:line="360" w:lineRule="auto"/>
        <w:ind w:firstLine="480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 w:cs="宋体"/>
          <w:color w:val="000000"/>
          <w:sz w:val="24"/>
        </w:rPr>
        <w:t>团队按4人分工：组长负责统筹与后端，成员2负责前端、规则配置页与业务联调，成员3负责STM32及设备驱动，成员4负责测试和文档；集成任务全员参与。每人计划贡献份额25%，仅用于工作安排，实际贡献按完成记录填写。</w:t>
      </w:r>
    </w:p>
    <w:p w14:paraId="6DE2A471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项目规划16周，与本实验6课内学时区分。资源计划按每人每周15小时计，可用容量4×16×15＝960人时。表4-2自下而上估算940人时，已含100人时集成返工；剩余20人时为容量缓冲。新增的规则引擎、信用与申诉工作已计入计划，缓冲由80人时压缩至20人时，实施中须以压缩可选演示项而非压缩审核与安全测试来吸收超支。两类余量不重复计入需求总量，实施中根据完成记录更新估算。</w:t>
      </w:r>
    </w:p>
    <w:p w14:paraId="2ACB7BD6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表4-2 计划工作量与岗位分工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2267"/>
        <w:gridCol w:w="3572"/>
        <w:gridCol w:w="2665"/>
      </w:tblGrid>
      <w:tr w14:paraId="02B6543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EDEDED"/>
            <w:vAlign w:val="center"/>
          </w:tcPr>
          <w:p w14:paraId="5B5A931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工作包</w:t>
            </w:r>
          </w:p>
        </w:tc>
        <w:tc>
          <w:tcPr>
            <w:tcW w:w="3572" w:type="dxa"/>
            <w:shd w:val="clear" w:color="auto" w:fill="EDEDED"/>
            <w:vAlign w:val="center"/>
          </w:tcPr>
          <w:p w14:paraId="3CC9A4B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计划产出</w:t>
            </w:r>
          </w:p>
        </w:tc>
        <w:tc>
          <w:tcPr>
            <w:tcW w:w="2665" w:type="dxa"/>
            <w:shd w:val="clear" w:color="auto" w:fill="EDEDED"/>
            <w:vAlign w:val="center"/>
          </w:tcPr>
          <w:p w14:paraId="1EC18FC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责任岗位／人时</w:t>
            </w:r>
          </w:p>
        </w:tc>
      </w:tr>
      <w:tr w14:paraId="26E5C29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7CA5472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需求、15分钟时段与审核规则</w:t>
            </w:r>
          </w:p>
        </w:tc>
        <w:tc>
          <w:tcPr>
            <w:tcW w:w="3572" w:type="dxa"/>
            <w:vAlign w:val="center"/>
          </w:tcPr>
          <w:p w14:paraId="18165A4F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时段与占用规则、审核规则参数、权限用例</w:t>
            </w:r>
          </w:p>
        </w:tc>
        <w:tc>
          <w:tcPr>
            <w:tcW w:w="2665" w:type="dxa"/>
            <w:vAlign w:val="center"/>
          </w:tcPr>
          <w:p w14:paraId="2C93385B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组长牵头／100</w:t>
            </w:r>
          </w:p>
        </w:tc>
      </w:tr>
      <w:tr w14:paraId="2912627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767ECC8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预约、规则引擎、信用与申诉</w:t>
            </w:r>
          </w:p>
        </w:tc>
        <w:tc>
          <w:tcPr>
            <w:tcW w:w="3572" w:type="dxa"/>
            <w:vAlign w:val="center"/>
          </w:tcPr>
          <w:p w14:paraId="48F39623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规则判定、信用流水、申诉工单与冲突测试</w:t>
            </w:r>
          </w:p>
        </w:tc>
        <w:tc>
          <w:tcPr>
            <w:tcW w:w="2665" w:type="dxa"/>
            <w:vAlign w:val="center"/>
          </w:tcPr>
          <w:p w14:paraId="43D3A29E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组长、成员2／220</w:t>
            </w:r>
          </w:p>
        </w:tc>
      </w:tr>
      <w:tr w14:paraId="75A2B26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15730C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签到、再次开门和定时任务</w:t>
            </w:r>
          </w:p>
        </w:tc>
        <w:tc>
          <w:tcPr>
            <w:tcW w:w="3572" w:type="dxa"/>
            <w:vAlign w:val="center"/>
          </w:tcPr>
          <w:p w14:paraId="48F68D0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授权校验、提醒、释放与结束</w:t>
            </w:r>
          </w:p>
        </w:tc>
        <w:tc>
          <w:tcPr>
            <w:tcW w:w="2665" w:type="dxa"/>
            <w:vAlign w:val="center"/>
          </w:tcPr>
          <w:p w14:paraId="358CCD09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成员2牵头／160</w:t>
            </w:r>
          </w:p>
        </w:tc>
      </w:tr>
      <w:tr w14:paraId="5838744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DA2F4F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通信、锁、屏幕和蜂鸣器驱动</w:t>
            </w:r>
          </w:p>
        </w:tc>
        <w:tc>
          <w:tcPr>
            <w:tcW w:w="3572" w:type="dxa"/>
            <w:vAlign w:val="center"/>
          </w:tcPr>
          <w:p w14:paraId="6F9D19D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单设备验证与端到端链路</w:t>
            </w:r>
          </w:p>
        </w:tc>
        <w:tc>
          <w:tcPr>
            <w:tcW w:w="2665" w:type="dxa"/>
            <w:vAlign w:val="center"/>
          </w:tcPr>
          <w:p w14:paraId="78F488FE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成员3牵头／220</w:t>
            </w:r>
          </w:p>
        </w:tc>
      </w:tr>
      <w:tr w14:paraId="2B44F3E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D1B95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测试、文档及答辩</w:t>
            </w:r>
          </w:p>
        </w:tc>
        <w:tc>
          <w:tcPr>
            <w:tcW w:w="3572" w:type="dxa"/>
            <w:vAlign w:val="center"/>
          </w:tcPr>
          <w:p w14:paraId="70BEECA7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异常验证记录、报告和演示</w:t>
            </w:r>
          </w:p>
        </w:tc>
        <w:tc>
          <w:tcPr>
            <w:tcW w:w="2665" w:type="dxa"/>
            <w:vAlign w:val="center"/>
          </w:tcPr>
          <w:p w14:paraId="6789C484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成员4牵头／140</w:t>
            </w:r>
          </w:p>
        </w:tc>
      </w:tr>
      <w:tr w14:paraId="34FDB8C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F4E2A6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集成返工与余量</w:t>
            </w:r>
          </w:p>
        </w:tc>
        <w:tc>
          <w:tcPr>
            <w:tcW w:w="3572" w:type="dxa"/>
            <w:vAlign w:val="center"/>
          </w:tcPr>
          <w:p w14:paraId="44BE904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驱动兼容、通信与恢复问题处理</w:t>
            </w:r>
          </w:p>
        </w:tc>
        <w:tc>
          <w:tcPr>
            <w:tcW w:w="2665" w:type="dxa"/>
            <w:vAlign w:val="center"/>
          </w:tcPr>
          <w:p w14:paraId="5DB2F21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全员／100</w:t>
            </w:r>
          </w:p>
        </w:tc>
      </w:tr>
    </w:tbl>
    <w:p w14:paraId="04A60655">
      <w:pPr>
        <w:widowControl/>
        <w:spacing w:after="80" w:line="360" w:lineRule="auto"/>
        <w:ind w:firstLine="480"/>
        <w:rPr>
          <w:rFonts w:hint="eastAsia" w:ascii="宋体" w:hAnsi="宋体"/>
          <w:color w:val="000000"/>
          <w:sz w:val="24"/>
        </w:rPr>
      </w:pPr>
    </w:p>
    <w:p w14:paraId="704D9729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硬件按表B-1配置1套真实桌面装置，共220元预算；打印30元、采购预备费50元，一次性预算300元，另留本学期运行耗材20元，现金预算上限320元。已有电脑、手机和演示路由器按教学资源复用，不折为新增现金支出。上述均为设计预算，不是采购实付记录。</w:t>
      </w:r>
    </w:p>
    <w:p w14:paraId="6BACE725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4.3 技术可行性结论</w:t>
      </w:r>
    </w:p>
    <w:p w14:paraId="632C5BF8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推荐架构具有可实施路径，940人时计划小于960人时容量，技术上有条件可行，但容量缓冲只剩20人时，进度风险高于原方案。实施要求为按清单取得匹配器材，完成锁、屏幕、蜂鸣器和通信分项验证，再通过15分钟单元冲突、规则判定与人数阈值转人工、信用扣分与申诉、身份校验、重复与过期指令、断网恢复及到期撤权测试。本文确定验收标准，不把计划中的措施写成已通过测试。</w:t>
      </w:r>
    </w:p>
    <w:p w14:paraId="37D117BB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5 经济可行性分析</w:t>
      </w:r>
    </w:p>
    <w:p w14:paraId="6B882438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5.1 成本估算</w:t>
      </w:r>
    </w:p>
    <w:p w14:paraId="60E25687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经济分析区分课程演示预算与20间房间推广测算。课程桌面装置按全量购置预算，已有器材复用后据实减少采购；现金、人时及教学资源分列。一次性预算300元，加本学期运行耗材20元，预算上限320元。表内单价为课程估算值，不是供应商报价，详细测算见附录B。</w:t>
      </w:r>
    </w:p>
    <w:p w14:paraId="661E5F51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表5-1 课程成本估算口径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928"/>
        <w:gridCol w:w="5159"/>
        <w:gridCol w:w="1417"/>
      </w:tblGrid>
      <w:tr w14:paraId="7BFA8E7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DEDED"/>
            <w:vAlign w:val="center"/>
          </w:tcPr>
          <w:p w14:paraId="363BA44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类别</w:t>
            </w:r>
          </w:p>
        </w:tc>
        <w:tc>
          <w:tcPr>
            <w:tcW w:w="5159" w:type="dxa"/>
            <w:shd w:val="clear" w:color="auto" w:fill="EDEDED"/>
            <w:vAlign w:val="center"/>
          </w:tcPr>
          <w:p w14:paraId="291B242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组成与口径</w:t>
            </w:r>
          </w:p>
        </w:tc>
        <w:tc>
          <w:tcPr>
            <w:tcW w:w="1417" w:type="dxa"/>
            <w:shd w:val="clear" w:color="auto" w:fill="EDEDED"/>
            <w:vAlign w:val="center"/>
          </w:tcPr>
          <w:p w14:paraId="11476BAD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设计预算</w:t>
            </w:r>
          </w:p>
        </w:tc>
      </w:tr>
      <w:tr w14:paraId="37DA96F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6380AB3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新增硬件现金支出</w:t>
            </w:r>
          </w:p>
        </w:tc>
        <w:tc>
          <w:tcPr>
            <w:tcW w:w="5159" w:type="dxa"/>
            <w:vAlign w:val="center"/>
          </w:tcPr>
          <w:p w14:paraId="3EFF59F5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表B-1全量购置预算；已有器材可抵减实际采购</w:t>
            </w:r>
          </w:p>
        </w:tc>
        <w:tc>
          <w:tcPr>
            <w:tcW w:w="1417" w:type="dxa"/>
            <w:vAlign w:val="center"/>
          </w:tcPr>
          <w:p w14:paraId="652AD92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220元</w:t>
            </w:r>
          </w:p>
        </w:tc>
      </w:tr>
      <w:tr w14:paraId="4C2B32C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57DF93F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其他现金支出</w:t>
            </w:r>
          </w:p>
        </w:tc>
        <w:tc>
          <w:tcPr>
            <w:tcW w:w="5159" w:type="dxa"/>
            <w:vAlign w:val="center"/>
          </w:tcPr>
          <w:p w14:paraId="373B868D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打印30元＋采购预备费50元</w:t>
            </w:r>
          </w:p>
        </w:tc>
        <w:tc>
          <w:tcPr>
            <w:tcW w:w="1417" w:type="dxa"/>
            <w:vAlign w:val="center"/>
          </w:tcPr>
          <w:p w14:paraId="01A5AEA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80元</w:t>
            </w:r>
          </w:p>
        </w:tc>
      </w:tr>
      <w:tr w14:paraId="22CC1C1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3048203D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非现金投入</w:t>
            </w:r>
          </w:p>
        </w:tc>
        <w:tc>
          <w:tcPr>
            <w:tcW w:w="5159" w:type="dxa"/>
            <w:vAlign w:val="center"/>
          </w:tcPr>
          <w:p w14:paraId="5A099395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计划开发940人时，复用电脑、手机与演示网络；不计为新增现金</w:t>
            </w:r>
          </w:p>
        </w:tc>
        <w:tc>
          <w:tcPr>
            <w:tcW w:w="1417" w:type="dxa"/>
            <w:vAlign w:val="center"/>
          </w:tcPr>
          <w:p w14:paraId="3C6FA9A6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940人时；现金不折价</w:t>
            </w:r>
          </w:p>
        </w:tc>
      </w:tr>
      <w:tr w14:paraId="08DF20C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0B5DC56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演示维护与运行</w:t>
            </w:r>
          </w:p>
        </w:tc>
        <w:tc>
          <w:tcPr>
            <w:tcW w:w="5159" w:type="dxa"/>
            <w:vAlign w:val="center"/>
          </w:tcPr>
          <w:p w14:paraId="276B5C69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本学期运行耗材额度，与一次性采购分列</w:t>
            </w:r>
          </w:p>
        </w:tc>
        <w:tc>
          <w:tcPr>
            <w:tcW w:w="1417" w:type="dxa"/>
            <w:vAlign w:val="center"/>
          </w:tcPr>
          <w:p w14:paraId="5CC4E702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20元</w:t>
            </w:r>
          </w:p>
        </w:tc>
      </w:tr>
      <w:tr w14:paraId="72ADC4F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72F93F17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一次性现金合计</w:t>
            </w:r>
          </w:p>
        </w:tc>
        <w:tc>
          <w:tcPr>
            <w:tcW w:w="5159" w:type="dxa"/>
            <w:vAlign w:val="center"/>
          </w:tcPr>
          <w:p w14:paraId="5EF65C86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新增硬件220元＋其他80元</w:t>
            </w:r>
          </w:p>
        </w:tc>
        <w:tc>
          <w:tcPr>
            <w:tcW w:w="1417" w:type="dxa"/>
            <w:vAlign w:val="center"/>
          </w:tcPr>
          <w:p w14:paraId="2C48749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300元</w:t>
            </w:r>
          </w:p>
        </w:tc>
      </w:tr>
    </w:tbl>
    <w:p w14:paraId="0F6AC241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5.2 效益估算</w:t>
      </w:r>
    </w:p>
    <w:p w14:paraId="0DAAEED7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课程原型的直接成果是完成预约与真实硬件联动的工程实践，其教学价值不作为现金收入，不能据此声称投入即期回收。是否降低爽约、减少协调工作或提升空间利用率，须以真实基线和试用数据验证；本次桌面演示不能直接提供这些效果数据。</w:t>
      </w:r>
    </w:p>
    <w:p w14:paraId="71995C8F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另设20间研讨室推广情景，每间每日开放14小时、每年开放250天，年可供给20×14×250＝70,000间·小时。此规模仅作测算，不代表学校推广计划。释放时段和利用率改善仅作非现金指标，不按校外收费价格折算为收入，避免与协调、耗材节省重复计益。</w:t>
      </w:r>
    </w:p>
    <w:p w14:paraId="2380CB78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表5-2 推广效益示例与去重口径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928"/>
        <w:gridCol w:w="4875"/>
        <w:gridCol w:w="1701"/>
      </w:tblGrid>
      <w:tr w14:paraId="64D3857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928" w:type="dxa"/>
            <w:shd w:val="clear" w:color="auto" w:fill="EDEDED"/>
            <w:vAlign w:val="center"/>
          </w:tcPr>
          <w:p w14:paraId="1F0A7544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效益项</w:t>
            </w:r>
          </w:p>
        </w:tc>
        <w:tc>
          <w:tcPr>
            <w:tcW w:w="4876" w:type="dxa"/>
            <w:shd w:val="clear" w:color="auto" w:fill="EDEDED"/>
            <w:vAlign w:val="center"/>
          </w:tcPr>
          <w:p w14:paraId="6F416DC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测量与计算方式</w:t>
            </w:r>
          </w:p>
        </w:tc>
        <w:tc>
          <w:tcPr>
            <w:tcW w:w="1701" w:type="dxa"/>
            <w:shd w:val="clear" w:color="auto" w:fill="EDEDED"/>
            <w:vAlign w:val="center"/>
          </w:tcPr>
          <w:p w14:paraId="3C1DF883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情景输入或判断</w:t>
            </w:r>
          </w:p>
        </w:tc>
      </w:tr>
      <w:tr w14:paraId="354472D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21B50CB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减少爽约与提高利用率</w:t>
            </w:r>
          </w:p>
        </w:tc>
        <w:tc>
          <w:tcPr>
            <w:tcW w:w="4876" w:type="dxa"/>
            <w:vAlign w:val="center"/>
          </w:tcPr>
          <w:p w14:paraId="39B49494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利用率由50%升至55%的假设，对应增加3,500间·小时；不计现金效益</w:t>
            </w:r>
          </w:p>
        </w:tc>
        <w:tc>
          <w:tcPr>
            <w:tcW w:w="1701" w:type="dxa"/>
            <w:vAlign w:val="center"/>
          </w:tcPr>
          <w:p w14:paraId="5FB4C708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非现金；效果须后续试用验证</w:t>
            </w:r>
          </w:p>
        </w:tc>
      </w:tr>
      <w:tr w14:paraId="3B3E563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DF79D3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减少人工协调</w:t>
            </w:r>
          </w:p>
        </w:tc>
        <w:tc>
          <w:tcPr>
            <w:tcW w:w="4876" w:type="dxa"/>
            <w:vAlign w:val="center"/>
          </w:tcPr>
          <w:p w14:paraId="3F58314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假设每年实际减少600小时有偿外协协调，12元／小时，仅在合同支出同步下降时兑现</w:t>
            </w:r>
          </w:p>
        </w:tc>
        <w:tc>
          <w:tcPr>
            <w:tcW w:w="1701" w:type="dxa"/>
            <w:vAlign w:val="center"/>
          </w:tcPr>
          <w:p w14:paraId="356693B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7,200元／年（假设）</w:t>
            </w:r>
          </w:p>
        </w:tc>
      </w:tr>
      <w:tr w14:paraId="2DD30E5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617E10F5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减少巡查或耗材</w:t>
            </w:r>
          </w:p>
        </w:tc>
        <w:tc>
          <w:tcPr>
            <w:tcW w:w="4876" w:type="dxa"/>
            <w:vAlign w:val="center"/>
          </w:tcPr>
          <w:p w14:paraId="3C5D81D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假设每年实际减少巡查耗材支出2,800元，不另计同源人时</w:t>
            </w:r>
          </w:p>
        </w:tc>
        <w:tc>
          <w:tcPr>
            <w:tcW w:w="1701" w:type="dxa"/>
            <w:vAlign w:val="center"/>
          </w:tcPr>
          <w:p w14:paraId="6A49D73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2,800元／年（假设）</w:t>
            </w:r>
          </w:p>
        </w:tc>
      </w:tr>
      <w:tr w14:paraId="6B83414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928" w:type="dxa"/>
            <w:vAlign w:val="center"/>
          </w:tcPr>
          <w:p w14:paraId="14DAB90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满意度与教学价值</w:t>
            </w:r>
          </w:p>
        </w:tc>
        <w:tc>
          <w:tcPr>
            <w:tcW w:w="4876" w:type="dxa"/>
            <w:vAlign w:val="center"/>
          </w:tcPr>
          <w:p w14:paraId="25F97167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不虚构满意度；仅说明课程工程实践与流程可追溯价值</w:t>
            </w:r>
          </w:p>
        </w:tc>
        <w:tc>
          <w:tcPr>
            <w:tcW w:w="1701" w:type="dxa"/>
            <w:vAlign w:val="center"/>
          </w:tcPr>
          <w:p w14:paraId="6D803BCE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非现金；不计入回收期</w:t>
            </w:r>
          </w:p>
        </w:tc>
      </w:tr>
    </w:tbl>
    <w:p w14:paraId="256CFD5E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5.3 投资回收期计算</w:t>
      </w:r>
    </w:p>
    <w:p w14:paraId="6140C342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本报告保留静态回收期方法。设推广方案一次性投入为I，年直接现金效益为B，年运行现金成本为C，则年净现金效益N＝B－C；在N为正且各年稳定的假设下，静态投资回收期P＝I÷N。若各年金额不同，则逐年累计净现金流，计算首次覆盖投入的时点；N不为正时不能得到有限的静态回收期。</w:t>
      </w:r>
    </w:p>
    <w:p w14:paraId="0C8F9917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示例取一次性投入I＝20,000元，年直接现金效益B＝7,200＋2,800＝10,000元，年运行现金成本C＝4,000元，则N＝6,000元，P＝20,000÷6,000≈3.33年。投入和效益均为独立推广情景的假设，不沿用课程人时或采购预算；不作为已实现收益，也不计算动态回收或基建节省。</w:t>
      </w:r>
    </w:p>
    <w:p w14:paraId="7BF0C039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5.4 经济可行性结论</w:t>
      </w:r>
    </w:p>
    <w:p w14:paraId="5E0B45BD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课程原型现金预算上限320元，计划人时940，作为教学项目具备可承担的设计预算。20间推广情景在各年净现金流稳定且实际节省兑现时，静态回收期约3.33年；若仅有工时便利而未减少现金支出，则不能采用该结果证明可回收。推广立项应以实际报价和费用记录替换假设输入。</w:t>
      </w:r>
    </w:p>
    <w:p w14:paraId="717F4763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6 操作可行性分析</w:t>
      </w:r>
    </w:p>
    <w:p w14:paraId="3AE2981A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6.1 用户接受度分析</w:t>
      </w:r>
    </w:p>
    <w:p w14:paraId="21F1F018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原型面向学生、教师与管理员，通过浏览器完成操作。用户查看真实屏幕的4位码并在手机Web端输入，完成首次签到；有效期内临时离开后，可再次认证开门，无须重复首次签到。学生可在同一页面查看审核路径、本人信用分与流水并提交申诉；管理员在后台维护规则参数、处理转人工申请与申诉复核。可用性验收目标为：5个测试账号覆盖三类角色，首次操作经说明后3分钟内完成，申诉提交在2分钟内完成；目标尚未实测，不写成用户满意度结论。</w:t>
      </w:r>
    </w:p>
    <w:p w14:paraId="5994899B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教师优先可能影响学生使用体验，因此覆盖仅限尚未开始的学生预约，保留取消原因和站内通知，不覆盖已经开始的预约，被取消的学生可在7日内申诉。课程演示须分别验证规则自动通过、信用分不足转人工、5人及以上强制人工审核、教师覆盖未开始的学生预约、教师之间时段冲突以及到期拒绝开门等情形，不把规则设计当成用户已经接受的调查结论。</w:t>
      </w:r>
    </w:p>
    <w:p w14:paraId="326FE4B0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6.2 组织与流程适配度</w:t>
      </w:r>
    </w:p>
    <w:p w14:paraId="09A50490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本次使用独立测试账号和桌面装置，不依赖学校正式接口。组长兼测试管理员负责账号、规则参数与审批；申诉复核使用独立复核权限，由未参与原审核的成员4执行并记录，避免自审。成员2负责交互与通知，成员3负责设备管理，成员4负责故障记录和验收。教师优先、信用与申诉、爽约释放和开门权限规则在演示中明确；正式部署须另获管理方授权。</w:t>
      </w:r>
    </w:p>
    <w:p w14:paraId="1AACCCE0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网络或设备故障时，Web端显示失败或离线状态，不把“已签到”误报为“已开门”。设备恢复后方可远程重试。现场独立应急采用桌面锁机械释放杆，并设置切断驱动电源的开关；本锁断电不会自动释放，应急不依赖断电开锁。装置不装在真实门或疏散通道，不妨碍人员离开。</w:t>
      </w:r>
    </w:p>
    <w:p w14:paraId="723C6891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6.3 操作可行性结论</w:t>
      </w:r>
    </w:p>
    <w:p w14:paraId="12846F8D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操作上有条件可行：三类角色、多级审核、申诉与通知、再次进入及异常处理均有明确安排，按5个测试账号和3分钟首次操作目标组织可用性验收。规则与阈值仅作为原型配置，不推定真实用户已经接受；测试结果和未来校级推广的适配性按实际记录评估。</w:t>
      </w:r>
    </w:p>
    <w:p w14:paraId="7DB824D9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7 法律可行性分析</w:t>
      </w:r>
    </w:p>
    <w:p w14:paraId="1C6A949E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7.1 知识产权风险</w:t>
      </w:r>
    </w:p>
    <w:p w14:paraId="3FD42792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软件选型固定为Java、Spring Boot、MySQL Community、Eclipse Mosquitto和STM32 HAL驱动。具体补丁版本、组件依赖及许可证在构建时记录，保留第三方声明；MySQL社区版涉及GPL，须按实际连接和分发方式核实要求。[2]界面采用原生HTML、CSS和JavaScript及文字标识，不引入来源不明的图标或商业模板。</w:t>
      </w:r>
    </w:p>
    <w:p w14:paraId="48FEF264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本期不接入学校正式门禁，不需要把对接厂商私有SDK作为已实施功能。后续如使用厂商接口、SDK或其他第三方资源，应先取得合法资料并核实授权范围，保留必要声明，不编造代码完全自研或已完成许可审查的结论。</w:t>
      </w:r>
    </w:p>
    <w:p w14:paraId="77A5C4CF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7.2 数据隐私与合规性</w:t>
      </w:r>
    </w:p>
    <w:p w14:paraId="2D7C3B47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课程演示只用虚构账号student01—03、teacher01和admin01，不导入真实姓名、学号及门禁记录。业务字段为账号标识、角色、房间时段、审核路径与规则版本、信用分及扣分流水、申诉内容与结论、签到时间和开门操作记录。测试业务记录和应用日志采用7天滚动保留，答辩结束清除测试账号及数据；调试IP仅在故障分析时临时记录，不采集额外身份资料。</w:t>
      </w:r>
    </w:p>
    <w:p w14:paraId="11FAD2DC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设计要求采用密码哈希、会话保护、角色及归属校验、设备独立凭据和最小权限。演示仅在隔离局域网内使用，MQTT账号认证、主题ACL与应用层HMAC共同校验消息，拒绝过期和重复指令；不向公网暴露明文MQTT端口。正式使用真实个人信息时须另行评估传输加密、合法依据、告知和保存期限。[3]以上为待实施验收要求。</w:t>
      </w:r>
    </w:p>
    <w:p w14:paraId="5E780103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桌面锁选12V通电释放、断电保持锁闭且带手动释放机构的柜锁，配12V／2A适配器、稳压电源、3.3V兼容MOSFET和续流保护。开锁脉冲3秒，器件须满足该工作条件；接线断电操作，先检查极性、额定电流与驱动容量再上电。机械释放独立于网络和供电。本文不以柜锁方案推定真实建筑消防合规，不进行现场门体安装。</w:t>
      </w:r>
    </w:p>
    <w:p w14:paraId="3CCBA7AE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7.3 法律可行性结论</w:t>
      </w:r>
    </w:p>
    <w:p w14:paraId="6BECA503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在使用测试数据、核实第三方授权、落实访问控制并完成桌面装置安全检查的前提下，本期课程原型的法律与安全风险具备控制路径，可作有条件可行判断。正式部署和真实个人信息处理须另行评估；现阶段不能作“已经全面合规”或“不存在侵权风险”的保证。</w:t>
      </w:r>
    </w:p>
    <w:p w14:paraId="70834605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8 结论与建议</w:t>
      </w:r>
    </w:p>
    <w:p w14:paraId="7722173D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8.1 综合评估</w:t>
      </w:r>
    </w:p>
    <w:p w14:paraId="0548917E">
      <w:pPr>
        <w:keepNext/>
        <w:spacing w:before="120" w:after="80"/>
        <w:jc w:val="center"/>
        <w:rPr>
          <w:rFonts w:ascii="宋体" w:hAnsi="宋体" w:cs="宋体"/>
          <w:color w:val="000000"/>
        </w:rPr>
      </w:pPr>
    </w:p>
    <w:p w14:paraId="71E26EE0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表8-1 四维度综合评估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191"/>
        <w:gridCol w:w="2154"/>
        <w:gridCol w:w="5159"/>
      </w:tblGrid>
      <w:tr w14:paraId="4CF6598A">
        <w:tblPrEx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191" w:type="dxa"/>
            <w:shd w:val="clear" w:color="auto" w:fill="EDEDED"/>
            <w:vAlign w:val="center"/>
          </w:tcPr>
          <w:p w14:paraId="16C480FD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维度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0B9515E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当前判断</w:t>
            </w:r>
          </w:p>
        </w:tc>
        <w:tc>
          <w:tcPr>
            <w:tcW w:w="5159" w:type="dxa"/>
            <w:shd w:val="clear" w:color="auto" w:fill="EDEDED"/>
            <w:vAlign w:val="center"/>
          </w:tcPr>
          <w:p w14:paraId="7175BD9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成立条件</w:t>
            </w:r>
          </w:p>
        </w:tc>
      </w:tr>
      <w:tr w14:paraId="0CE397A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21D5D25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技术</w:t>
            </w:r>
          </w:p>
        </w:tc>
        <w:tc>
          <w:tcPr>
            <w:tcW w:w="2154" w:type="dxa"/>
            <w:vAlign w:val="center"/>
          </w:tcPr>
          <w:p w14:paraId="22F2E07F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有条件可行</w:t>
            </w:r>
          </w:p>
        </w:tc>
        <w:tc>
          <w:tcPr>
            <w:tcW w:w="5159" w:type="dxa"/>
            <w:vAlign w:val="center"/>
          </w:tcPr>
          <w:p w14:paraId="5A9B24E7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锁、屏幕、蜂鸣器与通信器材落实，驱动及端到端异常测试通过；审核规则与信用规则配置可验证</w:t>
            </w:r>
          </w:p>
        </w:tc>
      </w:tr>
      <w:tr w14:paraId="5A7A39C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123E6E97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经济</w:t>
            </w:r>
          </w:p>
        </w:tc>
        <w:tc>
          <w:tcPr>
            <w:tcW w:w="2154" w:type="dxa"/>
            <w:vAlign w:val="center"/>
          </w:tcPr>
          <w:p w14:paraId="002546D0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预算内有条件可行</w:t>
            </w:r>
          </w:p>
        </w:tc>
        <w:tc>
          <w:tcPr>
            <w:tcW w:w="5159" w:type="dxa"/>
            <w:vAlign w:val="center"/>
          </w:tcPr>
          <w:p w14:paraId="311A56A1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一次性300元、学期运行20元、计划940人时；推广收益仍为示例</w:t>
            </w:r>
          </w:p>
        </w:tc>
      </w:tr>
      <w:tr w14:paraId="36723A4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1E066C1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操作</w:t>
            </w:r>
          </w:p>
        </w:tc>
        <w:tc>
          <w:tcPr>
            <w:tcW w:w="2154" w:type="dxa"/>
            <w:vAlign w:val="center"/>
          </w:tcPr>
          <w:p w14:paraId="776E8DE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有条件可行</w:t>
            </w:r>
          </w:p>
        </w:tc>
        <w:tc>
          <w:tcPr>
            <w:tcW w:w="5159" w:type="dxa"/>
            <w:vAlign w:val="center"/>
          </w:tcPr>
          <w:p w14:paraId="67475419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多级审核、阈值转人工、申诉与覆盖通知、再次进入和现场异常处理规则可演示并被理解</w:t>
            </w:r>
          </w:p>
        </w:tc>
      </w:tr>
      <w:tr w14:paraId="56EAA80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191" w:type="dxa"/>
            <w:vAlign w:val="center"/>
          </w:tcPr>
          <w:p w14:paraId="573328B6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法律与安全</w:t>
            </w:r>
          </w:p>
        </w:tc>
        <w:tc>
          <w:tcPr>
            <w:tcW w:w="2154" w:type="dxa"/>
            <w:vAlign w:val="center"/>
          </w:tcPr>
          <w:p w14:paraId="60ADA34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具备控制路径</w:t>
            </w:r>
          </w:p>
        </w:tc>
        <w:tc>
          <w:tcPr>
            <w:tcW w:w="5159" w:type="dxa"/>
            <w:vAlign w:val="center"/>
          </w:tcPr>
          <w:p w14:paraId="005EFBB3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测试数据、许可证与最小权限核验，审核与申诉复核权限分离，桌面装置安全检查完成</w:t>
            </w:r>
          </w:p>
        </w:tc>
      </w:tr>
    </w:tbl>
    <w:p w14:paraId="033C7ED2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8.2 最终结论</w:t>
      </w:r>
    </w:p>
    <w:p w14:paraId="42D9E63A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综合判断，本项目作为课程桌面实物演示原型有条件可行，可按本文方案启动实施：4人岗位分工、1套STM32真实硬件、16周940人时计划及320元现金预算上限构成统一设计基线。实施验收须覆盖身份、状态、15分钟单元占用、规则判定与人数阈值转人工、信用与申诉、教师覆盖及指令有效性，并完成异常联调。人员身份据实补填，采购和测试按真实记录更新；情景调查和推广测算不作为实际效果证据。</w:t>
      </w:r>
    </w:p>
    <w:p w14:paraId="3C6211CB">
      <w:pPr>
        <w:pStyle w:val="3"/>
        <w:spacing w:before="312" w:after="312" w:line="276" w:lineRule="auto"/>
      </w:pPr>
      <w:r>
        <w:rPr>
          <w:rFonts w:ascii="黑体" w:hAnsi="黑体" w:cs="黑体"/>
          <w:color w:val="000000"/>
        </w:rPr>
        <w:t>8.3 建议与风险应对</w:t>
      </w:r>
    </w:p>
    <w:p w14:paraId="1951779C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表8-2 主要风险与应对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701"/>
        <w:gridCol w:w="2154"/>
        <w:gridCol w:w="4649"/>
      </w:tblGrid>
      <w:tr w14:paraId="7AC592E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EDEDED"/>
            <w:vAlign w:val="center"/>
          </w:tcPr>
          <w:p w14:paraId="65664D7F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风险</w:t>
            </w:r>
          </w:p>
        </w:tc>
        <w:tc>
          <w:tcPr>
            <w:tcW w:w="2154" w:type="dxa"/>
            <w:shd w:val="clear" w:color="auto" w:fill="EDEDED"/>
            <w:vAlign w:val="center"/>
          </w:tcPr>
          <w:p w14:paraId="20B7F953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影响</w:t>
            </w:r>
          </w:p>
        </w:tc>
        <w:tc>
          <w:tcPr>
            <w:tcW w:w="4649" w:type="dxa"/>
            <w:shd w:val="clear" w:color="auto" w:fill="EDEDED"/>
            <w:vAlign w:val="center"/>
          </w:tcPr>
          <w:p w14:paraId="4CE4A61D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应对措施</w:t>
            </w:r>
          </w:p>
        </w:tc>
      </w:tr>
      <w:tr w14:paraId="61AEF31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8A0B49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器材或驱动不可用</w:t>
            </w:r>
          </w:p>
        </w:tc>
        <w:tc>
          <w:tcPr>
            <w:tcW w:w="2154" w:type="dxa"/>
            <w:vAlign w:val="center"/>
          </w:tcPr>
          <w:p w14:paraId="183D6352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无法完成真实硬件演示</w:t>
            </w:r>
          </w:p>
        </w:tc>
        <w:tc>
          <w:tcPr>
            <w:tcW w:w="4649" w:type="dxa"/>
            <w:vAlign w:val="center"/>
          </w:tcPr>
          <w:p w14:paraId="0617FF6F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按既定BOM及接口先验证器材；不匹配时以相同功能替代，保留预算与驱动变更记录</w:t>
            </w:r>
          </w:p>
        </w:tc>
      </w:tr>
      <w:tr w14:paraId="06A7F90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0FB12BF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覆盖与状态冲突</w:t>
            </w:r>
          </w:p>
        </w:tc>
        <w:tc>
          <w:tcPr>
            <w:tcW w:w="2154" w:type="dxa"/>
            <w:vAlign w:val="center"/>
          </w:tcPr>
          <w:p w14:paraId="1AF0CF25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学生授权残留、重复占用或规则误判</w:t>
            </w:r>
          </w:p>
        </w:tc>
        <w:tc>
          <w:tcPr>
            <w:tcW w:w="4649" w:type="dxa"/>
            <w:vAlign w:val="center"/>
          </w:tcPr>
          <w:p w14:paraId="23477032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事务化调整15分钟单元占用，撤销旧授权并保留通知，测试临界并发与规则误判回退</w:t>
            </w:r>
          </w:p>
        </w:tc>
      </w:tr>
      <w:tr w14:paraId="15B5DCA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508F9E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指令延迟、重复或执行失败</w:t>
            </w:r>
          </w:p>
        </w:tc>
        <w:tc>
          <w:tcPr>
            <w:tcW w:w="2154" w:type="dxa"/>
            <w:vAlign w:val="center"/>
          </w:tcPr>
          <w:p w14:paraId="7467D88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误开、重复开或已签到未开</w:t>
            </w:r>
          </w:p>
        </w:tc>
        <w:tc>
          <w:tcPr>
            <w:tcW w:w="4649" w:type="dxa"/>
            <w:vAlign w:val="center"/>
          </w:tcPr>
          <w:p w14:paraId="4EEA8324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预约绑定、有效期与幂等校验，执行回执单独记载，允许授权期内恢复重试</w:t>
            </w:r>
          </w:p>
        </w:tc>
      </w:tr>
      <w:tr w14:paraId="124817A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CDF1E6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网络或电气故障</w:t>
            </w:r>
          </w:p>
        </w:tc>
        <w:tc>
          <w:tcPr>
            <w:tcW w:w="2154" w:type="dxa"/>
            <w:vAlign w:val="center"/>
          </w:tcPr>
          <w:p w14:paraId="169E3B8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演示中断或器材受损</w:t>
            </w:r>
          </w:p>
        </w:tc>
        <w:tc>
          <w:tcPr>
            <w:tcW w:w="4649" w:type="dxa"/>
            <w:vAlign w:val="center"/>
          </w:tcPr>
          <w:p w14:paraId="4F5F3383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按型号检查配套供电与驱动，保留独立现场应急，不把远程开门作为万能兜底</w:t>
            </w:r>
          </w:p>
        </w:tc>
      </w:tr>
      <w:tr w14:paraId="2EA6A1E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2BF8308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工作量超出容量</w:t>
            </w:r>
          </w:p>
        </w:tc>
        <w:tc>
          <w:tcPr>
            <w:tcW w:w="2154" w:type="dxa"/>
            <w:vAlign w:val="center"/>
          </w:tcPr>
          <w:p w14:paraId="3812BA4D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16周内无法完成</w:t>
            </w:r>
          </w:p>
        </w:tc>
        <w:tc>
          <w:tcPr>
            <w:tcW w:w="4649" w:type="dxa"/>
            <w:vAlign w:val="center"/>
          </w:tcPr>
          <w:p w14:paraId="4181E122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按940人时工作包跟踪，保留100人时集成返工和20人时容量缓冲；超出时先压缩可选演示项，不裁审核、安全与异常测试</w:t>
            </w:r>
          </w:p>
        </w:tc>
      </w:tr>
      <w:tr w14:paraId="4851247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499EF35D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数据与结论缺依据</w:t>
            </w:r>
          </w:p>
        </w:tc>
        <w:tc>
          <w:tcPr>
            <w:tcW w:w="2154" w:type="dxa"/>
            <w:vAlign w:val="center"/>
          </w:tcPr>
          <w:p w14:paraId="71EB10B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误导可行性判断</w:t>
            </w:r>
          </w:p>
        </w:tc>
        <w:tc>
          <w:tcPr>
            <w:tcW w:w="4649" w:type="dxa"/>
            <w:vAlign w:val="center"/>
          </w:tcPr>
          <w:p w14:paraId="61EC7BA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场景、设计预算和测算示例明确标注；实际访谈、采购与测试只记录发生事项</w:t>
            </w:r>
          </w:p>
        </w:tc>
      </w:tr>
    </w:tbl>
    <w:p w14:paraId="6BF0BECC">
      <w:pPr>
        <w:keepNext/>
        <w:spacing w:before="120" w:after="80"/>
        <w:jc w:val="center"/>
        <w:rPr>
          <w:rFonts w:hint="eastAsia" w:ascii="宋体" w:hAnsi="宋体"/>
          <w:color w:val="000000"/>
        </w:rPr>
      </w:pPr>
    </w:p>
    <w:p w14:paraId="0DD48296">
      <w:pPr>
        <w:keepNext/>
        <w:spacing w:before="120" w:after="80"/>
        <w:jc w:val="center"/>
      </w:pPr>
      <w:r>
        <w:rPr>
          <w:rFonts w:ascii="宋体" w:hAnsi="宋体" w:cs="宋体"/>
          <w:color w:val="000000"/>
        </w:rPr>
        <w:t>表8-3 分阶段实施建议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2154"/>
        <w:gridCol w:w="1587"/>
        <w:gridCol w:w="4763"/>
      </w:tblGrid>
      <w:tr w14:paraId="27452F4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EDEDED"/>
            <w:vAlign w:val="center"/>
          </w:tcPr>
          <w:p w14:paraId="2CA26C5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阶段</w:t>
            </w:r>
          </w:p>
        </w:tc>
        <w:tc>
          <w:tcPr>
            <w:tcW w:w="1587" w:type="dxa"/>
            <w:shd w:val="clear" w:color="auto" w:fill="EDEDED"/>
            <w:vAlign w:val="center"/>
          </w:tcPr>
          <w:p w14:paraId="6E221F43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计划时间</w:t>
            </w:r>
          </w:p>
        </w:tc>
        <w:tc>
          <w:tcPr>
            <w:tcW w:w="4762" w:type="dxa"/>
            <w:shd w:val="clear" w:color="auto" w:fill="EDEDED"/>
            <w:vAlign w:val="center"/>
          </w:tcPr>
          <w:p w14:paraId="2E16444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主要产出与验收</w:t>
            </w:r>
          </w:p>
        </w:tc>
      </w:tr>
      <w:tr w14:paraId="5D8641A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433A37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需求与器材确认</w:t>
            </w:r>
          </w:p>
        </w:tc>
        <w:tc>
          <w:tcPr>
            <w:tcW w:w="1587" w:type="dxa"/>
            <w:vAlign w:val="center"/>
          </w:tcPr>
          <w:p w14:paraId="6C11E80F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第1—3周</w:t>
            </w:r>
          </w:p>
        </w:tc>
        <w:tc>
          <w:tcPr>
            <w:tcW w:w="4762" w:type="dxa"/>
            <w:vAlign w:val="center"/>
          </w:tcPr>
          <w:p w14:paraId="060088A1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按15分钟粒度、审核规则参数、岗位分工和BOM启动，核对器材接口与驱动资料</w:t>
            </w:r>
          </w:p>
        </w:tc>
      </w:tr>
      <w:tr w14:paraId="172BAB6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291BA94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核心开发与单设备验证</w:t>
            </w:r>
          </w:p>
        </w:tc>
        <w:tc>
          <w:tcPr>
            <w:tcW w:w="1587" w:type="dxa"/>
            <w:vAlign w:val="center"/>
          </w:tcPr>
          <w:p w14:paraId="2BAF6C8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第4—7周</w:t>
            </w:r>
          </w:p>
        </w:tc>
        <w:tc>
          <w:tcPr>
            <w:tcW w:w="4762" w:type="dxa"/>
            <w:vAlign w:val="center"/>
          </w:tcPr>
          <w:p w14:paraId="03E22ED7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规则判定与转人工、信用与申诉、身份校验、STM32通信及屏幕、蜂鸣器、锁驱动；设备分项验证</w:t>
            </w:r>
          </w:p>
        </w:tc>
      </w:tr>
      <w:tr w14:paraId="72646D2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15B31DD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软硬件集成</w:t>
            </w:r>
          </w:p>
        </w:tc>
        <w:tc>
          <w:tcPr>
            <w:tcW w:w="1587" w:type="dxa"/>
            <w:vAlign w:val="center"/>
          </w:tcPr>
          <w:p w14:paraId="22949B8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第8—12周</w:t>
            </w:r>
          </w:p>
        </w:tc>
        <w:tc>
          <w:tcPr>
            <w:tcW w:w="4762" w:type="dxa"/>
            <w:vAlign w:val="center"/>
          </w:tcPr>
          <w:p w14:paraId="3A1FD613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真实硬件端到端链路，重放与过期指令、失败恢复、签到边界和再次开门测试</w:t>
            </w:r>
          </w:p>
        </w:tc>
      </w:tr>
      <w:tr w14:paraId="37F2ADB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11BD70C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测试与答辩</w:t>
            </w:r>
          </w:p>
        </w:tc>
        <w:tc>
          <w:tcPr>
            <w:tcW w:w="1587" w:type="dxa"/>
            <w:vAlign w:val="center"/>
          </w:tcPr>
          <w:p w14:paraId="2B9D425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第13—16周</w:t>
            </w:r>
          </w:p>
        </w:tc>
        <w:tc>
          <w:tcPr>
            <w:tcW w:w="4762" w:type="dxa"/>
            <w:vAlign w:val="center"/>
          </w:tcPr>
          <w:p w14:paraId="4B05C8B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核心与异常记录、测试数据清理、报告和5—8分钟演示；不承诺真实研讨室试用</w:t>
            </w:r>
          </w:p>
        </w:tc>
      </w:tr>
    </w:tbl>
    <w:p w14:paraId="73FE0729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附录A 情景设定与验证安排</w:t>
      </w:r>
    </w:p>
    <w:p w14:paraId="7365A202">
      <w:pPr>
        <w:widowControl/>
        <w:spacing w:after="80" w:line="360" w:lineRule="auto"/>
        <w:ind w:firstLine="480"/>
      </w:pPr>
      <w:r>
        <w:rPr>
          <w:rFonts w:hint="eastAsia" w:ascii="宋体" w:hAnsi="宋体" w:cs="宋体"/>
          <w:sz w:val="24"/>
        </w:rPr>
        <w:t>本附录固定课程分析场景：2间容量6人的模拟房间，每日08:00—22:00共56个15分钟单元，5个虚构账号覆盖三类角色，预约与门禁原先独立。以下记录均为用例与验证计划，不是已发生的访谈、观察或问卷。按场景可以开展一致的需求分析，但不编造真实参与者和调查日期。</w:t>
      </w:r>
    </w:p>
    <w:p w14:paraId="1D051925">
      <w:pPr>
        <w:keepNext/>
        <w:spacing w:after="80" w:line="360" w:lineRule="auto"/>
        <w:ind w:firstLine="480"/>
        <w:jc w:val="center"/>
      </w:pPr>
      <w:r>
        <w:rPr>
          <w:rFonts w:ascii="宋体" w:hAnsi="宋体" w:cs="宋体"/>
          <w:color w:val="000000"/>
          <w:sz w:val="24"/>
        </w:rPr>
        <w:t>表A-1 场景与验证用例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814"/>
        <w:gridCol w:w="5046"/>
        <w:gridCol w:w="1644"/>
      </w:tblGrid>
      <w:tr w14:paraId="48A45D4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DEDED"/>
            <w:vAlign w:val="center"/>
          </w:tcPr>
          <w:p w14:paraId="67A2620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场景维度</w:t>
            </w:r>
          </w:p>
        </w:tc>
        <w:tc>
          <w:tcPr>
            <w:tcW w:w="5046" w:type="dxa"/>
            <w:shd w:val="clear" w:color="auto" w:fill="EDEDED"/>
            <w:vAlign w:val="center"/>
          </w:tcPr>
          <w:p w14:paraId="5B9697B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固定设定与验证内容</w:t>
            </w:r>
          </w:p>
        </w:tc>
        <w:tc>
          <w:tcPr>
            <w:tcW w:w="1644" w:type="dxa"/>
            <w:shd w:val="clear" w:color="auto" w:fill="EDEDED"/>
            <w:vAlign w:val="center"/>
          </w:tcPr>
          <w:p w14:paraId="3B47B2D5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资料属性</w:t>
            </w:r>
          </w:p>
        </w:tc>
      </w:tr>
      <w:tr w14:paraId="2A29923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49C87E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预约业务</w:t>
            </w:r>
          </w:p>
        </w:tc>
        <w:tc>
          <w:tcPr>
            <w:tcW w:w="5046" w:type="dxa"/>
            <w:vAlign w:val="center"/>
          </w:tcPr>
          <w:p w14:paraId="64175BF9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2间房、每间6人；每日08:00—22:00，56个15分钟单元；规则自动通过、阈值转人工与申诉</w:t>
            </w:r>
          </w:p>
        </w:tc>
        <w:tc>
          <w:tcPr>
            <w:tcW w:w="1644" w:type="dxa"/>
            <w:vAlign w:val="center"/>
          </w:tcPr>
          <w:p w14:paraId="6F30473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设计设定</w:t>
            </w:r>
          </w:p>
        </w:tc>
      </w:tr>
      <w:tr w14:paraId="0F096CF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7DB9536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桌面装置</w:t>
            </w:r>
          </w:p>
        </w:tc>
        <w:tc>
          <w:tcPr>
            <w:tcW w:w="5046" w:type="dxa"/>
            <w:vAlign w:val="center"/>
          </w:tcPr>
          <w:p w14:paraId="5DF7FFC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1套STM32装置、1把柜锁、1块屏和1个蜂鸣器；后台映射指定演示房间</w:t>
            </w:r>
          </w:p>
        </w:tc>
        <w:tc>
          <w:tcPr>
            <w:tcW w:w="1644" w:type="dxa"/>
            <w:vAlign w:val="center"/>
          </w:tcPr>
          <w:p w14:paraId="0E1D2462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设计设定</w:t>
            </w:r>
          </w:p>
        </w:tc>
      </w:tr>
      <w:tr w14:paraId="03ABBEF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7A5FD6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角色体验</w:t>
            </w:r>
          </w:p>
        </w:tc>
        <w:tc>
          <w:tcPr>
            <w:tcW w:w="5046" w:type="dxa"/>
            <w:vAlign w:val="center"/>
          </w:tcPr>
          <w:p w14:paraId="35F6F857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student01—03、teacher01、admin01；覆盖申请、规则判定、申诉、取消通知与再次开门</w:t>
            </w:r>
          </w:p>
        </w:tc>
        <w:tc>
          <w:tcPr>
            <w:tcW w:w="1644" w:type="dxa"/>
            <w:vAlign w:val="center"/>
          </w:tcPr>
          <w:p w14:paraId="5EA1E3C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模拟账号</w:t>
            </w:r>
          </w:p>
        </w:tc>
      </w:tr>
      <w:tr w14:paraId="693ADF1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6EC96DE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制度边界</w:t>
            </w:r>
          </w:p>
        </w:tc>
        <w:tc>
          <w:tcPr>
            <w:tcW w:w="5046" w:type="dxa"/>
            <w:vAlign w:val="center"/>
          </w:tcPr>
          <w:p w14:paraId="408B34C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教师只覆盖未开始的学生预约；教师间冲突拒绝；不接学校正式系统</w:t>
            </w:r>
          </w:p>
        </w:tc>
        <w:tc>
          <w:tcPr>
            <w:tcW w:w="1644" w:type="dxa"/>
            <w:vAlign w:val="center"/>
          </w:tcPr>
          <w:p w14:paraId="37739C2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原型业务规则</w:t>
            </w:r>
          </w:p>
        </w:tc>
      </w:tr>
      <w:tr w14:paraId="1297653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28E059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量化评价</w:t>
            </w:r>
          </w:p>
        </w:tc>
        <w:tc>
          <w:tcPr>
            <w:tcW w:w="5046" w:type="dxa"/>
            <w:vAlign w:val="center"/>
          </w:tcPr>
          <w:p w14:paraId="6D78880E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不设虚构问卷样本；5账号执行操作用例，首次操作目标3分钟内完成，申诉提交目标2分钟内完成</w:t>
            </w:r>
          </w:p>
        </w:tc>
        <w:tc>
          <w:tcPr>
            <w:tcW w:w="1644" w:type="dxa"/>
            <w:vAlign w:val="center"/>
          </w:tcPr>
          <w:p w14:paraId="44086F01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验收目标，结果实施后记录</w:t>
            </w:r>
          </w:p>
        </w:tc>
      </w:tr>
    </w:tbl>
    <w:p w14:paraId="5511A486">
      <w:pPr>
        <w:keepNext/>
        <w:spacing w:before="120" w:after="80"/>
        <w:jc w:val="center"/>
        <w:rPr>
          <w:rFonts w:hint="eastAsia" w:ascii="宋体" w:hAnsi="宋体"/>
          <w:color w:val="000000"/>
        </w:rPr>
      </w:pPr>
    </w:p>
    <w:p w14:paraId="20E18A77">
      <w:pPr>
        <w:keepNext/>
        <w:spacing w:after="80" w:line="360" w:lineRule="auto"/>
        <w:ind w:firstLine="480"/>
        <w:jc w:val="center"/>
      </w:pPr>
      <w:r>
        <w:rPr>
          <w:rFonts w:ascii="宋体" w:hAnsi="宋体" w:cs="宋体"/>
          <w:color w:val="000000"/>
          <w:sz w:val="24"/>
        </w:rPr>
        <w:t>表A-2 需求与资源约束登记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814"/>
        <w:gridCol w:w="6690"/>
      </w:tblGrid>
      <w:tr w14:paraId="55C4E5B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DEDED"/>
            <w:vAlign w:val="center"/>
          </w:tcPr>
          <w:p w14:paraId="0789AC49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项目</w:t>
            </w:r>
          </w:p>
        </w:tc>
        <w:tc>
          <w:tcPr>
            <w:tcW w:w="6690" w:type="dxa"/>
            <w:shd w:val="clear" w:color="auto" w:fill="EDEDED"/>
            <w:vAlign w:val="center"/>
          </w:tcPr>
          <w:p w14:paraId="47A310B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固定安排或交付要求</w:t>
            </w:r>
          </w:p>
        </w:tc>
      </w:tr>
      <w:tr w14:paraId="5D95679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7DAC8D64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一期优先级</w:t>
            </w:r>
          </w:p>
        </w:tc>
        <w:tc>
          <w:tcPr>
            <w:tcW w:w="6690" w:type="dxa"/>
            <w:vAlign w:val="center"/>
          </w:tcPr>
          <w:p w14:paraId="5FB92A37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必须：基础与附加规则审核、信用分与申诉、教师规则、15分钟单元占用、签到、真实硬件开锁、再次进入、提醒、释放及结束；后续：签退、候补、占用检测、能耗与信用联评</w:t>
            </w:r>
          </w:p>
        </w:tc>
      </w:tr>
      <w:tr w14:paraId="1733B20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7B4872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关键干系人</w:t>
            </w:r>
          </w:p>
        </w:tc>
        <w:tc>
          <w:tcPr>
            <w:tcW w:w="6690" w:type="dxa"/>
            <w:vAlign w:val="center"/>
          </w:tcPr>
          <w:p w14:paraId="73B238A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组长统筹后端；成员2前端；成员3设备；成员4测试文档。姓名学号据实补填，正式部署另涉场地管理方</w:t>
            </w:r>
          </w:p>
        </w:tc>
      </w:tr>
      <w:tr w14:paraId="21678A2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540ED0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现有原型</w:t>
            </w:r>
          </w:p>
        </w:tc>
        <w:tc>
          <w:tcPr>
            <w:tcW w:w="6690" w:type="dxa"/>
            <w:vAlign w:val="center"/>
          </w:tcPr>
          <w:p w14:paraId="16D26B35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Java 17、Spring Boot、MySQL、Mosquitto与STM32 HAL；建库时锁定依赖版本并登记仓库地址</w:t>
            </w:r>
          </w:p>
        </w:tc>
      </w:tr>
      <w:tr w14:paraId="4EE0D7B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C2CA37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验收证据</w:t>
            </w:r>
          </w:p>
        </w:tc>
        <w:tc>
          <w:tcPr>
            <w:tcW w:w="6690" w:type="dxa"/>
            <w:vAlign w:val="center"/>
          </w:tcPr>
          <w:p w14:paraId="77889C4B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每条用例记录步骤、预期、实际结果、执行时间、操作者与照片或日志；未执行不填写通过</w:t>
            </w:r>
          </w:p>
        </w:tc>
      </w:tr>
    </w:tbl>
    <w:p w14:paraId="22BF7140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附录B 硬件与成本测算表</w:t>
      </w:r>
    </w:p>
    <w:p w14:paraId="256876D3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下表为1套桌面装置的设计选型和全量购置预算，数量均为计划值，单价为课程估算，不是商家报价或已采购事实。已有蜂鸣器等器材可在实购时冲减，但不因此漏列配套驱动、电源和连接件。全部预算合计220元。</w:t>
      </w:r>
    </w:p>
    <w:p w14:paraId="33A33693">
      <w:pPr>
        <w:keepNext/>
        <w:spacing w:after="80" w:line="360" w:lineRule="auto"/>
        <w:ind w:firstLine="480"/>
        <w:jc w:val="center"/>
      </w:pPr>
      <w:r>
        <w:rPr>
          <w:rFonts w:ascii="宋体" w:hAnsi="宋体" w:cs="宋体"/>
          <w:color w:val="000000"/>
          <w:sz w:val="24"/>
        </w:rPr>
        <w:t>表B-1 桌面硬件选型与预算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2154"/>
        <w:gridCol w:w="3685"/>
        <w:gridCol w:w="1191"/>
        <w:gridCol w:w="1474"/>
      </w:tblGrid>
      <w:tr w14:paraId="6C95F94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154" w:type="dxa"/>
            <w:shd w:val="clear" w:color="auto" w:fill="EDEDED"/>
            <w:vAlign w:val="center"/>
          </w:tcPr>
          <w:p w14:paraId="1771688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项目</w:t>
            </w:r>
          </w:p>
        </w:tc>
        <w:tc>
          <w:tcPr>
            <w:tcW w:w="3685" w:type="dxa"/>
            <w:shd w:val="clear" w:color="auto" w:fill="EDEDED"/>
            <w:vAlign w:val="center"/>
          </w:tcPr>
          <w:p w14:paraId="74C4466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设计型号及接口</w:t>
            </w:r>
          </w:p>
        </w:tc>
        <w:tc>
          <w:tcPr>
            <w:tcW w:w="1191" w:type="dxa"/>
            <w:shd w:val="clear" w:color="auto" w:fill="EDEDED"/>
            <w:vAlign w:val="center"/>
          </w:tcPr>
          <w:p w14:paraId="28CCE5AF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计划数量</w:t>
            </w:r>
          </w:p>
        </w:tc>
        <w:tc>
          <w:tcPr>
            <w:tcW w:w="1474" w:type="dxa"/>
            <w:shd w:val="clear" w:color="auto" w:fill="EDEDED"/>
            <w:vAlign w:val="center"/>
          </w:tcPr>
          <w:p w14:paraId="57943A8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预算金额</w:t>
            </w:r>
          </w:p>
        </w:tc>
      </w:tr>
      <w:tr w14:paraId="408F126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087EC88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STM32主控</w:t>
            </w:r>
          </w:p>
        </w:tc>
        <w:tc>
          <w:tcPr>
            <w:tcW w:w="3685" w:type="dxa"/>
            <w:vAlign w:val="center"/>
          </w:tcPr>
          <w:p w14:paraId="098A06F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STM32F103C8T6开发板，3.3V逻辑</w:t>
            </w:r>
          </w:p>
        </w:tc>
        <w:tc>
          <w:tcPr>
            <w:tcW w:w="1191" w:type="dxa"/>
            <w:vAlign w:val="center"/>
          </w:tcPr>
          <w:p w14:paraId="0F3AA267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1块</w:t>
            </w:r>
          </w:p>
        </w:tc>
        <w:tc>
          <w:tcPr>
            <w:tcW w:w="1474" w:type="dxa"/>
            <w:vAlign w:val="center"/>
          </w:tcPr>
          <w:p w14:paraId="57750D6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35元</w:t>
            </w:r>
          </w:p>
        </w:tc>
      </w:tr>
      <w:tr w14:paraId="688ACC7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4BC22D9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通信模块</w:t>
            </w:r>
          </w:p>
        </w:tc>
        <w:tc>
          <w:tcPr>
            <w:tcW w:w="3685" w:type="dxa"/>
            <w:vAlign w:val="center"/>
          </w:tcPr>
          <w:p w14:paraId="735D00AE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ESP8266串口Wi-Fi模块，AT方式接入</w:t>
            </w:r>
          </w:p>
        </w:tc>
        <w:tc>
          <w:tcPr>
            <w:tcW w:w="1191" w:type="dxa"/>
            <w:vAlign w:val="center"/>
          </w:tcPr>
          <w:p w14:paraId="51EFFDD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1块</w:t>
            </w:r>
          </w:p>
        </w:tc>
        <w:tc>
          <w:tcPr>
            <w:tcW w:w="1474" w:type="dxa"/>
            <w:vAlign w:val="center"/>
          </w:tcPr>
          <w:p w14:paraId="7EE9C07F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25元</w:t>
            </w:r>
          </w:p>
        </w:tc>
      </w:tr>
      <w:tr w14:paraId="6E53602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2FD29C51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真实屏幕及驱动</w:t>
            </w:r>
          </w:p>
        </w:tc>
        <w:tc>
          <w:tcPr>
            <w:tcW w:w="3685" w:type="dxa"/>
            <w:vAlign w:val="center"/>
          </w:tcPr>
          <w:p w14:paraId="3DC393E9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0.96英寸SSD1306，128×64，I²C</w:t>
            </w:r>
          </w:p>
        </w:tc>
        <w:tc>
          <w:tcPr>
            <w:tcW w:w="1191" w:type="dxa"/>
            <w:vAlign w:val="center"/>
          </w:tcPr>
          <w:p w14:paraId="130E2C3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1块</w:t>
            </w:r>
          </w:p>
        </w:tc>
        <w:tc>
          <w:tcPr>
            <w:tcW w:w="1474" w:type="dxa"/>
            <w:vAlign w:val="center"/>
          </w:tcPr>
          <w:p w14:paraId="21C3C46D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25元</w:t>
            </w:r>
          </w:p>
        </w:tc>
      </w:tr>
      <w:tr w14:paraId="58C023F4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F9C170E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真实蜂鸣器及驱动</w:t>
            </w:r>
          </w:p>
        </w:tc>
        <w:tc>
          <w:tcPr>
            <w:tcW w:w="3685" w:type="dxa"/>
            <w:vAlign w:val="center"/>
          </w:tcPr>
          <w:p w14:paraId="722D1CC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5V有源模块，3.3V兼容控制</w:t>
            </w:r>
          </w:p>
        </w:tc>
        <w:tc>
          <w:tcPr>
            <w:tcW w:w="1191" w:type="dxa"/>
            <w:vAlign w:val="center"/>
          </w:tcPr>
          <w:p w14:paraId="47B5A39B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1个</w:t>
            </w:r>
          </w:p>
        </w:tc>
        <w:tc>
          <w:tcPr>
            <w:tcW w:w="1474" w:type="dxa"/>
            <w:vAlign w:val="center"/>
          </w:tcPr>
          <w:p w14:paraId="1E525CD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10元</w:t>
            </w:r>
          </w:p>
        </w:tc>
      </w:tr>
      <w:tr w14:paraId="48CD434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5E3039E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电控锁及驱动模块</w:t>
            </w:r>
          </w:p>
        </w:tc>
        <w:tc>
          <w:tcPr>
            <w:tcW w:w="3685" w:type="dxa"/>
            <w:vAlign w:val="center"/>
          </w:tcPr>
          <w:p w14:paraId="7B2A5331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12V柜锁带手动释放；MOSFET及续流保护</w:t>
            </w:r>
          </w:p>
        </w:tc>
        <w:tc>
          <w:tcPr>
            <w:tcW w:w="1191" w:type="dxa"/>
            <w:vAlign w:val="center"/>
          </w:tcPr>
          <w:p w14:paraId="21C67DCE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1套</w:t>
            </w:r>
          </w:p>
        </w:tc>
        <w:tc>
          <w:tcPr>
            <w:tcW w:w="1474" w:type="dxa"/>
            <w:vAlign w:val="center"/>
          </w:tcPr>
          <w:p w14:paraId="56D51D2E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60元</w:t>
            </w:r>
          </w:p>
        </w:tc>
      </w:tr>
      <w:tr w14:paraId="5403D906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059AE545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电源、线材及连接件</w:t>
            </w:r>
          </w:p>
        </w:tc>
        <w:tc>
          <w:tcPr>
            <w:tcW w:w="3685" w:type="dxa"/>
            <w:vAlign w:val="center"/>
          </w:tcPr>
          <w:p w14:paraId="225A3FD1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12V／2A适配器、降压稳压、线材、支架及下载器</w:t>
            </w:r>
          </w:p>
        </w:tc>
        <w:tc>
          <w:tcPr>
            <w:tcW w:w="1191" w:type="dxa"/>
            <w:vAlign w:val="center"/>
          </w:tcPr>
          <w:p w14:paraId="7B4EEDC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1套</w:t>
            </w:r>
          </w:p>
        </w:tc>
        <w:tc>
          <w:tcPr>
            <w:tcW w:w="1474" w:type="dxa"/>
            <w:vAlign w:val="center"/>
          </w:tcPr>
          <w:p w14:paraId="1E057FC8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65元</w:t>
            </w:r>
          </w:p>
        </w:tc>
      </w:tr>
      <w:tr w14:paraId="30D62F3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154" w:type="dxa"/>
            <w:vAlign w:val="center"/>
          </w:tcPr>
          <w:p w14:paraId="32A98BF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全量购置预算合计</w:t>
            </w:r>
          </w:p>
        </w:tc>
        <w:tc>
          <w:tcPr>
            <w:tcW w:w="3685" w:type="dxa"/>
            <w:vAlign w:val="center"/>
          </w:tcPr>
          <w:p w14:paraId="2D6AE22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35＋25＋25＋10＋60＋65</w:t>
            </w:r>
          </w:p>
        </w:tc>
        <w:tc>
          <w:tcPr>
            <w:tcW w:w="1191" w:type="dxa"/>
            <w:vAlign w:val="center"/>
          </w:tcPr>
          <w:p w14:paraId="78723207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—</w:t>
            </w:r>
          </w:p>
        </w:tc>
        <w:tc>
          <w:tcPr>
            <w:tcW w:w="1474" w:type="dxa"/>
            <w:vAlign w:val="center"/>
          </w:tcPr>
          <w:p w14:paraId="4FF6242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220元</w:t>
            </w:r>
          </w:p>
        </w:tc>
      </w:tr>
    </w:tbl>
    <w:p w14:paraId="23DDD6D4">
      <w:pPr>
        <w:keepNext/>
        <w:spacing w:after="80" w:line="360" w:lineRule="auto"/>
        <w:ind w:firstLine="480"/>
        <w:jc w:val="center"/>
      </w:pPr>
      <w:r>
        <w:rPr>
          <w:rFonts w:ascii="宋体" w:hAnsi="宋体" w:cs="宋体"/>
          <w:color w:val="000000"/>
          <w:sz w:val="24"/>
        </w:rPr>
        <w:t>表B-2 课程投入与工时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2041"/>
        <w:gridCol w:w="4932"/>
        <w:gridCol w:w="1531"/>
      </w:tblGrid>
      <w:tr w14:paraId="38E0AD80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EDEDED"/>
            <w:vAlign w:val="center"/>
          </w:tcPr>
          <w:p w14:paraId="10873CF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项目</w:t>
            </w:r>
          </w:p>
        </w:tc>
        <w:tc>
          <w:tcPr>
            <w:tcW w:w="4932" w:type="dxa"/>
            <w:shd w:val="clear" w:color="auto" w:fill="EDEDED"/>
            <w:vAlign w:val="center"/>
          </w:tcPr>
          <w:p w14:paraId="2F398653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设计计算口径</w:t>
            </w:r>
          </w:p>
        </w:tc>
        <w:tc>
          <w:tcPr>
            <w:tcW w:w="1531" w:type="dxa"/>
            <w:shd w:val="clear" w:color="auto" w:fill="EDEDED"/>
            <w:vAlign w:val="center"/>
          </w:tcPr>
          <w:p w14:paraId="4CE2EE6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结果</w:t>
            </w:r>
          </w:p>
        </w:tc>
      </w:tr>
      <w:tr w14:paraId="131C9F22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E6CD74D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团队分工</w:t>
            </w:r>
          </w:p>
        </w:tc>
        <w:tc>
          <w:tcPr>
            <w:tcW w:w="4932" w:type="dxa"/>
            <w:vAlign w:val="center"/>
          </w:tcPr>
          <w:p w14:paraId="508C699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4人岗位，每人计划25%；真实姓名、学号据实补填</w:t>
            </w:r>
          </w:p>
        </w:tc>
        <w:tc>
          <w:tcPr>
            <w:tcW w:w="1531" w:type="dxa"/>
            <w:vAlign w:val="center"/>
          </w:tcPr>
          <w:p w14:paraId="35BC47D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岗位已定，身份待填</w:t>
            </w:r>
          </w:p>
        </w:tc>
      </w:tr>
      <w:tr w14:paraId="42B3FED9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C118C4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可用工时容量</w:t>
            </w:r>
          </w:p>
        </w:tc>
        <w:tc>
          <w:tcPr>
            <w:tcW w:w="4932" w:type="dxa"/>
            <w:vAlign w:val="center"/>
          </w:tcPr>
          <w:p w14:paraId="583F7115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4人×16周×15小时／周</w:t>
            </w:r>
          </w:p>
        </w:tc>
        <w:tc>
          <w:tcPr>
            <w:tcW w:w="1531" w:type="dxa"/>
            <w:vAlign w:val="center"/>
          </w:tcPr>
          <w:p w14:paraId="14E2250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计划960人时</w:t>
            </w:r>
          </w:p>
        </w:tc>
      </w:tr>
      <w:tr w14:paraId="685F597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E449B3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计划所需工时</w:t>
            </w:r>
          </w:p>
        </w:tc>
        <w:tc>
          <w:tcPr>
            <w:tcW w:w="4932" w:type="dxa"/>
            <w:vAlign w:val="center"/>
          </w:tcPr>
          <w:p w14:paraId="7903FC73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100＋220＋160＋220＋140＋100；含集成返工</w:t>
            </w:r>
          </w:p>
        </w:tc>
        <w:tc>
          <w:tcPr>
            <w:tcW w:w="1531" w:type="dxa"/>
            <w:vAlign w:val="center"/>
          </w:tcPr>
          <w:p w14:paraId="28F8B5B3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940人时；另余20</w:t>
            </w:r>
          </w:p>
        </w:tc>
      </w:tr>
      <w:tr w14:paraId="2B4C7E9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CF8D280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打印与服务支出</w:t>
            </w:r>
          </w:p>
        </w:tc>
        <w:tc>
          <w:tcPr>
            <w:tcW w:w="4932" w:type="dxa"/>
            <w:vAlign w:val="center"/>
          </w:tcPr>
          <w:p w14:paraId="60B033EB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打印30元＋采购预备费50元</w:t>
            </w:r>
          </w:p>
        </w:tc>
        <w:tc>
          <w:tcPr>
            <w:tcW w:w="1531" w:type="dxa"/>
            <w:vAlign w:val="center"/>
          </w:tcPr>
          <w:p w14:paraId="62C499C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80元</w:t>
            </w:r>
          </w:p>
        </w:tc>
      </w:tr>
      <w:tr w14:paraId="483C0408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30A09CF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已有器材与资源</w:t>
            </w:r>
          </w:p>
        </w:tc>
        <w:tc>
          <w:tcPr>
            <w:tcW w:w="4932" w:type="dxa"/>
            <w:vAlign w:val="center"/>
          </w:tcPr>
          <w:p w14:paraId="1CB2F8E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教学电脑、手机、演示网络复用；不折现金，硬件仍按全量预算</w:t>
            </w:r>
          </w:p>
        </w:tc>
        <w:tc>
          <w:tcPr>
            <w:tcW w:w="1531" w:type="dxa"/>
            <w:vAlign w:val="center"/>
          </w:tcPr>
          <w:p w14:paraId="1903F789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非现金资源复用</w:t>
            </w:r>
          </w:p>
        </w:tc>
      </w:tr>
      <w:tr w14:paraId="4C567D0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17388C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一次性现金合计</w:t>
            </w:r>
          </w:p>
        </w:tc>
        <w:tc>
          <w:tcPr>
            <w:tcW w:w="4932" w:type="dxa"/>
            <w:vAlign w:val="center"/>
          </w:tcPr>
          <w:p w14:paraId="08528339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硬件220元＋打印30元＋预备费50元；另留学期运行20元</w:t>
            </w:r>
          </w:p>
        </w:tc>
        <w:tc>
          <w:tcPr>
            <w:tcW w:w="1531" w:type="dxa"/>
            <w:vAlign w:val="center"/>
          </w:tcPr>
          <w:p w14:paraId="6080E82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300元；总额度320元</w:t>
            </w:r>
          </w:p>
        </w:tc>
      </w:tr>
    </w:tbl>
    <w:p w14:paraId="2D07481E">
      <w:pPr>
        <w:keepNext/>
        <w:spacing w:before="120" w:after="80"/>
        <w:jc w:val="center"/>
        <w:rPr>
          <w:rFonts w:hint="eastAsia" w:ascii="宋体" w:hAnsi="宋体"/>
          <w:color w:val="000000"/>
        </w:rPr>
      </w:pPr>
    </w:p>
    <w:p w14:paraId="0B6660D2">
      <w:pPr>
        <w:keepNext/>
        <w:spacing w:after="80" w:line="360" w:lineRule="auto"/>
        <w:ind w:firstLine="480"/>
        <w:jc w:val="center"/>
      </w:pPr>
      <w:r>
        <w:rPr>
          <w:rFonts w:ascii="宋体" w:hAnsi="宋体" w:cs="宋体"/>
          <w:color w:val="000000"/>
          <w:sz w:val="24"/>
        </w:rPr>
        <w:t>表B-3 20间推广情景与静态回收示例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2041"/>
        <w:gridCol w:w="4932"/>
        <w:gridCol w:w="1531"/>
      </w:tblGrid>
      <w:tr w14:paraId="534BF0A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2041" w:type="dxa"/>
            <w:shd w:val="clear" w:color="auto" w:fill="EDEDED"/>
            <w:vAlign w:val="center"/>
          </w:tcPr>
          <w:p w14:paraId="719D1B6C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参数</w:t>
            </w:r>
          </w:p>
        </w:tc>
        <w:tc>
          <w:tcPr>
            <w:tcW w:w="4932" w:type="dxa"/>
            <w:shd w:val="clear" w:color="auto" w:fill="EDEDED"/>
            <w:vAlign w:val="center"/>
          </w:tcPr>
          <w:p w14:paraId="3331F4D9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口径</w:t>
            </w:r>
          </w:p>
        </w:tc>
        <w:tc>
          <w:tcPr>
            <w:tcW w:w="1531" w:type="dxa"/>
            <w:shd w:val="clear" w:color="auto" w:fill="EDEDED"/>
            <w:vAlign w:val="center"/>
          </w:tcPr>
          <w:p w14:paraId="1E8AF0F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情景假设或计算值</w:t>
            </w:r>
          </w:p>
        </w:tc>
      </w:tr>
      <w:tr w14:paraId="78A6105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235D03B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情景规模</w:t>
            </w:r>
          </w:p>
        </w:tc>
        <w:tc>
          <w:tcPr>
            <w:tcW w:w="4932" w:type="dxa"/>
            <w:vAlign w:val="center"/>
          </w:tcPr>
          <w:p w14:paraId="4264B91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20间×14小时／日×250日／年；供给70,000间·小时</w:t>
            </w:r>
          </w:p>
        </w:tc>
        <w:tc>
          <w:tcPr>
            <w:tcW w:w="1531" w:type="dxa"/>
            <w:vAlign w:val="center"/>
          </w:tcPr>
          <w:p w14:paraId="2D1E260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20间研讨室</w:t>
            </w:r>
          </w:p>
        </w:tc>
      </w:tr>
      <w:tr w14:paraId="6B9EAC5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5CCE69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I：一次性投入</w:t>
            </w:r>
          </w:p>
        </w:tc>
        <w:tc>
          <w:tcPr>
            <w:tcW w:w="4932" w:type="dxa"/>
            <w:vAlign w:val="center"/>
          </w:tcPr>
          <w:p w14:paraId="70B70FBC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设备20套×350元＋部署开发10,000元＋备件培训3,000元</w:t>
            </w:r>
          </w:p>
        </w:tc>
        <w:tc>
          <w:tcPr>
            <w:tcW w:w="1531" w:type="dxa"/>
            <w:vAlign w:val="center"/>
          </w:tcPr>
          <w:p w14:paraId="39E39A2E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20,000元</w:t>
            </w:r>
          </w:p>
        </w:tc>
      </w:tr>
      <w:tr w14:paraId="4F68E3E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4146EA23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B：年直接现金效益</w:t>
            </w:r>
          </w:p>
        </w:tc>
        <w:tc>
          <w:tcPr>
            <w:tcW w:w="4932" w:type="dxa"/>
            <w:vAlign w:val="center"/>
          </w:tcPr>
          <w:p w14:paraId="58911AD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外协协调600小时×12元＋巡查耗材2,800元；假设支出实际下降</w:t>
            </w:r>
          </w:p>
        </w:tc>
        <w:tc>
          <w:tcPr>
            <w:tcW w:w="1531" w:type="dxa"/>
            <w:vAlign w:val="center"/>
          </w:tcPr>
          <w:p w14:paraId="51C00ABD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10,000元／年</w:t>
            </w:r>
          </w:p>
        </w:tc>
      </w:tr>
      <w:tr w14:paraId="17AB00BC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05FCF130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C：年运行现金成本</w:t>
            </w:r>
          </w:p>
        </w:tc>
        <w:tc>
          <w:tcPr>
            <w:tcW w:w="4932" w:type="dxa"/>
            <w:vAlign w:val="center"/>
          </w:tcPr>
          <w:p w14:paraId="53BD7C1A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维护2,000元＋部署网络1,200元＋耗材800元</w:t>
            </w:r>
          </w:p>
        </w:tc>
        <w:tc>
          <w:tcPr>
            <w:tcW w:w="1531" w:type="dxa"/>
            <w:vAlign w:val="center"/>
          </w:tcPr>
          <w:p w14:paraId="274EDE1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4,000元／年</w:t>
            </w:r>
          </w:p>
        </w:tc>
      </w:tr>
      <w:tr w14:paraId="4F795D1A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1647E0C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N：年净现金效益</w:t>
            </w:r>
          </w:p>
        </w:tc>
        <w:tc>
          <w:tcPr>
            <w:tcW w:w="4932" w:type="dxa"/>
            <w:vAlign w:val="center"/>
          </w:tcPr>
          <w:p w14:paraId="5E85DEE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10,000－4,000；各年现金流稳定的假设</w:t>
            </w:r>
          </w:p>
        </w:tc>
        <w:tc>
          <w:tcPr>
            <w:tcW w:w="1531" w:type="dxa"/>
            <w:vAlign w:val="center"/>
          </w:tcPr>
          <w:p w14:paraId="50C5CDE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6,000元／年</w:t>
            </w:r>
          </w:p>
        </w:tc>
      </w:tr>
      <w:tr w14:paraId="44B24A85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2041" w:type="dxa"/>
            <w:vAlign w:val="center"/>
          </w:tcPr>
          <w:p w14:paraId="7DF59924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P：静态回收期</w:t>
            </w:r>
          </w:p>
        </w:tc>
        <w:tc>
          <w:tcPr>
            <w:tcW w:w="4932" w:type="dxa"/>
            <w:vAlign w:val="center"/>
          </w:tcPr>
          <w:p w14:paraId="5200ED18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20,000÷6,000；仅在现金节省实际兑现时适用</w:t>
            </w:r>
          </w:p>
        </w:tc>
        <w:tc>
          <w:tcPr>
            <w:tcW w:w="1531" w:type="dxa"/>
            <w:vAlign w:val="center"/>
          </w:tcPr>
          <w:p w14:paraId="089484AB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约3.33年（示例）</w:t>
            </w:r>
          </w:p>
        </w:tc>
      </w:tr>
    </w:tbl>
    <w:p w14:paraId="06E1A537">
      <w:pPr>
        <w:pStyle w:val="2"/>
        <w:spacing w:before="312" w:after="312" w:line="276" w:lineRule="auto"/>
      </w:pPr>
      <w:r>
        <w:rPr>
          <w:rFonts w:ascii="黑体" w:hAnsi="黑体" w:cs="黑体"/>
          <w:color w:val="000000"/>
        </w:rPr>
        <w:t>附录C 资料来源与实施核验</w:t>
      </w:r>
    </w:p>
    <w:p w14:paraId="198BDABE">
      <w:pPr>
        <w:widowControl/>
        <w:spacing w:after="80" w:line="360" w:lineRule="auto"/>
        <w:ind w:firstLine="480"/>
      </w:pPr>
      <w:r>
        <w:rPr>
          <w:rFonts w:ascii="宋体" w:hAnsi="宋体" w:cs="宋体"/>
          <w:color w:val="000000"/>
          <w:sz w:val="24"/>
        </w:rPr>
        <w:t>[1]—[3]支持技术及合规原则，[4]—[6]供选型与实现参考，不作为本校调研、采购报价或已完成测试的证明。访问日期：2026年10月18日。</w:t>
      </w:r>
    </w:p>
    <w:p w14:paraId="25536180">
      <w:pPr>
        <w:keepLines/>
        <w:widowControl/>
        <w:spacing w:after="80" w:line="360" w:lineRule="auto"/>
        <w:ind w:firstLine="480"/>
        <w:jc w:val="left"/>
      </w:pPr>
      <w:r>
        <w:rPr>
          <w:rFonts w:ascii="宋体" w:hAnsi="宋体" w:cs="宋体"/>
          <w:color w:val="000000"/>
          <w:sz w:val="24"/>
        </w:rPr>
        <w:t>[1] OASIS. MQTT Version 3.1.1，消息服务质量、保留消息与安全章节。https://docs.oasis-open.org/mqtt/mqtt/v3.1.1/os/mqtt-v3.1.1-os.html</w:t>
      </w:r>
    </w:p>
    <w:p w14:paraId="0AD02101">
      <w:pPr>
        <w:keepLines/>
        <w:widowControl/>
        <w:spacing w:after="80" w:line="360" w:lineRule="auto"/>
        <w:ind w:firstLine="480"/>
        <w:jc w:val="left"/>
      </w:pPr>
      <w:r>
        <w:rPr>
          <w:rFonts w:ascii="宋体" w:hAnsi="宋体" w:cs="宋体"/>
          <w:color w:val="000000"/>
          <w:sz w:val="24"/>
        </w:rPr>
        <w:t>[2] Oracle. MySQL Community Edition，GPL许可说明。https://www.mysql.com/products/community/</w:t>
      </w:r>
    </w:p>
    <w:p w14:paraId="6D8ECAFF">
      <w:pPr>
        <w:keepLines/>
        <w:widowControl/>
        <w:spacing w:after="80" w:line="360" w:lineRule="auto"/>
        <w:ind w:firstLine="480"/>
        <w:jc w:val="left"/>
      </w:pPr>
      <w:r>
        <w:rPr>
          <w:rFonts w:ascii="宋体" w:hAnsi="宋体" w:cs="宋体"/>
          <w:color w:val="000000"/>
          <w:sz w:val="24"/>
        </w:rPr>
        <w:t>[3] 中华人民共和国个人信息保护法，第6、17、19、28条等。国家统计局公开文本：https://www.stats.gov.cn/gk/tjfg/xgfxfg/202503/t20250310_1958923.html</w:t>
      </w:r>
    </w:p>
    <w:p w14:paraId="1A0E9C37">
      <w:pPr>
        <w:keepLines/>
        <w:widowControl/>
        <w:spacing w:after="80" w:line="360" w:lineRule="auto"/>
        <w:ind w:firstLine="480"/>
        <w:jc w:val="left"/>
      </w:pPr>
      <w:r>
        <w:rPr>
          <w:rFonts w:ascii="宋体" w:hAnsi="宋体" w:cs="宋体"/>
          <w:color w:val="000000"/>
          <w:sz w:val="24"/>
        </w:rPr>
        <w:t>[4] STMicroelectronics. STM32F103C8产品资料。https://www.st.com/en/microcontrollers-microprocessors/stm32f103c8</w:t>
      </w:r>
    </w:p>
    <w:p w14:paraId="3D8B9BF5">
      <w:pPr>
        <w:keepLines/>
        <w:widowControl/>
        <w:spacing w:after="80" w:line="360" w:lineRule="auto"/>
        <w:ind w:firstLine="480"/>
        <w:jc w:val="left"/>
      </w:pPr>
      <w:r>
        <w:rPr>
          <w:rFonts w:ascii="宋体" w:hAnsi="宋体" w:cs="宋体"/>
          <w:color w:val="000000"/>
          <w:sz w:val="24"/>
        </w:rPr>
        <w:t>[5] Adafruit. Monochrome OLED Breakouts，SSD1306与I²C接线。https://learn.adafruit.com/monochrome-oled-breakouts</w:t>
      </w:r>
    </w:p>
    <w:p w14:paraId="2FEAE5C3">
      <w:pPr>
        <w:keepLines/>
        <w:widowControl/>
        <w:spacing w:after="80" w:line="360" w:lineRule="auto"/>
        <w:ind w:firstLine="480"/>
        <w:jc w:val="left"/>
      </w:pPr>
      <w:r>
        <w:rPr>
          <w:rFonts w:ascii="宋体" w:hAnsi="宋体" w:cs="宋体"/>
          <w:color w:val="000000"/>
          <w:sz w:val="24"/>
        </w:rPr>
        <w:t>[6] Eclipse Mosquitto. Authentication methods，认证及主题访问控制。https://mosquitto.org/documentation/authentication-methods/</w:t>
      </w:r>
    </w:p>
    <w:p w14:paraId="617D48EC">
      <w:pPr>
        <w:keepNext/>
        <w:spacing w:after="80" w:line="360" w:lineRule="auto"/>
        <w:ind w:firstLine="480"/>
        <w:jc w:val="center"/>
      </w:pPr>
      <w:r>
        <w:rPr>
          <w:rFonts w:ascii="宋体" w:hAnsi="宋体" w:cs="宋体"/>
          <w:color w:val="000000"/>
          <w:sz w:val="24"/>
        </w:rPr>
        <w:t>表C-1 已定方案与实施核验事项</w:t>
      </w:r>
    </w:p>
    <w:tbl>
      <w:tblPr>
        <w:tblStyle w:val="11"/>
        <w:tblW w:w="8504" w:type="dxa"/>
        <w:jc w:val="center"/>
        <w:tblBorders>
          <w:top w:val="single" w:color="888888" w:sz="4" w:space="0"/>
          <w:left w:val="single" w:color="888888" w:sz="4" w:space="0"/>
          <w:bottom w:val="single" w:color="888888" w:sz="4" w:space="0"/>
          <w:right w:val="single" w:color="888888" w:sz="4" w:space="0"/>
          <w:insideH w:val="single" w:color="888888" w:sz="4" w:space="0"/>
          <w:insideV w:val="single" w:color="888888" w:sz="4" w:space="0"/>
        </w:tblBorders>
        <w:tblLayout w:type="fixed"/>
        <w:tblCellMar>
          <w:top w:w="35" w:type="dxa"/>
          <w:left w:w="72" w:type="dxa"/>
          <w:bottom w:w="35" w:type="dxa"/>
          <w:right w:w="72" w:type="dxa"/>
        </w:tblCellMar>
      </w:tblPr>
      <w:tblGrid>
        <w:gridCol w:w="1814"/>
        <w:gridCol w:w="6690"/>
      </w:tblGrid>
      <w:tr w14:paraId="71C76C31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EDEDED"/>
            <w:vAlign w:val="center"/>
          </w:tcPr>
          <w:p w14:paraId="1E6372D5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类别</w:t>
            </w:r>
          </w:p>
        </w:tc>
        <w:tc>
          <w:tcPr>
            <w:tcW w:w="6690" w:type="dxa"/>
            <w:shd w:val="clear" w:color="auto" w:fill="EDEDED"/>
            <w:vAlign w:val="center"/>
          </w:tcPr>
          <w:p w14:paraId="68391AD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b/>
                <w:color w:val="000000"/>
              </w:rPr>
              <w:t>方案基线与核验动作</w:t>
            </w:r>
          </w:p>
        </w:tc>
      </w:tr>
      <w:tr w14:paraId="71216EEB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A8E7596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人员与封面</w:t>
            </w:r>
          </w:p>
        </w:tc>
        <w:tc>
          <w:tcPr>
            <w:tcW w:w="6690" w:type="dxa"/>
            <w:vAlign w:val="center"/>
          </w:tcPr>
          <w:p w14:paraId="1641B09F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团队名</w:t>
            </w:r>
            <w:r>
              <w:rPr>
                <w:rFonts w:hint="eastAsia" w:ascii="宋体" w:hAnsi="宋体" w:cs="宋体"/>
                <w:color w:val="000000"/>
              </w:rPr>
              <w:t>TokenMaxxing</w:t>
            </w:r>
            <w:r>
              <w:rPr>
                <w:rFonts w:ascii="宋体" w:hAnsi="宋体" w:cs="宋体"/>
                <w:color w:val="000000"/>
              </w:rPr>
              <w:t>，4人岗位及计划份额已定</w:t>
            </w:r>
          </w:p>
        </w:tc>
      </w:tr>
      <w:tr w14:paraId="662F5127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AA91F3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器材</w:t>
            </w:r>
          </w:p>
        </w:tc>
        <w:tc>
          <w:tcPr>
            <w:tcW w:w="6690" w:type="dxa"/>
            <w:vAlign w:val="center"/>
          </w:tcPr>
          <w:p w14:paraId="351E4AF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表B-1已定1套设计选型与220元预算；实购物料核对电压、接口、保护与手动释放</w:t>
            </w:r>
          </w:p>
        </w:tc>
      </w:tr>
      <w:tr w14:paraId="204BC36E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0493A6E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调研</w:t>
            </w:r>
          </w:p>
        </w:tc>
        <w:tc>
          <w:tcPr>
            <w:tcW w:w="6690" w:type="dxa"/>
            <w:vAlign w:val="center"/>
          </w:tcPr>
          <w:p w14:paraId="54537210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2间房、5个账号为模拟场景；未声明真实调查完成，需实地结论时另附原始记录</w:t>
            </w:r>
          </w:p>
        </w:tc>
      </w:tr>
      <w:tr w14:paraId="2B62C99D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59510DB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原型</w:t>
            </w:r>
          </w:p>
        </w:tc>
        <w:tc>
          <w:tcPr>
            <w:tcW w:w="6690" w:type="dxa"/>
            <w:vAlign w:val="center"/>
          </w:tcPr>
          <w:p w14:paraId="12B45663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技术栈、安全要求与审核规则参数已定；建立仓库、锁定补丁版本、登记许可证并按用例开发</w:t>
            </w:r>
            <w:bookmarkStart w:id="0" w:name="_GoBack"/>
            <w:bookmarkEnd w:id="0"/>
          </w:p>
        </w:tc>
      </w:tr>
      <w:tr w14:paraId="68B37EAF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7DD67FA">
            <w:pPr>
              <w:keepNext/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工时与费用</w:t>
            </w:r>
          </w:p>
        </w:tc>
        <w:tc>
          <w:tcPr>
            <w:tcW w:w="6690" w:type="dxa"/>
            <w:vAlign w:val="center"/>
          </w:tcPr>
          <w:p w14:paraId="53EA906D">
            <w:pPr>
              <w:keepNext/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960人时容量、940人时需求、一次性300元和学期运行20元；实际支出凭记录更新</w:t>
            </w:r>
          </w:p>
        </w:tc>
      </w:tr>
      <w:tr w14:paraId="459316C3">
        <w:tblPrEx>
          <w:tblBorders>
            <w:top w:val="single" w:color="888888" w:sz="4" w:space="0"/>
            <w:left w:val="single" w:color="888888" w:sz="4" w:space="0"/>
            <w:bottom w:val="single" w:color="888888" w:sz="4" w:space="0"/>
            <w:right w:val="single" w:color="888888" w:sz="4" w:space="0"/>
            <w:insideH w:val="single" w:color="888888" w:sz="4" w:space="0"/>
            <w:insideV w:val="single" w:color="888888" w:sz="4" w:space="0"/>
          </w:tblBorders>
          <w:tblCellMar>
            <w:top w:w="35" w:type="dxa"/>
            <w:left w:w="72" w:type="dxa"/>
            <w:bottom w:w="35" w:type="dxa"/>
            <w:right w:w="72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90FFEA7">
            <w:pPr>
              <w:spacing w:before="40" w:after="40" w:line="264" w:lineRule="auto"/>
              <w:jc w:val="left"/>
            </w:pPr>
            <w:r>
              <w:rPr>
                <w:rFonts w:ascii="宋体" w:hAnsi="宋体" w:cs="宋体"/>
                <w:color w:val="000000"/>
              </w:rPr>
              <w:t>测试</w:t>
            </w:r>
          </w:p>
        </w:tc>
        <w:tc>
          <w:tcPr>
            <w:tcW w:w="6690" w:type="dxa"/>
            <w:vAlign w:val="center"/>
          </w:tcPr>
          <w:p w14:paraId="05A928E9">
            <w:pPr>
              <w:spacing w:before="40" w:after="40" w:line="264" w:lineRule="auto"/>
              <w:jc w:val="left"/>
            </w:pPr>
            <w:r>
              <w:rPr>
                <w:rFonts w:hint="eastAsia" w:ascii="宋体" w:hAnsi="宋体" w:cs="宋体"/>
              </w:rPr>
              <w:t>依3.2及4.1节验收规则判定、阈值转人工、信用扣分与申诉、教师覆盖、签到边界、再次开门、撤权、旧指令、断网与电气故障；未测试不记通过</w:t>
            </w:r>
          </w:p>
        </w:tc>
      </w:tr>
    </w:tbl>
    <w:p w14:paraId="36DCFF72">
      <w:pPr>
        <w:tabs>
          <w:tab w:val="left" w:pos="5970"/>
        </w:tabs>
        <w:spacing w:line="60" w:lineRule="exact"/>
        <w:rPr>
          <w:rFonts w:hint="eastAsia" w:ascii="宋体" w:hAnsi="宋体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99362">
    <w:pPr>
      <w:pStyle w:val="7"/>
      <w:jc w:val="center"/>
    </w:pPr>
    <w:r>
      <w:rPr>
        <w:rFonts w:ascii="宋体" w:hAnsi="宋体" w:cs="宋体"/>
      </w:rPr>
      <w:fldChar w:fldCharType="begin"/>
    </w:r>
    <w:r>
      <w:rPr>
        <w:rFonts w:ascii="宋体" w:hAnsi="宋体" w:cs="宋体"/>
      </w:rPr>
      <w:instrText xml:space="preserve"> PAGE  \* MERGEFORMAT </w:instrText>
    </w:r>
    <w:r>
      <w:rPr>
        <w:rFonts w:ascii="宋体" w:hAnsi="宋体" w:cs="宋体"/>
      </w:rPr>
      <w:fldChar w:fldCharType="separate"/>
    </w:r>
    <w:r>
      <w:rPr>
        <w:rFonts w:ascii="宋体" w:hAnsi="宋体" w:cs="宋体"/>
      </w:rPr>
      <w:t>1</w:t>
    </w:r>
    <w:r>
      <w:rPr>
        <w:rFonts w:ascii="宋体" w:hAnsi="宋体" w:cs="宋体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5FB069">
    <w:pPr>
      <w:pStyle w:val="7"/>
      <w:jc w:val="center"/>
    </w:pPr>
    <w:r>
      <w:rPr>
        <w:rFonts w:ascii="宋体" w:hAnsi="宋体" w:cs="宋体"/>
      </w:rPr>
      <w:fldChar w:fldCharType="begin"/>
    </w:r>
    <w:r>
      <w:rPr>
        <w:rFonts w:ascii="宋体" w:hAnsi="宋体" w:cs="宋体"/>
      </w:rPr>
      <w:instrText xml:space="preserve"> PAGE  \* MERGEFORMAT </w:instrText>
    </w:r>
    <w:r>
      <w:rPr>
        <w:rFonts w:ascii="宋体" w:hAnsi="宋体" w:cs="宋体"/>
      </w:rPr>
      <w:fldChar w:fldCharType="separate"/>
    </w:r>
    <w:r>
      <w:rPr>
        <w:rFonts w:ascii="宋体" w:hAnsi="宋体" w:cs="宋体"/>
      </w:rPr>
      <w:t>1</w:t>
    </w:r>
    <w:r>
      <w:rPr>
        <w:rFonts w:ascii="宋体" w:hAnsi="宋体" w:cs="宋体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5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">
    <w:nsid w:val="1A305B84"/>
    <w:multiLevelType w:val="multilevel"/>
    <w:tmpl w:val="1A305B84"/>
    <w:lvl w:ilvl="0" w:tentative="0">
      <w:start w:val="1"/>
      <w:numFmt w:val="chineseCountingThousand"/>
      <w:lvlText w:val="%1、"/>
      <w:lvlJc w:val="left"/>
      <w:pPr>
        <w:tabs>
          <w:tab w:val="left" w:pos="420"/>
        </w:tabs>
        <w:ind w:left="420" w:hanging="420"/>
      </w:pPr>
      <w:rPr>
        <w:rFonts w:eastAsia="宋体"/>
        <w:b/>
        <w:bCs/>
        <w:kern w:val="44"/>
        <w:sz w:val="30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43322375"/>
    <w:multiLevelType w:val="multilevel"/>
    <w:tmpl w:val="43322375"/>
    <w:lvl w:ilvl="0" w:tentative="0">
      <w:start w:val="1"/>
      <w:numFmt w:val="bullet"/>
      <w:lvlText w:val="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49D701B7"/>
    <w:multiLevelType w:val="multilevel"/>
    <w:tmpl w:val="49D701B7"/>
    <w:lvl w:ilvl="0" w:tentative="0">
      <w:start w:val="1"/>
      <w:numFmt w:val="bullet"/>
      <w:lvlText w:val="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4">
    <w:nsid w:val="516556B5"/>
    <w:multiLevelType w:val="multilevel"/>
    <w:tmpl w:val="516556B5"/>
    <w:lvl w:ilvl="0" w:tentative="0">
      <w:start w:val="1"/>
      <w:numFmt w:val="decimal"/>
      <w:lvlText w:val="%1."/>
      <w:lvlJc w:val="left"/>
      <w:pPr>
        <w:ind w:left="900" w:hanging="420"/>
      </w:pPr>
      <w:rPr>
        <w:rFonts w:hint="eastAsia"/>
        <w:b w:val="0"/>
        <w:i w:val="0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  <w:lvlOverride w:ilvl="0">
      <w:lvl w:ilvl="0" w:tentative="1">
        <w:start w:val="1"/>
        <w:numFmt w:val="chineseCountingThousand"/>
        <w:pStyle w:val="15"/>
        <w:lvlText w:val="%1、"/>
        <w:lvlJc w:val="left"/>
        <w:pPr>
          <w:tabs>
            <w:tab w:val="left" w:pos="420"/>
          </w:tabs>
          <w:ind w:left="420" w:hanging="420"/>
        </w:pPr>
        <w:rPr>
          <w:rFonts w:eastAsia="宋体"/>
          <w:b/>
          <w:bCs/>
          <w:kern w:val="44"/>
          <w:sz w:val="3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tabs>
            <w:tab w:val="left" w:pos="840"/>
          </w:tabs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tabs>
            <w:tab w:val="left" w:pos="1260"/>
          </w:tabs>
          <w:ind w:left="1260" w:hanging="42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left" w:pos="1680"/>
          </w:tabs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tabs>
            <w:tab w:val="left" w:pos="2100"/>
          </w:tabs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tabs>
            <w:tab w:val="left" w:pos="2520"/>
          </w:tabs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left" w:pos="2940"/>
          </w:tabs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tabs>
            <w:tab w:val="left" w:pos="3360"/>
          </w:tabs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tabs>
            <w:tab w:val="left" w:pos="3780"/>
          </w:tabs>
          <w:ind w:left="3780" w:hanging="420"/>
        </w:pPr>
      </w:lvl>
    </w:lvlOverride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2A3F"/>
    <w:rsid w:val="00011701"/>
    <w:rsid w:val="00016720"/>
    <w:rsid w:val="000319F3"/>
    <w:rsid w:val="00052A3F"/>
    <w:rsid w:val="0006512E"/>
    <w:rsid w:val="0006742A"/>
    <w:rsid w:val="000B63CA"/>
    <w:rsid w:val="000C3882"/>
    <w:rsid w:val="000E1A06"/>
    <w:rsid w:val="001364ED"/>
    <w:rsid w:val="00177645"/>
    <w:rsid w:val="001C0CA0"/>
    <w:rsid w:val="001D1A6E"/>
    <w:rsid w:val="002527EE"/>
    <w:rsid w:val="002717A7"/>
    <w:rsid w:val="0029447A"/>
    <w:rsid w:val="002B144D"/>
    <w:rsid w:val="002B2AF0"/>
    <w:rsid w:val="002B59C2"/>
    <w:rsid w:val="002C327F"/>
    <w:rsid w:val="002D01F1"/>
    <w:rsid w:val="002F4EBE"/>
    <w:rsid w:val="002F6FAE"/>
    <w:rsid w:val="00324995"/>
    <w:rsid w:val="00376917"/>
    <w:rsid w:val="003813BB"/>
    <w:rsid w:val="00393D4C"/>
    <w:rsid w:val="003B031F"/>
    <w:rsid w:val="00415411"/>
    <w:rsid w:val="004F1503"/>
    <w:rsid w:val="004F7B9C"/>
    <w:rsid w:val="00525E78"/>
    <w:rsid w:val="00535A82"/>
    <w:rsid w:val="00562439"/>
    <w:rsid w:val="00562766"/>
    <w:rsid w:val="005B234A"/>
    <w:rsid w:val="005C59B6"/>
    <w:rsid w:val="005C6E23"/>
    <w:rsid w:val="005D49D5"/>
    <w:rsid w:val="006503EE"/>
    <w:rsid w:val="00655862"/>
    <w:rsid w:val="00667E04"/>
    <w:rsid w:val="00681C46"/>
    <w:rsid w:val="006C2355"/>
    <w:rsid w:val="006D6C8B"/>
    <w:rsid w:val="006E33A8"/>
    <w:rsid w:val="006E3553"/>
    <w:rsid w:val="0072021F"/>
    <w:rsid w:val="00725D40"/>
    <w:rsid w:val="00734551"/>
    <w:rsid w:val="007435B8"/>
    <w:rsid w:val="00785C47"/>
    <w:rsid w:val="00794952"/>
    <w:rsid w:val="007B1656"/>
    <w:rsid w:val="007F6D07"/>
    <w:rsid w:val="0080310A"/>
    <w:rsid w:val="00833F4F"/>
    <w:rsid w:val="008365D0"/>
    <w:rsid w:val="00860E5F"/>
    <w:rsid w:val="00875A5D"/>
    <w:rsid w:val="00885CEC"/>
    <w:rsid w:val="008C5C63"/>
    <w:rsid w:val="008F6BDC"/>
    <w:rsid w:val="00913008"/>
    <w:rsid w:val="0095030B"/>
    <w:rsid w:val="009509C6"/>
    <w:rsid w:val="009D7569"/>
    <w:rsid w:val="009F23EE"/>
    <w:rsid w:val="00A04086"/>
    <w:rsid w:val="00A31FB0"/>
    <w:rsid w:val="00A35950"/>
    <w:rsid w:val="00A85F8E"/>
    <w:rsid w:val="00AD0DA6"/>
    <w:rsid w:val="00AD1897"/>
    <w:rsid w:val="00AD4307"/>
    <w:rsid w:val="00AF38D1"/>
    <w:rsid w:val="00AF7774"/>
    <w:rsid w:val="00B077F2"/>
    <w:rsid w:val="00B31AA3"/>
    <w:rsid w:val="00B60037"/>
    <w:rsid w:val="00B8623D"/>
    <w:rsid w:val="00BA0078"/>
    <w:rsid w:val="00BB117D"/>
    <w:rsid w:val="00BB372B"/>
    <w:rsid w:val="00BD4206"/>
    <w:rsid w:val="00C37206"/>
    <w:rsid w:val="00C47180"/>
    <w:rsid w:val="00C607F0"/>
    <w:rsid w:val="00C74069"/>
    <w:rsid w:val="00C93D6D"/>
    <w:rsid w:val="00CC5085"/>
    <w:rsid w:val="00D44F12"/>
    <w:rsid w:val="00D52B85"/>
    <w:rsid w:val="00D70CD6"/>
    <w:rsid w:val="00DB4549"/>
    <w:rsid w:val="00DB777B"/>
    <w:rsid w:val="00DD2ACF"/>
    <w:rsid w:val="00DD65F1"/>
    <w:rsid w:val="00E4741E"/>
    <w:rsid w:val="00E6404E"/>
    <w:rsid w:val="00E73292"/>
    <w:rsid w:val="00E736FF"/>
    <w:rsid w:val="00E7783C"/>
    <w:rsid w:val="00E8454E"/>
    <w:rsid w:val="00E85D29"/>
    <w:rsid w:val="00EC39DF"/>
    <w:rsid w:val="00EC7453"/>
    <w:rsid w:val="00EE189B"/>
    <w:rsid w:val="00EE30FA"/>
    <w:rsid w:val="00EF1734"/>
    <w:rsid w:val="00F449C9"/>
    <w:rsid w:val="00F563DA"/>
    <w:rsid w:val="00F86671"/>
    <w:rsid w:val="00FA3590"/>
    <w:rsid w:val="00FF419B"/>
    <w:rsid w:val="00FF49BA"/>
    <w:rsid w:val="02344912"/>
    <w:rsid w:val="0C125D4E"/>
    <w:rsid w:val="13B23539"/>
    <w:rsid w:val="13C36AF0"/>
    <w:rsid w:val="14A76FE8"/>
    <w:rsid w:val="1D3C6C7A"/>
    <w:rsid w:val="2068080A"/>
    <w:rsid w:val="26026063"/>
    <w:rsid w:val="293E6310"/>
    <w:rsid w:val="2B835AD8"/>
    <w:rsid w:val="3865190B"/>
    <w:rsid w:val="3DC464E5"/>
    <w:rsid w:val="4AB71922"/>
    <w:rsid w:val="500457CC"/>
    <w:rsid w:val="5BE8011F"/>
    <w:rsid w:val="667B6388"/>
    <w:rsid w:val="6CC97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beforeLines="100" w:after="100" w:afterLines="100"/>
      <w:jc w:val="center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0" w:beforeLines="100" w:after="100" w:afterLines="100"/>
      <w:jc w:val="left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00" w:beforeLines="100" w:after="100" w:afterLines="100"/>
      <w:ind w:firstLine="420" w:firstLineChars="200"/>
      <w:jc w:val="left"/>
      <w:outlineLvl w:val="2"/>
    </w:pPr>
    <w:rPr>
      <w:rFonts w:eastAsia="黑体"/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">
    <w:name w:val="Balloon Text"/>
    <w:basedOn w:val="1"/>
    <w:semiHidden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10">
    <w:name w:val="Title"/>
    <w:basedOn w:val="1"/>
    <w:next w:val="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qFormat/>
    <w:uiPriority w:val="0"/>
    <w:rPr>
      <w:color w:val="0000FF"/>
      <w:u w:val="single"/>
    </w:rPr>
  </w:style>
  <w:style w:type="paragraph" w:customStyle="1" w:styleId="15">
    <w:name w:val="样式1"/>
    <w:basedOn w:val="5"/>
    <w:autoRedefine/>
    <w:qFormat/>
    <w:uiPriority w:val="0"/>
    <w:pPr>
      <w:numPr>
        <w:ilvl w:val="0"/>
        <w:numId w:val="2"/>
      </w:numPr>
      <w:ind w:firstLine="0" w:firstLineChars="0"/>
    </w:pPr>
    <w:rPr>
      <w:b/>
      <w:sz w:val="28"/>
      <w:szCs w:val="2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www.ftpdown.com</Company>
  <Pages>36</Pages>
  <Words>92</Words>
  <Characters>123</Characters>
  <Lines>1291</Lines>
  <Paragraphs>809</Paragraphs>
  <TotalTime>23</TotalTime>
  <ScaleCrop>false</ScaleCrop>
  <LinksUpToDate>false</LinksUpToDate>
  <CharactersWithSpaces>245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2026-09-27T03:27:00Z</dcterms:created>
  <dc:creator>FtpDown</dc:creator>
  <cp:lastModifiedBy>微信用户</cp:lastModifiedBy>
  <cp:lastPrinted>2006-03-24T06:16:00Z</cp:lastPrinted>
  <dcterms:modified xsi:type="dcterms:W3CDTF">2026-10-20T04:19:23Z</dcterms:modified>
  <dc:title> 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eyJoZGlkIjoiZWNjMzc2Yzc1OTgzZTdlNzkxMzZiYzI2ZjJiYzc5NDciLCJ1c2VySWQiOiIxMjM3NjUyNjU1In0=</vt:lpwstr>
  </property>
  <property fmtid="{D5CDD505-2E9C-101B-9397-08002B2CF9AE}" pid="3" name="KSOProductBuildVer">
    <vt:lpwstr>2052-12.1.0.28505</vt:lpwstr>
  </property>
  <property fmtid="{D5CDD505-2E9C-101B-9397-08002B2CF9AE}" pid="4" name="ICV">
    <vt:lpwstr>170F6A3BBA3F450EB74F03152D79437D_12</vt:lpwstr>
  </property>
</Properties>
</file>