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456FA07C" Type="http://schemas.openxmlformats.org/officeDocument/2006/relationships/officeDocument" Target="/word/document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tbl>
      <w:tblPr>
        <w:tblW w:w="14780" w:type="dxa"/>
        <w:tblLook w:val="04A0"/>
      </w:tblPr>
      <w:tblGrid/>
      <w:tr>
        <w:trPr>
          <w:trHeight w:hRule="atLeast" w:val="486"/>
        </w:trPr>
        <w:tc>
          <w:tcPr>
            <w:tcW w:w="14780" w:type="dxa"/>
            <w:gridSpan w:val="2"/>
            <w:tcBorders>
              <w:top w:val="single" w:sz="4" w:space="0" w:shadow="0" w:frame="0" w:color="auto"/>
              <w:left w:val="single" w:sz="4" w:space="0" w:shadow="0" w:frame="0" w:color="auto"/>
              <w:bottom w:val="single" w:sz="4" w:space="0" w:shadow="0" w:frame="0" w:color="auto"/>
              <w:right w:val="single" w:sz="4" w:space="0" w:shadow="0" w:frame="0" w:color="auto"/>
            </w:tcBorders>
            <w:noWrap/>
            <w:vAlign w:val="center"/>
            <w:hideMark/>
          </w:tcPr>
          <w:p>
            <w:pPr>
              <w:jc w:val="center"/>
              <w:rPr>
                <w:rFonts w:ascii="Calibri" w:hAnsi="Calibri"/>
                <w:b w:val="1"/>
                <w:color w:val="000000"/>
                <w:shd w:val="clear" w:fill="FFFF00"/>
              </w:rPr>
            </w:pPr>
            <w:r>
              <w:rPr>
                <w:rFonts w:ascii="Calibri" w:hAnsi="Calibri"/>
                <w:b w:val="1"/>
                <w:color w:val="000000"/>
                <w:shd w:val="clear" w:fill="FFFF00"/>
              </w:rPr>
              <w:t>Описание потоков вариантов использования (Description of use case flows)</w:t>
            </w:r>
          </w:p>
        </w:tc>
      </w:tr>
      <w:tr>
        <w:trPr>
          <w:trHeight w:hRule="atLeast" w:val="389"/>
        </w:trPr>
        <w:tc>
          <w:tcPr>
            <w:tcW w:w="3625" w:type="dxa"/>
            <w:tcBorders>
              <w:top w:val="nil"/>
              <w:left w:val="single" w:sz="4" w:space="0" w:shadow="0" w:frame="0" w:color="auto"/>
              <w:bottom w:val="single" w:sz="4" w:space="0" w:shadow="0" w:frame="0" w:color="auto"/>
              <w:right w:val="single" w:sz="4" w:space="0" w:shadow="0" w:frame="0" w:color="auto"/>
            </w:tcBorders>
            <w:shd w:val="clear" w:color="auto" w:fill="EDEDED"/>
            <w:vAlign w:val="center"/>
            <w:hideMark/>
          </w:tcPr>
          <w:p>
            <w:pPr>
              <w:rPr>
                <w:rFonts w:ascii="Calibri" w:hAnsi="Calibri"/>
                <w:b w:val="1"/>
                <w:color w:val="000000"/>
              </w:rPr>
            </w:pPr>
            <w:r>
              <w:rPr>
                <w:rFonts w:ascii="Calibri" w:hAnsi="Calibri"/>
                <w:b w:val="1"/>
                <w:color w:val="000000"/>
              </w:rPr>
              <w:t>Пункты</w:t>
            </w:r>
          </w:p>
        </w:tc>
        <w:tc>
          <w:tcPr>
            <w:tcW w:w="11154" w:type="dxa"/>
            <w:tcBorders>
              <w:top w:val="nil"/>
              <w:left w:val="nil"/>
              <w:bottom w:val="single" w:sz="4" w:space="0" w:shadow="0" w:frame="0" w:color="auto"/>
              <w:right w:val="single" w:sz="4" w:space="0" w:shadow="0" w:frame="0" w:color="auto"/>
            </w:tcBorders>
            <w:shd w:val="clear" w:color="auto" w:fill="EDEDED"/>
            <w:vAlign w:val="center"/>
            <w:hideMark/>
          </w:tcPr>
          <w:p>
            <w:pPr>
              <w:rPr>
                <w:rFonts w:ascii="Calibri" w:hAnsi="Calibri"/>
                <w:b w:val="1"/>
                <w:color w:val="000000"/>
              </w:rPr>
            </w:pPr>
            <w:r>
              <w:rPr>
                <w:rFonts w:ascii="Calibri" w:hAnsi="Calibri"/>
                <w:b w:val="1"/>
                <w:color w:val="000000"/>
              </w:rPr>
              <w:t>Описание</w:t>
            </w:r>
          </w:p>
        </w:tc>
      </w:tr>
      <w:tr>
        <w:trPr>
          <w:trHeight w:hRule="atLeast" w:val="389"/>
        </w:trPr>
        <w:tc>
          <w:tcPr>
            <w:tcW w:w="3625" w:type="dxa"/>
            <w:tcBorders>
              <w:top w:val="nil"/>
              <w:left w:val="single" w:sz="4" w:space="0" w:shadow="0" w:frame="0" w:color="auto"/>
              <w:bottom w:val="single" w:sz="4" w:space="0" w:shadow="0" w:frame="0" w:color="auto"/>
              <w:right w:val="single" w:sz="4" w:space="0" w:shadow="0" w:frame="0" w:color="auto"/>
            </w:tcBorders>
            <w:vAlign w:val="center"/>
            <w:hideMark/>
          </w:tcPr>
          <w:p>
            <w:pPr>
              <w:rPr>
                <w:rFonts w:ascii="Calibri" w:hAnsi="Calibri"/>
                <w:b w:val="1"/>
                <w:color w:val="000000"/>
              </w:rPr>
            </w:pPr>
            <w:r>
              <w:rPr>
                <w:rFonts w:ascii="Calibri" w:hAnsi="Calibri"/>
                <w:b w:val="1"/>
                <w:color w:val="000000"/>
              </w:rPr>
              <w:t>Название UС</w:t>
            </w:r>
          </w:p>
        </w:tc>
        <w:tc>
          <w:tcPr>
            <w:tcW w:w="11154" w:type="dxa"/>
            <w:tcBorders>
              <w:top w:val="nil"/>
              <w:left w:val="nil"/>
              <w:bottom w:val="single" w:sz="4" w:space="0" w:shadow="0" w:frame="0" w:color="auto"/>
              <w:right w:val="single" w:sz="4" w:space="0" w:shadow="0" w:frame="0" w:color="auto"/>
            </w:tcBorders>
            <w:vAlign w:val="bottom"/>
            <w:hideMark/>
          </w:tcPr>
          <w:p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Ведение расписания мастеров и списка услуг </w:t>
            </w:r>
          </w:p>
        </w:tc>
      </w:tr>
      <w:tr>
        <w:trPr>
          <w:trHeight w:hRule="atLeast" w:val="389"/>
        </w:trPr>
        <w:tc>
          <w:tcPr>
            <w:tcW w:w="3625" w:type="dxa"/>
            <w:tcBorders>
              <w:top w:val="nil"/>
              <w:left w:val="single" w:sz="4" w:space="0" w:shadow="0" w:frame="0" w:color="auto"/>
              <w:bottom w:val="single" w:sz="4" w:space="0" w:shadow="0" w:frame="0" w:color="auto"/>
              <w:right w:val="single" w:sz="4" w:space="0" w:shadow="0" w:frame="0" w:color="auto"/>
            </w:tcBorders>
            <w:vAlign w:val="center"/>
            <w:hideMark/>
          </w:tcPr>
          <w:p>
            <w:pPr>
              <w:rPr>
                <w:rFonts w:ascii="Calibri" w:hAnsi="Calibri"/>
                <w:b w:val="1"/>
                <w:color w:val="000000"/>
              </w:rPr>
            </w:pPr>
            <w:r>
              <w:rPr>
                <w:rFonts w:ascii="Calibri" w:hAnsi="Calibri"/>
                <w:b w:val="1"/>
                <w:color w:val="000000"/>
              </w:rPr>
              <w:t>Идентификатор</w:t>
            </w:r>
          </w:p>
        </w:tc>
        <w:tc>
          <w:tcPr>
            <w:tcW w:w="11154" w:type="dxa"/>
            <w:tcBorders>
              <w:top w:val="nil"/>
              <w:left w:val="nil"/>
              <w:bottom w:val="single" w:sz="4" w:space="0" w:shadow="0" w:frame="0" w:color="auto"/>
              <w:right w:val="single" w:sz="4" w:space="0" w:shadow="0" w:frame="0" w:color="auto"/>
            </w:tcBorders>
            <w:vAlign w:val="bottom"/>
            <w:hideMark/>
          </w:tcPr>
          <w:p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UC-001</w:t>
            </w:r>
          </w:p>
        </w:tc>
      </w:tr>
      <w:tr>
        <w:trPr>
          <w:trHeight w:hRule="atLeast" w:val="1410"/>
        </w:trPr>
        <w:tc>
          <w:tcPr>
            <w:tcW w:w="3625" w:type="dxa"/>
            <w:tcBorders>
              <w:top w:val="nil"/>
              <w:left w:val="single" w:sz="4" w:space="0" w:shadow="0" w:frame="0" w:color="auto"/>
              <w:bottom w:val="single" w:sz="4" w:space="0" w:shadow="0" w:frame="0" w:color="auto"/>
              <w:right w:val="single" w:sz="4" w:space="0" w:shadow="0" w:frame="0" w:color="auto"/>
            </w:tcBorders>
            <w:vAlign w:val="center"/>
            <w:hideMark/>
          </w:tcPr>
          <w:p>
            <w:pPr>
              <w:rPr>
                <w:rFonts w:ascii="Calibri" w:hAnsi="Calibri"/>
                <w:b w:val="1"/>
                <w:color w:val="000000"/>
              </w:rPr>
            </w:pPr>
            <w:r>
              <w:rPr>
                <w:rFonts w:ascii="Calibri" w:hAnsi="Calibri"/>
                <w:b w:val="1"/>
                <w:color w:val="000000"/>
              </w:rPr>
              <w:t xml:space="preserve">Основной сценарий </w:t>
            </w:r>
          </w:p>
        </w:tc>
        <w:tc>
          <w:tcPr>
            <w:tcW w:w="11154" w:type="dxa"/>
            <w:tcBorders>
              <w:top w:val="nil"/>
              <w:left w:val="nil"/>
              <w:bottom w:val="single" w:sz="4" w:space="0" w:shadow="0" w:frame="0" w:color="auto"/>
              <w:right w:val="single" w:sz="4" w:space="0" w:shadow="0" w:frame="0" w:color="auto"/>
            </w:tcBorders>
            <w:vAlign w:val="bottom"/>
            <w:hideMark/>
          </w:tcPr>
          <w:p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1. Менеджер открывает раздел управления расписанием и услугами мастеров. </w:t>
              <w:br w:type="textWrapping"/>
              <w:t>2. Система предоставляет менеджеру текущие данные по расписанию мастера и его услуг.</w:t>
              <w:br w:type="textWrapping"/>
              <w:t xml:space="preserve">3. Менеджер вносит изменения в расписание и в список услуг. </w:t>
              <w:br w:type="textWrapping"/>
              <w:t>4. Система подтверждает успешное обновление расписания и услуг.</w:t>
            </w:r>
          </w:p>
        </w:tc>
      </w:tr>
      <w:tr>
        <w:trPr>
          <w:trHeight w:hRule="atLeast" w:val="2820"/>
        </w:trPr>
        <w:tc>
          <w:tcPr>
            <w:tcW w:w="3625" w:type="dxa"/>
            <w:tcBorders>
              <w:top w:val="nil"/>
              <w:left w:val="single" w:sz="4" w:space="0" w:shadow="0" w:frame="0" w:color="auto"/>
              <w:bottom w:val="single" w:sz="4" w:space="0" w:shadow="0" w:frame="0" w:color="auto"/>
              <w:right w:val="single" w:sz="4" w:space="0" w:shadow="0" w:frame="0" w:color="auto"/>
            </w:tcBorders>
            <w:vAlign w:val="center"/>
            <w:hideMark/>
          </w:tcPr>
          <w:p>
            <w:pPr>
              <w:rPr>
                <w:rFonts w:ascii="Calibri" w:hAnsi="Calibri"/>
                <w:b w:val="1"/>
                <w:color w:val="000000"/>
              </w:rPr>
            </w:pPr>
            <w:r>
              <w:rPr>
                <w:rFonts w:ascii="Calibri" w:hAnsi="Calibri"/>
                <w:b w:val="1"/>
                <w:color w:val="000000"/>
              </w:rPr>
              <w:t>Альтернативные сценарии</w:t>
            </w:r>
          </w:p>
        </w:tc>
        <w:tc>
          <w:tcPr>
            <w:tcW w:w="11154" w:type="dxa"/>
            <w:tcBorders>
              <w:top w:val="nil"/>
              <w:left w:val="nil"/>
              <w:bottom w:val="single" w:sz="4" w:space="0" w:shadow="0" w:frame="0" w:color="auto"/>
              <w:right w:val="single" w:sz="4" w:space="0" w:shadow="0" w:frame="0" w:color="auto"/>
            </w:tcBorders>
            <w:vAlign w:val="bottom"/>
            <w:hideMark/>
          </w:tcPr>
          <w:p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3a. Ошибка ввода данных о мастере и услугах </w:t>
              <w:br w:type="textWrapping"/>
              <w:t xml:space="preserve">3a.1. Система сообщает менеджеру о некорректных или неполных данных. </w:t>
              <w:br w:type="textWrapping"/>
              <w:t xml:space="preserve">3a.2. Менеджер корректирует введенные данные. </w:t>
              <w:br w:type="textWrapping"/>
              <w:t>3a.3. Возврат к шагу 4 основного сценария.</w:t>
              <w:br w:type="textWrapping"/>
              <w:br w:type="textWrapping"/>
              <w:t xml:space="preserve">3б. Ошибка ввода расписания </w:t>
              <w:br w:type="textWrapping"/>
              <w:t xml:space="preserve">3б.1. Система сообщает менеджеру об ошибке в расписании. </w:t>
              <w:br w:type="textWrapping"/>
              <w:t xml:space="preserve">3б.2. Менеджер корректирует расписание. </w:t>
              <w:br w:type="textWrapping"/>
              <w:t>3б.3. Возврат к шагу 4 основного сценария.</w:t>
            </w:r>
          </w:p>
        </w:tc>
      </w:tr>
      <w:tr>
        <w:trPr>
          <w:trHeight w:hRule="atLeast" w:val="552"/>
        </w:trPr>
        <w:tc>
          <w:tcPr>
            <w:tcW w:w="3625" w:type="dxa"/>
            <w:tcBorders>
              <w:top w:val="nil"/>
              <w:left w:val="single" w:sz="4" w:space="0" w:shadow="0" w:frame="0" w:color="auto"/>
              <w:bottom w:val="single" w:sz="4" w:space="0" w:shadow="0" w:frame="0" w:color="auto"/>
              <w:right w:val="single" w:sz="4" w:space="0" w:shadow="0" w:frame="0" w:color="auto"/>
            </w:tcBorders>
            <w:vAlign w:val="center"/>
            <w:hideMark/>
          </w:tcPr>
          <w:p>
            <w:pPr>
              <w:rPr>
                <w:rFonts w:ascii="Calibri" w:hAnsi="Calibri"/>
                <w:b w:val="1"/>
              </w:rPr>
            </w:pPr>
            <w:r>
              <w:rPr>
                <w:rFonts w:ascii="Calibri" w:hAnsi="Calibri"/>
                <w:b w:val="1"/>
              </w:rPr>
              <w:t>Дополнительно</w:t>
            </w:r>
          </w:p>
        </w:tc>
        <w:tc>
          <w:tcPr>
            <w:tcW w:w="11154" w:type="dxa"/>
            <w:tcBorders>
              <w:top w:val="nil"/>
              <w:left w:val="nil"/>
              <w:bottom w:val="single" w:sz="4" w:space="0" w:shadow="0" w:frame="0" w:color="auto"/>
              <w:right w:val="single" w:sz="4" w:space="0" w:shadow="0" w:frame="0" w:color="auto"/>
            </w:tcBorders>
            <w:vAlign w:val="bottom"/>
            <w:hideMark/>
          </w:tcPr>
          <w:p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-</w:t>
            </w:r>
          </w:p>
        </w:tc>
      </w:tr>
    </w:tbl>
    <w:p/>
    <w:p/>
    <w:sectPr>
      <w:type w:val="nextPage"/>
      <w:pgSz w:w="16840" w:h="11900" w:code="9" w:orient="landscape"/>
      <w:pgMar w:left="720" w:right="720" w:top="720" w:bottom="72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6238503B"/>
    <w:multiLevelType w:val="hybridMultilevel"/>
    <w:lvl w:ilvl="0" w:tplc="0419000F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041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41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41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1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41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41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1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1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653A1D6D"/>
    <w:multiLevelType w:val="hybridMultilevel"/>
    <w:lvl w:ilvl="0" w:tplc="0419000F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041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41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41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1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41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41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1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1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b w:val="0"/>
        <w:i w:val="0"/>
        <w:caps w:val="0"/>
        <w:strike w:val="0"/>
        <w:noProof w:val="0"/>
        <w:vanish w:val="0"/>
        <w:color w:val="auto"/>
        <w:sz w:val="24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/>
  </w:style>
  <w:style w:type="paragraph" w:styleId="P1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/Relationships>
</file>