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457C115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5588" w:type="dxa"/>
        <w:tblLook w:val="04A0"/>
      </w:tblPr>
      <w:tblGrid/>
      <w:tr>
        <w:trPr>
          <w:trHeight w:hRule="atLeast" w:val="408"/>
        </w:trPr>
        <w:tc>
          <w:tcPr>
            <w:tcW w:w="15588" w:type="dxa"/>
            <w:gridSpan w:val="4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000000"/>
            </w:tcBorders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z w:val="28"/>
                <w:shd w:val="clear" w:fill="FFFF00"/>
              </w:rPr>
            </w:pPr>
            <w:r>
              <w:rPr>
                <w:rFonts w:ascii="Calibri" w:hAnsi="Calibri"/>
                <w:b w:val="1"/>
                <w:color w:val="000000"/>
                <w:sz w:val="28"/>
                <w:shd w:val="clear" w:fill="FFFF00"/>
              </w:rPr>
              <w:t>Описание потоков вариантов использования (Description of use case flows)</w:t>
            </w:r>
          </w:p>
        </w:tc>
      </w:tr>
      <w:tr>
        <w:trPr>
          <w:trHeight w:hRule="atLeast" w:val="326"/>
        </w:trPr>
        <w:tc>
          <w:tcPr>
            <w:tcW w:w="226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Пункты</w:t>
            </w:r>
          </w:p>
        </w:tc>
        <w:tc>
          <w:tcPr>
            <w:tcW w:w="13325" w:type="dxa"/>
            <w:gridSpan w:val="3"/>
            <w:tcBorders>
              <w:top w:val="single" w:sz="4" w:space="0" w:shadow="0" w:frame="0" w:color="auto"/>
              <w:left w:val="nil"/>
              <w:bottom w:val="single" w:sz="4" w:space="0" w:shadow="0" w:frame="0" w:color="auto"/>
              <w:right w:val="single" w:sz="4" w:space="0" w:shadow="0" w:frame="0" w:color="000000"/>
            </w:tcBorders>
            <w:shd w:val="clear" w:color="auto" w:fill="EDEDED"/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Описание</w:t>
            </w:r>
          </w:p>
        </w:tc>
      </w:tr>
      <w:tr>
        <w:trPr>
          <w:trHeight w:hRule="atLeast" w:val="326"/>
        </w:trPr>
        <w:tc>
          <w:tcPr>
            <w:tcW w:w="226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Название UС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Выбор услуги и бронирование слота клиентом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Отправка уведомления клиенту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Отмена записи</w:t>
            </w:r>
          </w:p>
        </w:tc>
      </w:tr>
      <w:tr>
        <w:trPr>
          <w:trHeight w:hRule="atLeast" w:val="326"/>
        </w:trPr>
        <w:tc>
          <w:tcPr>
            <w:tcW w:w="226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Идентификатор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UC-002.1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UC-002.22</w:t>
            </w:r>
          </w:p>
        </w:tc>
      </w:tr>
      <w:tr>
        <w:trPr>
          <w:trHeight w:hRule="atLeast" w:val="326"/>
        </w:trPr>
        <w:tc>
          <w:tcPr>
            <w:tcW w:w="226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 xml:space="preserve">Связь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Include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Extend</w:t>
            </w:r>
          </w:p>
        </w:tc>
      </w:tr>
      <w:tr>
        <w:trPr>
          <w:trHeight w:hRule="atLeast" w:val="2714"/>
        </w:trPr>
        <w:tc>
          <w:tcPr>
            <w:tcW w:w="226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 xml:space="preserve">Основной сценарий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 Клиент выбирает тип услуги.</w:t>
              <w:br w:type="textWrapping"/>
              <w:t>2. Клиент просматривает список мастеров с их описанием (включая стаж, фото, отзывы) и выбирает мастера.</w:t>
              <w:br w:type="textWrapping"/>
              <w:t>3. Клиент просматривает доступные свободные слоты мастера и выбирает время записи.</w:t>
              <w:br w:type="textWrapping"/>
              <w:t xml:space="preserve">4. Клиент подтверждает бронирование. </w:t>
              <w:br w:type="textWrapping"/>
              <w:t>5. Система подтверждает успешное бронирование.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1. Система предлагает клиенту указать контактные данные и способ получения напоминаний.</w:t>
              <w:br w:type="textWrapping"/>
              <w:t>2. Клиент вводит номер телефона/email и выбирает способ уведомления (Telegram, WhatsApp, VK, SMS).</w:t>
              <w:br w:type="textWrapping"/>
              <w:t>3. Система фиксирует данную информацию.</w:t>
              <w:br w:type="textWrapping"/>
              <w:t>4. Система отправляет клиенту уведомление с деталями записи выбранным способом.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1. Клиент выбирает опцию отмены записи в системе.</w:t>
              <w:br w:type="textWrapping"/>
              <w:t xml:space="preserve">2. Система отображает детали записи для подтверждения отмены. </w:t>
              <w:br w:type="textWrapping"/>
              <w:t xml:space="preserve">3. Клиент подтверждает отмену. </w:t>
              <w:br w:type="textWrapping"/>
              <w:t>4. Система отменяет запись и отправляет уведомление клиенту об успешной отмены записи.</w:t>
            </w:r>
          </w:p>
        </w:tc>
      </w:tr>
      <w:tr>
        <w:trPr>
          <w:trHeight w:hRule="atLeast" w:val="2102"/>
        </w:trPr>
        <w:tc>
          <w:tcPr>
            <w:tcW w:w="226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Альтернативные сценарии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3a. Нет доступных слотов у выбранного мастера </w:t>
              <w:br w:type="textWrapping"/>
              <w:t xml:space="preserve">3a.1. Система сообщает клиенту об отсутствии свободных слотов. </w:t>
              <w:br w:type="textWrapping"/>
              <w:t xml:space="preserve">3a.2. Клиент выбирает другого мастера или меняет услугу/время. </w:t>
              <w:br w:type="textWrapping"/>
              <w:t>3a.3. Возврат к шагу 4 или 6 основного потока.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2a. Ошибка в контактных данных</w:t>
              <w:br w:type="textWrapping"/>
              <w:t>2a.1. Система подтверждает наличие ошибок во введенных данных.</w:t>
              <w:br w:type="textWrapping"/>
              <w:t>2a.2. Клиент исправляет данные и повторно подтверждает запись.</w:t>
              <w:br w:type="textWrapping"/>
              <w:t>2a.3. Система проверяет и подтверждает успешную запись.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3a. Клиент не подтверждает отмену записи </w:t>
              <w:br w:type="textWrapping"/>
              <w:t xml:space="preserve">3a.1. Клиент не подтверждает отмену (например, закрывает окно). </w:t>
              <w:br w:type="textWrapping"/>
              <w:t>3a.2. Система прерывает процесс отмены и сохраняет запись без изменений.</w:t>
            </w:r>
          </w:p>
        </w:tc>
      </w:tr>
      <w:tr>
        <w:trPr>
          <w:trHeight w:hRule="atLeast" w:val="899"/>
        </w:trPr>
        <w:tc>
          <w:tcPr>
            <w:tcW w:w="226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z w:val="22"/>
              </w:rPr>
            </w:pPr>
            <w:r>
              <w:rPr>
                <w:rFonts w:ascii="Calibri" w:hAnsi="Calibri"/>
                <w:b w:val="1"/>
                <w:color w:val="000000"/>
                <w:sz w:val="22"/>
              </w:rPr>
              <w:t>Дополнительно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UC-001 "Ведение расписания мастеров и списка услуг"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Включается после успешного бронирования в рамках основного UC-002.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 </w:t>
            </w:r>
          </w:p>
        </w:tc>
      </w:tr>
    </w:tbl>
    <w:p/>
    <w:sectPr>
      <w:type w:val="nextPage"/>
      <w:pgSz w:w="16840" w:h="11900" w:code="9" w:orient="landscap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