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57BCA7F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tbl>
      <w:tblPr>
        <w:tblW w:w="15588" w:type="dxa"/>
        <w:tblLook w:val="04A0"/>
      </w:tblPr>
      <w:tblGrid/>
      <w:tr>
        <w:trPr>
          <w:trHeight w:hRule="atLeast" w:val="476"/>
        </w:trPr>
        <w:tc>
          <w:tcPr>
            <w:tcW w:w="15588" w:type="dxa"/>
            <w:gridSpan w:val="3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  <w:shd w:val="clear" w:fill="FFFF00"/>
              </w:rPr>
            </w:pPr>
            <w:r>
              <w:rPr>
                <w:rFonts w:ascii="Calibri" w:hAnsi="Calibri"/>
                <w:b w:val="1"/>
                <w:color w:val="000000"/>
                <w:shd w:val="clear" w:fill="FFFF00"/>
              </w:rPr>
              <w:t>Описание потоков вариантов использования (Description of use case flows)</w:t>
            </w:r>
          </w:p>
        </w:tc>
      </w:tr>
      <w:tr>
        <w:trPr>
          <w:trHeight w:hRule="atLeast" w:val="381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Пункты</w:t>
            </w:r>
          </w:p>
        </w:tc>
        <w:tc>
          <w:tcPr>
            <w:tcW w:w="13022" w:type="dxa"/>
            <w:gridSpan w:val="2"/>
            <w:tcBorders>
              <w:top w:val="single" w:sz="4" w:space="0" w:shadow="0" w:frame="0" w:color="auto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noWrap/>
            <w:vAlign w:val="center"/>
            <w:hideMark/>
          </w:tcPr>
          <w:p>
            <w:pPr>
              <w:jc w:val="center"/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Описание</w:t>
            </w:r>
          </w:p>
        </w:tc>
      </w:tr>
      <w:tr>
        <w:trPr>
          <w:trHeight w:hRule="atLeast" w:val="381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Название UС</w:t>
            </w:r>
          </w:p>
        </w:tc>
        <w:tc>
          <w:tcPr>
            <w:tcW w:w="6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Просмотр расписания и отзывов</w:t>
            </w:r>
          </w:p>
        </w:tc>
        <w:tc>
          <w:tcPr>
            <w:tcW w:w="6375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Просмотр отзыва</w:t>
            </w:r>
          </w:p>
        </w:tc>
      </w:tr>
      <w:tr>
        <w:trPr>
          <w:trHeight w:hRule="atLeast" w:val="381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Идентификатор</w:t>
            </w:r>
          </w:p>
        </w:tc>
        <w:tc>
          <w:tcPr>
            <w:tcW w:w="6647" w:type="dxa"/>
            <w:tcBorders>
              <w:top w:val="single" w:sz="4" w:space="0" w:shadow="0" w:frame="0" w:color="auto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UC-003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UC-003.1</w:t>
            </w:r>
          </w:p>
        </w:tc>
      </w:tr>
      <w:tr>
        <w:trPr>
          <w:trHeight w:hRule="atLeast" w:val="381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 xml:space="preserve">Связь 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 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bottom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Include</w:t>
            </w:r>
          </w:p>
        </w:tc>
      </w:tr>
      <w:tr>
        <w:trPr>
          <w:trHeight w:hRule="atLeast" w:val="1756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Основной сценарий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 Мастер заходит в свой профиль.</w:t>
              <w:br w:type="textWrapping"/>
              <w:t>2. Система отображает интерфейс просмотра расписания и отзывов.</w:t>
              <w:br w:type="textWrapping"/>
              <w:t>3. Мастер заходит в раздел с расписанием и просматривает.</w:t>
              <w:br w:type="textWrapping"/>
              <w:t>4. Мастер заходит в раздел с отзывами и просматривает.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 Мастер заходит в раздел с отзывами.</w:t>
              <w:br w:type="textWrapping"/>
              <w:t>2. Мастер выбирает период времени (день, неделя, месяц).</w:t>
              <w:br w:type="textWrapping"/>
              <w:t>2. Система отображает список отзывов с оценками.</w:t>
              <w:br w:type="textWrapping"/>
              <w:t>3. Мастер читает текст отзывов.</w:t>
            </w:r>
          </w:p>
        </w:tc>
      </w:tr>
      <w:tr>
        <w:trPr>
          <w:trHeight w:hRule="atLeast" w:val="2107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Альтернативные сценарии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 2a. Система не может отобразить интерфейс просмотра расписания и отзывов.</w:t>
              <w:br w:type="textWrapping"/>
              <w:t xml:space="preserve"> 2a.1. Система отображает сообщение об ошибке.</w:t>
              <w:br w:type="textWrapping"/>
              <w:t xml:space="preserve"> 2a.2. Система предлагает перезагрузить страницу.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2a. Мастер вводит некорректные значения для фильтров периода времени.</w:t>
              <w:br w:type="textWrapping"/>
              <w:t>2a.1. Система отображает сообщение об ошибке, указывающее на некорректные значения.</w:t>
              <w:br w:type="textWrapping"/>
              <w:t>2a.2. Система предлагает исправить значения или сбросить фильтры.</w:t>
            </w:r>
          </w:p>
        </w:tc>
      </w:tr>
      <w:tr>
        <w:trPr>
          <w:trHeight w:hRule="atLeast" w:val="952"/>
        </w:trPr>
        <w:tc>
          <w:tcPr>
            <w:tcW w:w="2566" w:type="dxa"/>
            <w:tcBorders>
              <w:top w:val="nil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shd w:val="clear" w:color="auto" w:fill="EDEDED"/>
            <w:vAlign w:val="center"/>
            <w:hideMark/>
          </w:tcPr>
          <w:p>
            <w:pPr>
              <w:rPr>
                <w:rFonts w:ascii="Calibri" w:hAnsi="Calibri"/>
                <w:b w:val="1"/>
                <w:color w:val="000000"/>
              </w:rPr>
            </w:pPr>
            <w:r>
              <w:rPr>
                <w:rFonts w:ascii="Calibri" w:hAnsi="Calibri"/>
                <w:b w:val="1"/>
                <w:color w:val="000000"/>
              </w:rPr>
              <w:t>Дополнительно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UC-001 "Ведение расписания мастеров и списка услуг"</w:t>
              <w:br w:type="textWrapping"/>
              <w:t>UC-002 "Выбор услуги и бронирование слота клиентом"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  <w:hideMark/>
          </w:tcPr>
          <w:p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Включен в основной UC-003</w:t>
            </w:r>
          </w:p>
        </w:tc>
      </w:tr>
    </w:tbl>
    <w:p/>
    <w:sectPr>
      <w:type w:val="nextPage"/>
      <w:pgSz w:w="16840" w:h="11900" w:code="9" w:orient="landscape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238503B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653A1D6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