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关于文理科偏见的调查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</w:pPr>
      <w:r>
        <w:rPr>
          <w:rStyle w:val="DefaultParagraphFont"/>
          <w:bdr w:val="nil"/>
          <w:rtl w:val="0"/>
        </w:rPr>
        <w:t xml:space="preserve">2. 您的分科：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请依据您的认识选择您目前所属学科/职业更倾向于以下哪个选项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○中性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您在大学就读的专业是（如无则填无）：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谈到“文科”，您最先想到的一个词是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谈到“理科”，您最先想到的一个词是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 xml:space="preserve">6. 您是否认同下列表述：[矩阵单选题]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为保证答卷的有效性，请尽量不要选择中立选项哦。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2440"/>
        <w:gridCol w:w="2440"/>
        <w:gridCol w:w="244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认同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中立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反对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理科生比文科生聪明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文科生比理科生聪明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理科适合女生，文科适合男生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理科适合男生，文科适合女生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“科学”一词与理科关系更密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“科学”一词与文科关系更密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理科更容易有”创新“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文科更容易有”创新“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需要有意用道德规范理科研究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需要有意用道德规范文科研究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您还愿意分享其他使您很困扰的文理科偏见吗？这些偏见有没有对您造成什么影响呢？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