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3AB" w:rsidRDefault="008F53AB" w:rsidP="008F53AB">
      <w:r>
        <w:t>ACUERDO POR EL QUE SE ESTABLECEN LOS LINEAMIENTOS GENERALES PARA LA OBSERVANCIA DE LA LEY DE ENTREGA RECEPCIÓN DE LOS RECURSOS DE LA ADMINISTRACIÓN PÚBLICA DE LA CIUDAD DE MÉXICO</w:t>
      </w:r>
    </w:p>
    <w:p w:rsidR="008F53AB" w:rsidRDefault="008F53AB" w:rsidP="008F53AB">
      <w:r>
        <w:t>TITULO PRIMERO</w:t>
      </w:r>
    </w:p>
    <w:p w:rsidR="008F53AB" w:rsidRDefault="008F53AB" w:rsidP="008F53AB">
      <w:r>
        <w:t>CAPITULO PRIMERO</w:t>
      </w:r>
    </w:p>
    <w:p w:rsidR="004D7D21" w:rsidRDefault="008F53AB">
      <w:r>
        <w:t>SEGUNDO. Los presentes Lineamientos son de observancia obligatoria para el proceso de entrega-recepción de las personas servidoras públicas u homólogas desde el nivel de Jefatura de Unidad Departamental hasta el cargo de Jefatura de Gobierno, asimismo aplica para puestos homólogos o equivalentes que se separen de su empleo, cargo, comisión o concluyan con las actividades encomendadas, quienes deberán formalizar la entrega-recepción de los asuntos y recursos asignados para el ejercicio de sus funciones, a quien legalmente deba sustituirlo o a quién su superior jerárquico designe para tales efectos. Asimismo, serán aplicables en la transferencia de asuntos y recursos con motivo de la creación, extinción, reestructuración o fusión de entes públicos, unidades administrativas, unidades administrativas de apoyo técnico-operativo y en las actas administrativas de transferencia o reasignación de funciones o de recursos, aun cuando no implique la separación del empleo, cargo o comisión y serán obligatorios en los procesos de entrega-recepción, con motivo del término de cada periodo estatutario de la administración pública de la Ciudad de México y de las alcaldías.</w:t>
      </w:r>
    </w:p>
    <w:p w:rsidR="00790924" w:rsidRDefault="00790924">
      <w:bookmarkStart w:id="0" w:name="_GoBack"/>
      <w:bookmarkEnd w:id="0"/>
    </w:p>
    <w:sectPr w:rsidR="007909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3AB"/>
    <w:rsid w:val="00790924"/>
    <w:rsid w:val="008F53AB"/>
    <w:rsid w:val="00BA25D7"/>
    <w:rsid w:val="00BF45D8"/>
    <w:rsid w:val="00E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37C5"/>
  <w15:chartTrackingRefBased/>
  <w15:docId w15:val="{CC9E4FFC-35AE-4030-BE0F-526E5B44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2025-11-03T23:08:00Z</dcterms:created>
  <dcterms:modified xsi:type="dcterms:W3CDTF">2025-11-04T02:15:00Z</dcterms:modified>
</cp:coreProperties>
</file>