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Квартальный отчёт: 3 квартал 2026 года</w:t>
      </w:r>
    </w:p>
    <w:p>
      <w:r>
        <w:t>Подготовлено финансово-аналитической командой «Лавки». Отчёт охватывает период с 1 июля по 30 сентября 2026 года.</w:t>
      </w:r>
    </w:p>
    <w:p>
      <w:pPr>
        <w:pStyle w:val="Heading2"/>
      </w:pPr>
      <w:r>
        <w:t>1. Основные показатели</w:t>
      </w:r>
    </w:p>
    <w:p>
      <w:r>
        <w:t>Оборот сервиса в третьем квартале вырос на 31% по сравнению со вторым кварталом и составил 126 млн рублей. Количество заказов увеличилось на 27%, средний чек вырос на 3% до 1 410 рублей. Доля отменённых заказов снизилась с 7,2% до 6,1%, доля возвратов осталась на уровне 3%.</w:t>
      </w:r>
    </w:p>
    <w:p>
      <w:r>
        <w:t>Валовая маржа составила 21,4% (во втором квартале — 19,8%). Рост связан с ростом доли собственной готовой еды и с пересмотром скидок: средняя скидка уменьшилась с 8,1% до 6,9%. Операционная прибыль остаётся отрицательной, но убыток сократился на 18%.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Показатель</w:t>
            </w:r>
          </w:p>
        </w:tc>
        <w:tc>
          <w:tcPr>
            <w:tcW w:type="dxa" w:w="2160"/>
          </w:tcPr>
          <w:p>
            <w:r>
              <w:t>2 кв. 2026</w:t>
            </w:r>
          </w:p>
        </w:tc>
        <w:tc>
          <w:tcPr>
            <w:tcW w:type="dxa" w:w="2160"/>
          </w:tcPr>
          <w:p>
            <w:r>
              <w:t>3 кв. 2026</w:t>
            </w:r>
          </w:p>
        </w:tc>
        <w:tc>
          <w:tcPr>
            <w:tcW w:type="dxa" w:w="2160"/>
          </w:tcPr>
          <w:p>
            <w:r>
              <w:t>Изменение</w:t>
            </w:r>
          </w:p>
        </w:tc>
      </w:tr>
      <w:tr>
        <w:tc>
          <w:tcPr>
            <w:tcW w:type="dxa" w:w="2160"/>
          </w:tcPr>
          <w:p>
            <w:r>
              <w:t>Оборот, млн руб.</w:t>
            </w:r>
          </w:p>
        </w:tc>
        <w:tc>
          <w:tcPr>
            <w:tcW w:type="dxa" w:w="2160"/>
          </w:tcPr>
          <w:p>
            <w:r>
              <w:t>96,2</w:t>
            </w:r>
          </w:p>
        </w:tc>
        <w:tc>
          <w:tcPr>
            <w:tcW w:type="dxa" w:w="2160"/>
          </w:tcPr>
          <w:p>
            <w:r>
              <w:t>126,0</w:t>
            </w:r>
          </w:p>
        </w:tc>
        <w:tc>
          <w:tcPr>
            <w:tcW w:type="dxa" w:w="2160"/>
          </w:tcPr>
          <w:p>
            <w:r>
              <w:t>+31%</w:t>
            </w:r>
          </w:p>
        </w:tc>
      </w:tr>
      <w:tr>
        <w:tc>
          <w:tcPr>
            <w:tcW w:type="dxa" w:w="2160"/>
          </w:tcPr>
          <w:p>
            <w:r>
              <w:t>Заказы, тыс.</w:t>
            </w:r>
          </w:p>
        </w:tc>
        <w:tc>
          <w:tcPr>
            <w:tcW w:type="dxa" w:w="2160"/>
          </w:tcPr>
          <w:p>
            <w:r>
              <w:t>74,5</w:t>
            </w:r>
          </w:p>
        </w:tc>
        <w:tc>
          <w:tcPr>
            <w:tcW w:type="dxa" w:w="2160"/>
          </w:tcPr>
          <w:p>
            <w:r>
              <w:t>94,6</w:t>
            </w:r>
          </w:p>
        </w:tc>
        <w:tc>
          <w:tcPr>
            <w:tcW w:type="dxa" w:w="2160"/>
          </w:tcPr>
          <w:p>
            <w:r>
              <w:t>+27%</w:t>
            </w:r>
          </w:p>
        </w:tc>
      </w:tr>
      <w:tr>
        <w:tc>
          <w:tcPr>
            <w:tcW w:type="dxa" w:w="2160"/>
          </w:tcPr>
          <w:p>
            <w:r>
              <w:t>Средний чек, руб.</w:t>
            </w:r>
          </w:p>
        </w:tc>
        <w:tc>
          <w:tcPr>
            <w:tcW w:type="dxa" w:w="2160"/>
          </w:tcPr>
          <w:p>
            <w:r>
              <w:t>1 370</w:t>
            </w:r>
          </w:p>
        </w:tc>
        <w:tc>
          <w:tcPr>
            <w:tcW w:type="dxa" w:w="2160"/>
          </w:tcPr>
          <w:p>
            <w:r>
              <w:t>1 410</w:t>
            </w:r>
          </w:p>
        </w:tc>
        <w:tc>
          <w:tcPr>
            <w:tcW w:type="dxa" w:w="2160"/>
          </w:tcPr>
          <w:p>
            <w:r>
              <w:t>+3%</w:t>
            </w:r>
          </w:p>
        </w:tc>
      </w:tr>
      <w:tr>
        <w:tc>
          <w:tcPr>
            <w:tcW w:type="dxa" w:w="2160"/>
          </w:tcPr>
          <w:p>
            <w:r>
              <w:t>Валовая маржа</w:t>
            </w:r>
          </w:p>
        </w:tc>
        <w:tc>
          <w:tcPr>
            <w:tcW w:type="dxa" w:w="2160"/>
          </w:tcPr>
          <w:p>
            <w:r>
              <w:t>19,8%</w:t>
            </w:r>
          </w:p>
        </w:tc>
        <w:tc>
          <w:tcPr>
            <w:tcW w:type="dxa" w:w="2160"/>
          </w:tcPr>
          <w:p>
            <w:r>
              <w:t>21,4%</w:t>
            </w:r>
          </w:p>
        </w:tc>
        <w:tc>
          <w:tcPr>
            <w:tcW w:type="dxa" w:w="2160"/>
          </w:tcPr>
          <w:p>
            <w:r>
              <w:t>+1,6 п.п.</w:t>
            </w:r>
          </w:p>
        </w:tc>
      </w:tr>
      <w:tr>
        <w:tc>
          <w:tcPr>
            <w:tcW w:type="dxa" w:w="2160"/>
          </w:tcPr>
          <w:p>
            <w:r>
              <w:t>Отмены заказов</w:t>
            </w:r>
          </w:p>
        </w:tc>
        <w:tc>
          <w:tcPr>
            <w:tcW w:type="dxa" w:w="2160"/>
          </w:tcPr>
          <w:p>
            <w:r>
              <w:t>7,2%</w:t>
            </w:r>
          </w:p>
        </w:tc>
        <w:tc>
          <w:tcPr>
            <w:tcW w:type="dxa" w:w="2160"/>
          </w:tcPr>
          <w:p>
            <w:r>
              <w:t>6,1%</w:t>
            </w:r>
          </w:p>
        </w:tc>
        <w:tc>
          <w:tcPr>
            <w:tcW w:type="dxa" w:w="2160"/>
          </w:tcPr>
          <w:p>
            <w:r>
              <w:t>-1,1 п.п.</w:t>
            </w:r>
          </w:p>
        </w:tc>
      </w:tr>
      <w:tr>
        <w:tc>
          <w:tcPr>
            <w:tcW w:type="dxa" w:w="2160"/>
          </w:tcPr>
          <w:p>
            <w:r>
              <w:t>CSAT поддержки</w:t>
            </w:r>
          </w:p>
        </w:tc>
        <w:tc>
          <w:tcPr>
            <w:tcW w:type="dxa" w:w="2160"/>
          </w:tcPr>
          <w:p>
            <w:r>
              <w:t>4,0</w:t>
            </w:r>
          </w:p>
        </w:tc>
        <w:tc>
          <w:tcPr>
            <w:tcW w:type="dxa" w:w="2160"/>
          </w:tcPr>
          <w:p>
            <w:r>
              <w:t>4,2</w:t>
            </w:r>
          </w:p>
        </w:tc>
        <w:tc>
          <w:tcPr>
            <w:tcW w:type="dxa" w:w="2160"/>
          </w:tcPr>
          <w:p>
            <w:r>
              <w:t>+0,2</w:t>
            </w:r>
          </w:p>
        </w:tc>
      </w:tr>
    </w:tbl>
    <w:p>
      <w:pPr>
        <w:pStyle w:val="Heading2"/>
      </w:pPr>
      <w:r>
        <w:t>2. Города</w:t>
      </w:r>
    </w:p>
    <w:p>
      <w:r>
        <w:t>Москва даёт 38% оборота, Санкт-Петербург — 22%. Быстрее всех растёт Казань: +46% к предыдущему кварталу благодаря запуску двух новых зон доставки. В Краснодаре рост замедлился до 12%: компания столкнулась с нехваткой курьеров и срывами слотов по пятницам. Новосибирск остаётся убыточным: расходы на привлечение пока превышают маржу первых заказов.</w:t>
      </w:r>
    </w:p>
    <w:p>
      <w:pPr>
        <w:pStyle w:val="Heading2"/>
      </w:pPr>
      <w:r>
        <w:t>3. Маркетинг</w:t>
      </w:r>
    </w:p>
    <w:p>
      <w:r>
        <w:t>Маркетинговые расходы составили 11,8 млн рублей (9,4% оборота). Самая низкая стоимость установки у реферальной программы (около 110 рублей), самая высокая — у наружной рекламы (более 500 рублей). В 22-ю неделю наблюдалось двукратное падение установок из-за паузы в кампании VK Ads после проблем с рекламным кабинетом. Конверсия из установки в первый заказ в среднем составила 8,3% при цели 12%.</w:t>
      </w:r>
    </w:p>
    <w:p>
      <w:pPr>
        <w:pStyle w:val="Heading2"/>
      </w:pPr>
      <w:r>
        <w:t>4. Операции</w:t>
      </w:r>
    </w:p>
    <w:p>
      <w:r>
        <w:t>Среднее время доставки по компании — 49 минут, в Москве — 39 минут. Открыт один тёмный склад в Санкт-Петербурге. Загрузка складов выросла с 61% до 68%. Из-за срыва поставки упаковки в августе на два дня приостанавливалась часть ассортимента готовой еды.</w:t>
      </w:r>
    </w:p>
    <w:p>
      <w:pPr>
        <w:pStyle w:val="Heading2"/>
      </w:pPr>
      <w:r>
        <w:t>5. Поддержка</w:t>
      </w:r>
    </w:p>
    <w:p>
      <w:r>
        <w:t>Количество обращений выросло на 22%, что меньше роста заказов, поэтому нагрузка на заказ снизилась. Основные темы: доставка (34%), оплата (22%), приложение (18%). Среднее время решения обращений высокого приоритета — 4,6 часа при цели 2 часа. Отдельные обращения решались более 400 часов, это требует разбора.</w:t>
      </w:r>
    </w:p>
    <w:p>
      <w:pPr>
        <w:pStyle w:val="Heading2"/>
      </w:pPr>
      <w:r>
        <w:t>6. Риски и планы на 4 квартал</w:t>
      </w:r>
    </w:p>
    <w:p>
      <w:r>
        <w:t>Ключевые риски: нестабильная оплата на Android, сезонный рост нагрузки в ноябре–декабре, срыв сроков поставок упаковки. Планы: выпустить вход по телефону, подключить СБП, открыть склад в Москве, запустить пилот повторения заказа, провести ревизию маркетинговых каналов.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