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84" w:type="dxa"/>
        <w:jc w:val="center"/>
        <w:tblInd w:w="-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2640"/>
        <w:gridCol w:w="195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Time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Contents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Detials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2018.03/29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循环神经网络的学习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循环神经网络（RNN）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第一部分</w:t>
            </w:r>
          </w:p>
        </w:tc>
        <w:tc>
          <w:tcPr>
            <w:tcW w:w="1956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预备：2018.05/01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做个小例子（关于股票）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长短时记忆（LSTM）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文档中的第二部分</w:t>
            </w:r>
          </w:p>
        </w:tc>
        <w:tc>
          <w:tcPr>
            <w:tcW w:w="1956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3832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2018.04/15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2018.04/20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通过KNN、CNN、BP、BNN...识别手写数字，掌握各个小碎知识点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手写识别算法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（复习以前的知识）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44"/>
                <w:vertAlign w:val="baseline"/>
                <w:lang w:val="en-US" w:eastAsia="zh-CN"/>
              </w:rPr>
              <w:t>KNN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2018.04/09-10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错误率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  <w:t>0.032770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线性处理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2018.04/11-12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</w:rPr>
              <w:t>0.91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"得出时间开销文档报告.docx"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2018.04/16-</w:t>
            </w: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17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-21</w:t>
            </w:r>
          </w:p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17号，做东航的项目，读取JSON文档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CNN处理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2018.04/16-18-19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 训练正确率0.96以上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测试没有完成，电脑配件不行，运行一半就卡死机了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优化器比较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（Optimizer）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"优化器Optimizer比较.doc"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2018.04/13-14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机器学习中的优化器，大部分都是基于 对梯度下降的  算法进行优化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各个优化器的比较和应用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优化的使用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学习概率论相关的知识，分类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EM  *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马尔科夫 </w:t>
            </w: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***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"概率模型/贝叶斯/贝叶斯.doc"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例子1：文本分类</w:t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详细过程在文档中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2018.05/04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2018.05/**</w:t>
            </w:r>
          </w:p>
          <w:p>
            <w:pPr>
              <w:jc w:val="center"/>
              <w:rPr>
                <w:lang w:val="en-US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读取CSV文件</w:t>
            </w: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>Pandas库读取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"概率模型/贝叶斯/贝叶斯.doc"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例子1：文本分类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  <w:jc w:val="center"/>
        </w:trPr>
        <w:tc>
          <w:tcPr>
            <w:tcW w:w="3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SVM、其核函数的精髓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聚类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关联关系 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降维（PCA）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推荐系统（SVD）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D9BA5"/>
    <w:multiLevelType w:val="singleLevel"/>
    <w:tmpl w:val="A25D9B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38EAB4F"/>
    <w:multiLevelType w:val="singleLevel"/>
    <w:tmpl w:val="238EAB4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DC7"/>
    <w:rsid w:val="03B40EF0"/>
    <w:rsid w:val="05F5451B"/>
    <w:rsid w:val="0DE27B12"/>
    <w:rsid w:val="11B9381D"/>
    <w:rsid w:val="17331465"/>
    <w:rsid w:val="18F614BA"/>
    <w:rsid w:val="2DA33A1B"/>
    <w:rsid w:val="343C3DA1"/>
    <w:rsid w:val="3A6C0CAD"/>
    <w:rsid w:val="3E684916"/>
    <w:rsid w:val="45445D60"/>
    <w:rsid w:val="4C403A28"/>
    <w:rsid w:val="5AB44488"/>
    <w:rsid w:val="5F3E0AEF"/>
    <w:rsid w:val="64CE3602"/>
    <w:rsid w:val="6E041DEE"/>
    <w:rsid w:val="6F17637C"/>
    <w:rsid w:val="7947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luoyanchao</dc:creator>
  <cp:lastModifiedBy>Don't touch my heart,and leave</cp:lastModifiedBy>
  <dcterms:modified xsi:type="dcterms:W3CDTF">2018-05-04T07:39:17Z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