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951D6">
      <w:pPr>
        <w:spacing w:before="400" w:after="120"/>
        <w:jc w:val="center"/>
      </w:pPr>
      <w:r>
        <w:rPr>
          <w:rFonts w:ascii="Arial" w:hAnsi="Arial" w:eastAsia="微软雅黑"/>
          <w:b/>
          <w:bCs/>
          <w:sz w:val="44"/>
          <w:szCs w:val="44"/>
        </w:rPr>
        <w:t>实 验 报 告</w:t>
      </w:r>
    </w:p>
    <w:p w14:paraId="4F30A07F">
      <w:pPr>
        <w:spacing w:after="500"/>
        <w:jc w:val="center"/>
      </w:pPr>
      <w:r>
        <w:rPr>
          <w:rFonts w:ascii="Arial" w:hAnsi="Arial" w:eastAsia="微软雅黑"/>
          <w:color w:val="404040"/>
          <w:sz w:val="26"/>
          <w:szCs w:val="26"/>
        </w:rPr>
        <w:t>白膜转写实：纯 CPU 深度控制生成流水线</w:t>
      </w:r>
    </w:p>
    <w:tbl>
      <w:tblPr>
        <w:tblStyle w:val="2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2900"/>
        <w:gridCol w:w="2000"/>
        <w:gridCol w:w="2900"/>
      </w:tblGrid>
      <w:tr w14:paraId="4B5F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2AC0525A">
            <w:pPr>
              <w:keepNext/>
              <w:spacing w:after="0" w:line="260" w:lineRule="auto"/>
            </w:pPr>
            <w:r>
              <w:rPr>
                <w:b/>
                <w:bCs/>
                <w:sz w:val="20"/>
                <w:szCs w:val="20"/>
              </w:rPr>
              <w:t>课程名称</w:t>
            </w:r>
          </w:p>
        </w:tc>
        <w:tc>
          <w:tcPr>
            <w:tcW w:w="29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人工智能——深度学习大模型智能体</w:t>
            </w:r>
          </w:p>
        </w:tc>
        <w:tc>
          <w:tcPr>
            <w:tcW w:w="20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651D9D5E">
            <w:pPr>
              <w:keepNext/>
              <w:spacing w:after="0" w:line="260" w:lineRule="auto"/>
            </w:pPr>
            <w:r>
              <w:rPr>
                <w:b/>
                <w:bCs/>
                <w:sz w:val="20"/>
                <w:szCs w:val="20"/>
              </w:rPr>
              <w:t>实验日期</w:t>
            </w:r>
          </w:p>
        </w:tc>
        <w:tc>
          <w:tcPr>
            <w:tcW w:w="29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2026 年 10 月 27 日</w:t>
            </w:r>
          </w:p>
        </w:tc>
      </w:tr>
      <w:tr w14:paraId="6118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B0CF760">
            <w:pPr>
              <w:keepNext/>
              <w:spacing w:after="0" w:line="260" w:lineRule="auto"/>
            </w:pPr>
            <w:r>
              <w:rPr>
                <w:sz w:val="20"/>
                <w:szCs w:val="20"/>
              </w:rPr>
              <w:t>姓　　名</w:t>
            </w:r>
          </w:p>
        </w:tc>
        <w:tc>
          <w:tcPr>
            <w:tcW w:w="2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黄思涵</w:t>
            </w:r>
          </w:p>
        </w:tc>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7777AC5">
            <w:pPr>
              <w:keepNext/>
              <w:spacing w:after="0" w:line="260" w:lineRule="auto"/>
            </w:pPr>
            <w:r>
              <w:rPr>
                <w:sz w:val="20"/>
                <w:szCs w:val="20"/>
              </w:rPr>
              <w:t>学　　号</w:t>
            </w:r>
          </w:p>
        </w:tc>
        <w:tc>
          <w:tcPr>
            <w:tcW w:w="2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2025311574</w:t>
            </w:r>
          </w:p>
        </w:tc>
      </w:tr>
      <w:tr w14:paraId="4789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3BC7253">
            <w:pPr>
              <w:keepNext w:val="0"/>
              <w:spacing w:after="0" w:line="260" w:lineRule="auto"/>
            </w:pPr>
            <w:r>
              <w:rPr>
                <w:sz w:val="20"/>
                <w:szCs w:val="20"/>
              </w:rPr>
              <w:t>指导教师</w:t>
            </w:r>
          </w:p>
        </w:tc>
        <w:tc>
          <w:tcPr>
            <w:tcW w:w="2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w:t>
            </w:r>
          </w:p>
        </w:tc>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1460EF2">
            <w:pPr>
              <w:keepNext w:val="0"/>
              <w:spacing w:after="0" w:line="260" w:lineRule="auto"/>
            </w:pPr>
            <w:r>
              <w:rPr>
                <w:sz w:val="20"/>
                <w:szCs w:val="20"/>
              </w:rPr>
              <w:t>实验地点</w:t>
            </w:r>
          </w:p>
        </w:tc>
        <w:tc>
          <w:tcPr>
            <w:tcW w:w="2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个人计算机（Windows 11，纯 CPU）</w:t>
            </w:r>
          </w:p>
        </w:tc>
      </w:tr>
    </w:tbl>
    <w:p w14:paraId="1DB55C75">
      <w:pPr>
        <w:spacing w:after="300"/>
      </w:pPr>
    </w:p>
    <w:p w14:paraId="75D2104B">
      <w:pPr>
        <w:pStyle w:val="2"/>
        <w:keepNext/>
      </w:pPr>
      <w:r>
        <w:t>一、实验目的</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74E6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1. 掌握在 Blender 中搭建白模（clay）场景并用 Cycles 输出可复现深度/法线控制图的完整流程，理解深度归一化区间与反相处理对 ControlNet 输入质量的影响。</w:t>
            </w:r>
          </w:p>
        </w:tc>
      </w:tr>
      <w:tr w14:paraId="45CE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2. 掌握 stable-diffusion.cpp 的 GGUF 量化模型部署与纯 CPU 推理调用方法，能独立完成“权重准备（safetensors→GGUF）→ txt2img + ControlNet 控制生成”的流水线搭建。</w:t>
            </w:r>
          </w:p>
        </w:tc>
      </w:tr>
      <w:tr w14:paraId="2A18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3. 学会用受控变量法记录分辨率、采样步数、CFG、ControlNet 强度等参数对生成质量与耗时的影响，并对结果做定量对比与几何一致性评价。</w:t>
            </w:r>
          </w:p>
        </w:tc>
      </w:tr>
      <w:tr w14:paraId="2A18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4. 能够定位生成失败与画面缺陷（几何漂移、材质错误、深度图失效等）的成因并提出改进方案；初步掌握人像融合中的抠图、预乘 alpha 与梯度域融合方法。</w:t>
            </w:r>
          </w:p>
        </w:tc>
      </w:tr>
    </w:tbl>
    <w:p w14:paraId="6A762C98">
      <w:pPr>
        <w:spacing w:after="60"/>
      </w:pPr>
    </w:p>
    <w:p w14:paraId="0D9F1B01">
      <w:pPr>
        <w:pStyle w:val="2"/>
        <w:keepNext/>
      </w:pPr>
      <w:r>
        <w:t>二、实验环境</w:t>
      </w:r>
    </w:p>
    <w:tbl>
      <w:tblPr>
        <w:tblStyle w:val="21"/>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6356"/>
      </w:tblGrid>
      <w:tr w14:paraId="0B1A2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6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77E541D5">
            <w:pPr>
              <w:keepNext/>
              <w:spacing w:after="0" w:line="260" w:lineRule="auto"/>
            </w:pPr>
            <w:r>
              <w:rPr>
                <w:b/>
                <w:bCs/>
                <w:sz w:val="20"/>
                <w:szCs w:val="20"/>
              </w:rPr>
              <w:t>项目</w:t>
            </w:r>
          </w:p>
        </w:tc>
        <w:tc>
          <w:tcPr>
            <w:tcW w:w="6356"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273D0BA5">
            <w:pPr>
              <w:keepNext/>
              <w:spacing w:after="0" w:line="260" w:lineRule="auto"/>
            </w:pPr>
            <w:r>
              <w:rPr>
                <w:b/>
                <w:bCs/>
                <w:sz w:val="20"/>
                <w:szCs w:val="20"/>
              </w:rPr>
              <w:t>填写内容</w:t>
            </w:r>
          </w:p>
        </w:tc>
      </w:tr>
      <w:tr w14:paraId="7731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FEB6A7">
            <w:pPr>
              <w:keepNext/>
              <w:spacing w:after="0" w:line="260" w:lineRule="auto"/>
            </w:pPr>
            <w:r>
              <w:rPr>
                <w:sz w:val="20"/>
                <w:szCs w:val="20"/>
              </w:rPr>
              <w:t>CPU / 内存</w:t>
            </w:r>
          </w:p>
        </w:tc>
        <w:tc>
          <w:tcPr>
            <w:tcW w:w="635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Intel Core i7-14650HX（16 核 24 线程，8P+8E），15.6 GB DDR5；无独立显卡参与计算</w:t>
            </w:r>
          </w:p>
        </w:tc>
      </w:tr>
      <w:tr w14:paraId="1A7A2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17A423E">
            <w:pPr>
              <w:keepNext/>
              <w:spacing w:after="0" w:line="260" w:lineRule="auto"/>
            </w:pPr>
            <w:r>
              <w:rPr>
                <w:sz w:val="20"/>
                <w:szCs w:val="20"/>
              </w:rPr>
              <w:t>操作系统</w:t>
            </w:r>
          </w:p>
        </w:tc>
        <w:tc>
          <w:tcPr>
            <w:tcW w:w="635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Windows 11 专业版 10.0.26200（x64）</w:t>
            </w:r>
          </w:p>
        </w:tc>
      </w:tr>
      <w:tr w14:paraId="194D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54D8EA0">
            <w:pPr>
              <w:keepNext/>
              <w:spacing w:after="0" w:line="260" w:lineRule="auto"/>
            </w:pPr>
            <w:r>
              <w:rPr>
                <w:sz w:val="20"/>
                <w:szCs w:val="20"/>
              </w:rPr>
              <w:t>Blender 版本</w:t>
            </w:r>
          </w:p>
        </w:tc>
        <w:tc>
          <w:tcPr>
            <w:tcW w:w="635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Blender 5.1.0（Cycles，CPU 设备，Standard 视图变换，64 spp + OIDN 降噪）</w:t>
            </w:r>
          </w:p>
        </w:tc>
      </w:tr>
      <w:tr w14:paraId="336D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821A8B7">
            <w:pPr>
              <w:keepNext/>
              <w:spacing w:after="0" w:line="260" w:lineRule="auto"/>
            </w:pPr>
            <w:r>
              <w:rPr>
                <w:sz w:val="20"/>
                <w:szCs w:val="20"/>
              </w:rPr>
              <w:t>推理后端与版本</w:t>
            </w:r>
          </w:p>
        </w:tc>
        <w:tc>
          <w:tcPr>
            <w:tcW w:w="635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stable-diffusion.cpp（Windows x64 CPU 预编译版，commit be48649 / master-1017），ggml CPU 后端，AVX2/AVX-VNNI/F16C，16 线程</w:t>
            </w:r>
          </w:p>
        </w:tc>
      </w:tr>
      <w:tr w14:paraId="30D5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9E08CE5">
            <w:pPr>
              <w:keepNext/>
              <w:spacing w:after="0" w:line="260" w:lineRule="auto"/>
            </w:pPr>
            <w:r>
              <w:rPr>
                <w:sz w:val="20"/>
                <w:szCs w:val="20"/>
              </w:rPr>
              <w:t>主模型文件</w:t>
            </w:r>
          </w:p>
        </w:tc>
        <w:tc>
          <w:tcPr>
            <w:tcW w:w="635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models/sd_turbo-q4_0.gguf（SD-Turbo，Q4_0 量化，1 847 909 248 B ≈ 1.85 GB；SD2.1 架构，1024 维 cross-attention）</w:t>
            </w:r>
          </w:p>
        </w:tc>
      </w:tr>
      <w:tr w14:paraId="210A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EC029BF">
            <w:pPr>
              <w:keepNext/>
              <w:spacing w:after="0" w:line="260" w:lineRule="auto"/>
            </w:pPr>
            <w:r>
              <w:rPr>
                <w:sz w:val="20"/>
                <w:szCs w:val="20"/>
              </w:rPr>
              <w:t>ControlNet 文件</w:t>
            </w:r>
          </w:p>
        </w:tc>
        <w:tc>
          <w:tcPr>
            <w:tcW w:w="635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models/control_v11p_sd21_depth.safetensors（SD 2.1 depth，728 494 536 B）→ sd-cli -M convert --type f16 → control_depth_sd21-fp16.gguf（728 482 784 B）</w:t>
            </w:r>
          </w:p>
        </w:tc>
      </w:tr>
      <w:tr w14:paraId="14383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C04E3BF">
            <w:pPr>
              <w:keepNext w:val="0"/>
              <w:spacing w:after="0" w:line="260" w:lineRule="auto"/>
            </w:pPr>
            <w:r>
              <w:rPr>
                <w:sz w:val="20"/>
                <w:szCs w:val="20"/>
              </w:rPr>
              <w:t>其他依赖</w:t>
            </w:r>
          </w:p>
        </w:tc>
        <w:tc>
          <w:tcPr>
            <w:tcW w:w="635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Python 3.11.12 + numpy 2.4.6 / Pillow 13.0.0 / scipy 1.17.1（控制图统计与人像融合）；bpy 5.1（场景与导出脚本）</w:t>
            </w:r>
          </w:p>
        </w:tc>
      </w:tr>
    </w:tbl>
    <w:p w14:paraId="1C79963F">
      <w:pPr>
        <w:spacing w:after="120"/>
      </w:pPr>
    </w:p>
    <w:p w14:paraId="4F7D0B0F">
      <w:pPr>
        <w:pStyle w:val="2"/>
        <w:keepNext/>
      </w:pPr>
      <w:r>
        <w:t>三、实验原理简述</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7132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1）深度控制图的生成。Cycles 渲染时用 view_layer.material_override 把全部物体替换为“纯发射”材质：Light Path 的 Ray Length（相机空间光线长度 d）经 MapRange 由 [near, far] 线性映射到 [1, 0]，即反相输出——近处白、远处黑，符合 ControlNet depth 的“近亮远暗”约定。near/far 不取场景极值，而取所有可见顶点投影到相机空间后距离的 2%/98% 分位数（本场景 near=7.520 m、far=11.256 m），避免 40 m 见方的地面把有效深度压缩到十几个灰阶。</w:t>
            </w:r>
          </w:p>
        </w:tc>
      </w:tr>
      <w:tr w14:paraId="78A7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2）法线图。把世界空间法线 n 映射为 n*0.5+0.5 存成 RGB：R、G、B 对应 x、y、z 分量，正对相机处接近 (0.5,0.5,1)（淡紫色）。法线图在本实验中不参与条件控制，只用于人工核对物体朝向与遮挡关系。</w:t>
            </w:r>
          </w:p>
        </w:tc>
      </w:tr>
      <w:tr w14:paraId="5CF2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3）量化与纯 CPU 推理。SD-Turbo 是 SD2.1 的蒸馏版本，把 20~50 步的采样轨迹压缩到 1~4 步；蒸馏时教师工作在无分类器引导（CFG=1）条件，因此推理的 CFG 必须贴近 1.2。权重用 Q4_0 量化：每 32 个权重共享一个 f16 尺度因子，主模型由 f16 的约 2.4 GB 降到 1.85 GB，解码时按块反量化；纯 CPU 上瓶颈是内存带宽而非算力。</w:t>
            </w:r>
          </w:p>
        </w:tc>
      </w:tr>
      <w:tr w14:paraId="46DD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4）控制生成流程。sd-cli 同时加载 SD2.1 UNet、VAE 与 SD2.1-depth ControlNet，把深度图编码成与 UNet 各层同分辨率的多尺度特征，在每一步去噪中以 --control-strength 加权注入；文本提示词给出材质与光照先验，深度条件给出几何骨架。SD1.5 的 depth ControlNet（768 维 cross-attention）与本模型（1024 维）形状不匹配，会直接报 got [768,1280] expected [1024,1280]。</w:t>
            </w:r>
          </w:p>
        </w:tc>
      </w:tr>
    </w:tbl>
    <w:p w14:paraId="20F55766">
      <w:pPr>
        <w:spacing w:after="60"/>
      </w:pPr>
    </w:p>
    <w:p w14:paraId="47E11719">
      <w:pPr>
        <w:pStyle w:val="2"/>
        <w:keepNext/>
      </w:pPr>
      <w:r>
        <w:t>四、实验步骤与命令记录</w:t>
      </w:r>
    </w:p>
    <w:tbl>
      <w:tblPr>
        <w:tblStyle w:val="21"/>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2600"/>
        <w:gridCol w:w="3400"/>
        <w:gridCol w:w="2116"/>
      </w:tblGrid>
      <w:tr w14:paraId="6410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315E71D0">
            <w:pPr>
              <w:keepNext/>
              <w:spacing w:after="0" w:line="260" w:lineRule="auto"/>
            </w:pPr>
            <w:r>
              <w:rPr>
                <w:b/>
                <w:bCs/>
                <w:sz w:val="20"/>
                <w:szCs w:val="20"/>
              </w:rPr>
              <w:t>序号</w:t>
            </w:r>
          </w:p>
        </w:tc>
        <w:tc>
          <w:tcPr>
            <w:tcW w:w="26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6C7402F6">
            <w:pPr>
              <w:keepNext/>
              <w:spacing w:after="0" w:line="260" w:lineRule="auto"/>
            </w:pPr>
            <w:r>
              <w:rPr>
                <w:b/>
                <w:bCs/>
                <w:sz w:val="20"/>
                <w:szCs w:val="20"/>
              </w:rPr>
              <w:t>操作</w:t>
            </w:r>
          </w:p>
        </w:tc>
        <w:tc>
          <w:tcPr>
            <w:tcW w:w="34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5C9C1A22">
            <w:pPr>
              <w:keepNext/>
              <w:spacing w:after="0" w:line="260" w:lineRule="auto"/>
            </w:pPr>
            <w:r>
              <w:rPr>
                <w:b/>
                <w:bCs/>
                <w:sz w:val="20"/>
                <w:szCs w:val="20"/>
              </w:rPr>
              <w:t>命令 / 脚本</w:t>
            </w:r>
          </w:p>
        </w:tc>
        <w:tc>
          <w:tcPr>
            <w:tcW w:w="2116"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4C133002">
            <w:pPr>
              <w:keepNext/>
              <w:spacing w:after="0" w:line="260" w:lineRule="auto"/>
            </w:pPr>
            <w:r>
              <w:rPr>
                <w:b/>
                <w:bCs/>
                <w:sz w:val="20"/>
                <w:szCs w:val="20"/>
              </w:rPr>
              <w:t>输出文件</w:t>
            </w:r>
          </w:p>
        </w:tc>
      </w:tr>
      <w:tr w14:paraId="382F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80" w:hRule="atLeast"/>
        </w:trPr>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1</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搭建白模场景</w:t>
            </w:r>
          </w:p>
        </w:tc>
        <w:tc>
          <w:tcPr>
            <w:tcW w:w="3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blender -b --factory-startup -P blender/make_demo_scene.py -- --out assets/demo_white_model.blend --res 512</w:t>
            </w:r>
          </w:p>
        </w:tc>
        <w:tc>
          <w:tcPr>
            <w:tcW w:w="211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assets/demo_white_model.blend</w:t>
            </w:r>
          </w:p>
        </w:tc>
      </w:tr>
      <w:tr w14:paraId="2D48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2</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导出 depth / normal / clay</w:t>
            </w:r>
          </w:p>
        </w:tc>
        <w:tc>
          <w:tcPr>
            <w:tcW w:w="3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blender -b assets/demo_white_model.blend -P blender/export_control_maps.py -- --outdir output --name demo --res 512 --samples 64</w:t>
            </w:r>
          </w:p>
        </w:tc>
        <w:tc>
          <w:tcPr>
            <w:tcW w:w="211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output/demo_depth_0001.png、_normal_0001.png、_clay.png</w:t>
            </w:r>
          </w:p>
        </w:tc>
      </w:tr>
      <w:tr w14:paraId="2E68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3</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下载并转换 ControlNet 权重</w:t>
            </w:r>
          </w:p>
        </w:tc>
        <w:tc>
          <w:tcPr>
            <w:tcW w:w="3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sd-cli.exe -M convert -m models/control_v11p_sd21_depth.safetensors -o models/control_depth_sd21-fp16.gguf --type f16</w:t>
            </w:r>
          </w:p>
        </w:tc>
        <w:tc>
          <w:tcPr>
            <w:tcW w:w="211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models/control_depth_sd21-fp16.gguf</w:t>
            </w:r>
          </w:p>
        </w:tc>
      </w:tr>
      <w:tr w14:paraId="0278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4</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A 组：512² / 4 步基准生成</w:t>
            </w:r>
          </w:p>
        </w:tc>
        <w:tc>
          <w:tcPr>
            <w:tcW w:w="3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python scripts/run_pipeline.py --name a512_s4 --res 512 --steps 4 --cfg 1.2 --control-strength 0.9 --seed 42</w:t>
            </w:r>
          </w:p>
        </w:tc>
        <w:tc>
          <w:tcPr>
            <w:tcW w:w="211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output/a512_s4_photoreal.png、_run.json</w:t>
            </w:r>
          </w:p>
        </w:tc>
      </w:tr>
      <w:tr w14:paraId="6DA4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5</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B 组：768² / 4 步分辨率对比</w:t>
            </w:r>
          </w:p>
        </w:tc>
        <w:tc>
          <w:tcPr>
            <w:tcW w:w="3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python scripts/run_pipeline.py --name b768_s4 --res 768 --steps 4</w:t>
            </w:r>
          </w:p>
        </w:tc>
        <w:tc>
          <w:tcPr>
            <w:tcW w:w="211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output/b768_s4_photoreal.png</w:t>
            </w:r>
          </w:p>
        </w:tc>
      </w:tr>
      <w:tr w14:paraId="22AA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6</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C/D/E 组消融 + 拓展人像融合</w:t>
            </w:r>
          </w:p>
        </w:tc>
        <w:tc>
          <w:tcPr>
            <w:tcW w:w="3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python scripts/run_pipeline.py --name c512_s8 --steps 8 …；--name d512_ctrl05 --control-strength 0.5 …；--name e512_cfg3 --cfg 3.0 …；bash scripts/run_extension.sh</w:t>
            </w:r>
          </w:p>
        </w:tc>
        <w:tc>
          <w:tcPr>
            <w:tcW w:w="211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8"/>
              </w:rPr>
              <w:t>output/c512_s8 / d512_ctrl05 / e512_cfg3 / head_fused*</w:t>
            </w:r>
          </w:p>
        </w:tc>
      </w:tr>
    </w:tbl>
    <w:p w14:paraId="335F56CF">
      <w:pPr>
        <w:spacing w:after="120"/>
      </w:pPr>
    </w:p>
    <w:p w14:paraId="23098B65">
      <w:pPr>
        <w:pStyle w:val="2"/>
        <w:keepNext/>
      </w:pPr>
      <w:r>
        <w:t>五、参数配置记录</w:t>
      </w:r>
    </w:p>
    <w:tbl>
      <w:tblPr>
        <w:tblStyle w:val="21"/>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1182"/>
        <w:gridCol w:w="889"/>
        <w:gridCol w:w="894"/>
        <w:gridCol w:w="1274"/>
        <w:gridCol w:w="1084"/>
        <w:gridCol w:w="890"/>
      </w:tblGrid>
      <w:tr w14:paraId="46C0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74810CAB">
            <w:pPr>
              <w:keepNext/>
              <w:spacing w:after="0" w:line="260" w:lineRule="auto"/>
            </w:pPr>
            <w:r>
              <w:rPr>
                <w:b/>
                <w:bCs/>
                <w:sz w:val="20"/>
                <w:szCs w:val="20"/>
              </w:rPr>
              <w:t>运行</w:t>
            </w:r>
          </w:p>
        </w:tc>
        <w:tc>
          <w:tcPr>
            <w:tcW w:w="12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38765691">
            <w:pPr>
              <w:keepNext/>
              <w:spacing w:after="0" w:line="260" w:lineRule="auto"/>
            </w:pPr>
            <w:r>
              <w:rPr>
                <w:b/>
                <w:bCs/>
                <w:sz w:val="20"/>
                <w:szCs w:val="20"/>
              </w:rPr>
              <w:t>分辨率</w:t>
            </w:r>
          </w:p>
        </w:tc>
        <w:tc>
          <w:tcPr>
            <w:tcW w:w="9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2509A60B">
            <w:pPr>
              <w:keepNext/>
              <w:spacing w:after="0" w:line="260" w:lineRule="auto"/>
            </w:pPr>
            <w:r>
              <w:rPr>
                <w:b/>
                <w:bCs/>
                <w:sz w:val="20"/>
                <w:szCs w:val="20"/>
              </w:rPr>
              <w:t>步数</w:t>
            </w:r>
          </w:p>
        </w:tc>
        <w:tc>
          <w:tcPr>
            <w:tcW w:w="9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14B23B0D">
            <w:pPr>
              <w:keepNext/>
              <w:spacing w:after="0" w:line="260" w:lineRule="auto"/>
            </w:pPr>
            <w:r>
              <w:rPr>
                <w:b/>
                <w:bCs/>
                <w:sz w:val="20"/>
                <w:szCs w:val="20"/>
              </w:rPr>
              <w:t>CFG</w:t>
            </w:r>
          </w:p>
        </w:tc>
        <w:tc>
          <w:tcPr>
            <w:tcW w:w="12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276EBB36">
            <w:pPr>
              <w:keepNext/>
              <w:spacing w:after="0" w:line="260" w:lineRule="auto"/>
            </w:pPr>
            <w:r>
              <w:rPr>
                <w:b/>
                <w:bCs/>
                <w:sz w:val="20"/>
                <w:szCs w:val="20"/>
              </w:rPr>
              <w:t>ControlNet</w:t>
            </w:r>
          </w:p>
        </w:tc>
        <w:tc>
          <w:tcPr>
            <w:tcW w:w="11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031A5C1B">
            <w:pPr>
              <w:keepNext/>
              <w:spacing w:after="0" w:line="260" w:lineRule="auto"/>
            </w:pPr>
            <w:r>
              <w:rPr>
                <w:b/>
                <w:bCs/>
                <w:sz w:val="20"/>
                <w:szCs w:val="20"/>
              </w:rPr>
              <w:t>采样器</w:t>
            </w:r>
          </w:p>
        </w:tc>
        <w:tc>
          <w:tcPr>
            <w:tcW w:w="9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14E312B1">
            <w:pPr>
              <w:keepNext/>
              <w:spacing w:after="0" w:line="260" w:lineRule="auto"/>
            </w:pPr>
            <w:r>
              <w:rPr>
                <w:b/>
                <w:bCs/>
                <w:sz w:val="20"/>
                <w:szCs w:val="20"/>
              </w:rPr>
              <w:t>种子</w:t>
            </w:r>
          </w:p>
        </w:tc>
      </w:tr>
      <w:tr w14:paraId="75FC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A</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512×512</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1.2</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0.9</w:t>
            </w:r>
          </w:p>
        </w:tc>
        <w:tc>
          <w:tcPr>
            <w:tcW w:w="1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euler_a</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42</w:t>
            </w:r>
          </w:p>
        </w:tc>
      </w:tr>
      <w:tr w14:paraId="242B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B</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768×768</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1.2</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0.9</w:t>
            </w:r>
          </w:p>
        </w:tc>
        <w:tc>
          <w:tcPr>
            <w:tcW w:w="1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euler_a</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42</w:t>
            </w:r>
          </w:p>
        </w:tc>
      </w:tr>
      <w:tr w14:paraId="0E0C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C</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512×512</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8</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1.2</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0.9</w:t>
            </w:r>
          </w:p>
        </w:tc>
        <w:tc>
          <w:tcPr>
            <w:tcW w:w="1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euler_a</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42</w:t>
            </w:r>
          </w:p>
        </w:tc>
      </w:tr>
      <w:tr w14:paraId="0E0C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D</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512×512</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1.2</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0.5</w:t>
            </w:r>
          </w:p>
        </w:tc>
        <w:tc>
          <w:tcPr>
            <w:tcW w:w="1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euler_a</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42</w:t>
            </w:r>
          </w:p>
        </w:tc>
      </w:tr>
      <w:tr w14:paraId="0E0C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E</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512×512</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3.0</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0.9</w:t>
            </w:r>
          </w:p>
        </w:tc>
        <w:tc>
          <w:tcPr>
            <w:tcW w:w="1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euler_a</w:t>
            </w:r>
          </w:p>
        </w:tc>
        <w:tc>
          <w:tcPr>
            <w:tcW w:w="9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42</w:t>
            </w:r>
          </w:p>
        </w:tc>
      </w:tr>
    </w:tbl>
    <w:p w14:paraId="1BB01611">
      <w:pPr>
        <w:spacing w:after="80"/>
      </w:pPr>
    </w:p>
    <w:p w14:paraId="6D659DC7">
      <w:pPr>
        <w:keepNext/>
        <w:spacing w:after="90" w:line="320" w:lineRule="auto"/>
      </w:pPr>
      <w:r>
        <w:rPr>
          <w:b/>
          <w:bCs/>
        </w:rPr>
        <w:t>提示词：</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4DD5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photorealistic render, studio soft lighting, PBR material, preserve original 3d geometry, sharp</w:t>
            </w:r>
          </w:p>
        </w:tc>
      </w:tr>
      <w:tr w14:paraId="43C3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9F3A8A8">
            <w:pPr>
              <w:spacing w:after="0" w:line="260" w:lineRule="auto"/>
            </w:pPr>
          </w:p>
        </w:tc>
      </w:tr>
    </w:tbl>
    <w:p w14:paraId="1B1AF146">
      <w:pPr>
        <w:keepNext/>
        <w:spacing w:after="90" w:line="320" w:lineRule="auto"/>
      </w:pPr>
      <w:r>
        <w:rPr>
          <w:b/>
          <w:bCs/>
        </w:rPr>
        <w:t>负向提示词：</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2F2D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deformed geometry, perspective changed, blurry</w:t>
            </w:r>
          </w:p>
        </w:tc>
      </w:tr>
      <w:tr w14:paraId="0D902365">
        <w:tblPrEx>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8A149BD">
            <w:pPr>
              <w:spacing w:after="0" w:line="260" w:lineRule="auto"/>
            </w:pPr>
          </w:p>
        </w:tc>
      </w:tr>
    </w:tbl>
    <w:p w14:paraId="78B1DBB9">
      <w:pPr>
        <w:spacing w:after="120"/>
      </w:pPr>
    </w:p>
    <w:p w14:paraId="173738C9">
      <w:pPr>
        <w:pStyle w:val="2"/>
        <w:keepNext/>
      </w:pPr>
      <w:r>
        <w:t>六、实验数据记录</w:t>
      </w:r>
    </w:p>
    <w:tbl>
      <w:tblPr>
        <w:tblStyle w:val="21"/>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1800"/>
        <w:gridCol w:w="1800"/>
        <w:gridCol w:w="1800"/>
        <w:gridCol w:w="2200"/>
      </w:tblGrid>
      <w:tr w14:paraId="6CFF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5A5B6C42">
            <w:pPr>
              <w:keepNext/>
              <w:spacing w:after="0" w:line="260" w:lineRule="auto"/>
            </w:pPr>
            <w:r>
              <w:rPr>
                <w:b/>
                <w:bCs/>
                <w:sz w:val="20"/>
                <w:szCs w:val="20"/>
              </w:rPr>
              <w:t>运行</w:t>
            </w:r>
          </w:p>
        </w:tc>
        <w:tc>
          <w:tcPr>
            <w:tcW w:w="18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37E60ADC">
            <w:pPr>
              <w:keepNext/>
              <w:spacing w:after="0" w:line="260" w:lineRule="auto"/>
            </w:pPr>
            <w:r>
              <w:rPr>
                <w:b/>
                <w:bCs/>
                <w:sz w:val="20"/>
                <w:szCs w:val="20"/>
              </w:rPr>
              <w:t>采样耗时 (s)</w:t>
            </w:r>
          </w:p>
        </w:tc>
        <w:tc>
          <w:tcPr>
            <w:tcW w:w="18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1F16DCE1">
            <w:pPr>
              <w:keepNext/>
              <w:spacing w:after="0" w:line="260" w:lineRule="auto"/>
            </w:pPr>
            <w:r>
              <w:rPr>
                <w:b/>
                <w:bCs/>
                <w:sz w:val="20"/>
                <w:szCs w:val="20"/>
              </w:rPr>
              <w:t>VAE 解码 (s)</w:t>
            </w:r>
          </w:p>
        </w:tc>
        <w:tc>
          <w:tcPr>
            <w:tcW w:w="18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0801ADC1">
            <w:pPr>
              <w:keepNext/>
              <w:spacing w:after="0" w:line="260" w:lineRule="auto"/>
            </w:pPr>
            <w:r>
              <w:rPr>
                <w:b/>
                <w:bCs/>
                <w:sz w:val="20"/>
                <w:szCs w:val="20"/>
              </w:rPr>
              <w:t>总耗时 (s)</w:t>
            </w:r>
          </w:p>
        </w:tc>
        <w:tc>
          <w:tcPr>
            <w:tcW w:w="22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220F6C81">
            <w:pPr>
              <w:keepNext/>
              <w:spacing w:after="0" w:line="260" w:lineRule="auto"/>
            </w:pPr>
            <w:r>
              <w:rPr>
                <w:b/>
                <w:bCs/>
                <w:sz w:val="20"/>
                <w:szCs w:val="20"/>
              </w:rPr>
              <w:t>备注</w:t>
            </w:r>
          </w:p>
        </w:tc>
      </w:tr>
      <w:tr w14:paraId="0304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A</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37.3</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14.5</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60.6</w:t>
            </w:r>
          </w:p>
        </w:tc>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基准配置；进程常驻 3.6 GB</w:t>
            </w:r>
          </w:p>
        </w:tc>
      </w:tr>
      <w:tr w14:paraId="6B22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B</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93.0</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33.8</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144.2</w:t>
            </w:r>
          </w:p>
        </w:tc>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像素数为 A 的 2.25 倍，单步 23.3 s</w:t>
            </w:r>
          </w:p>
        </w:tc>
      </w:tr>
      <w:tr w14:paraId="23AF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C</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73.0</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14.6</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96.7</w:t>
            </w:r>
          </w:p>
        </w:tc>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步数翻倍，单步与 A 基本一致（9.1 s）</w:t>
            </w:r>
          </w:p>
        </w:tc>
      </w:tr>
      <w:tr w14:paraId="5C57E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D</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36.7</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14.6</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59.9</w:t>
            </w:r>
          </w:p>
        </w:tc>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ControlNet 强度减半，条件失效</w:t>
            </w:r>
          </w:p>
        </w:tc>
      </w:tr>
      <w:tr w14:paraId="71F2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E</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36.2</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14.3</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59.2</w:t>
            </w:r>
          </w:p>
        </w:tc>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jc w:val="center"/>
            </w:pPr>
            <w:r/>
            <w:r>
              <w:rPr>
                <w:rFonts w:ascii="Times New Roman" w:hAnsi="Times New Roman" w:eastAsia="宋体"/>
                <w:b w:val="0"/>
                <w:sz w:val="21"/>
              </w:rPr>
              <w:t>CFG 超出蒸馏适用范围，过饱和</w:t>
            </w:r>
          </w:p>
        </w:tc>
      </w:tr>
    </w:tbl>
    <w:p w14:paraId="4E7F682A">
      <w:pPr>
        <w:spacing w:after="120"/>
      </w:pPr>
    </w:p>
    <w:p w14:paraId="408E40D3">
      <w:pPr>
        <w:pStyle w:val="2"/>
        <w:keepNext/>
      </w:pPr>
      <w:r>
        <w:t>七、结果与分析</w:t>
      </w:r>
    </w:p>
    <w:p w14:paraId="1311FEEF">
      <w:pPr>
        <w:pStyle w:val="3"/>
        <w:keepNext/>
      </w:pPr>
      <w:r>
        <w:t>7.1 控制图</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002F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90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pPr>
              <w:spacing w:before="40" w:after="40"/>
            </w:pPr>
            <w:r/>
            <w:r>
              <w:rPr>
                <w:rFonts w:ascii="Times New Roman" w:hAnsi="Times New Roman" w:eastAsia="宋体"/>
                <w:b w:val="0"/>
                <w:sz w:val="21"/>
              </w:rPr>
              <w:t>图 7-1  白模导出的控制图（左：depth 反相近亮远黑；中：normal 仅用于核对朝向；右：clay 白模渲染）</w:t>
            </w:r>
          </w:p>
        </w:tc>
      </w:tr>
      <w:tr w14:paraId="6C10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jc w:val="center"/>
            </w:pPr>
            <w:r/>
            <w:r>
              <w:drawing>
                <wp:inline xmlns:a="http://schemas.openxmlformats.org/drawingml/2006/main" xmlns:pic="http://schemas.openxmlformats.org/drawingml/2006/picture">
                  <wp:extent cx="5760000" cy="2025575"/>
                  <wp:docPr id="1" name="Picture 1"/>
                  <wp:cNvGraphicFramePr>
                    <a:graphicFrameLocks noChangeAspect="1"/>
                  </wp:cNvGraphicFramePr>
                  <a:graphic>
                    <a:graphicData uri="http://schemas.openxmlformats.org/drawingml/2006/picture">
                      <pic:pic>
                        <pic:nvPicPr>
                          <pic:cNvPr id="0" name="fig_control.png"/>
                          <pic:cNvPicPr/>
                        </pic:nvPicPr>
                        <pic:blipFill>
                          <a:blip r:embed="rId6"/>
                          <a:stretch>
                            <a:fillRect/>
                          </a:stretch>
                        </pic:blipFill>
                        <pic:spPr>
                          <a:xfrm>
                            <a:off x="0" y="0"/>
                            <a:ext cx="5760000" cy="2025575"/>
                          </a:xfrm>
                          <a:prstGeom prst="rect"/>
                        </pic:spPr>
                      </pic:pic>
                    </a:graphicData>
                  </a:graphic>
                </wp:inline>
              </w:drawing>
            </w:r>
          </w:p>
        </w:tc>
      </w:tr>
    </w:tbl>
    <w:p w14:paraId="4553D7D6">
      <w:pPr>
        <w:spacing w:after="120"/>
      </w:pPr>
    </w:p>
    <w:p w14:paraId="6BB34D75">
      <w:pPr>
        <w:pStyle w:val="3"/>
        <w:keepNext/>
      </w:pPr>
      <w:r>
        <w:t>7.2 生成结果</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5B314726">
        <w:tblPrEx>
          <w:tblCellMar>
            <w:top w:w="0" w:type="dxa"/>
            <w:left w:w="108" w:type="dxa"/>
            <w:bottom w:w="0" w:type="dxa"/>
            <w:right w:w="108" w:type="dxa"/>
          </w:tblCellMar>
        </w:tblPrEx>
        <w:trPr>
          <w:cantSplit/>
          <w:tblHeader/>
        </w:trPr>
        <w:tc>
          <w:tcPr>
            <w:tcW w:w="90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pPr>
              <w:spacing w:before="40" w:after="40"/>
            </w:pPr>
            <w:r/>
            <w:r>
              <w:rPr>
                <w:rFonts w:ascii="Times New Roman" w:hAnsi="Times New Roman" w:eastAsia="宋体"/>
                <w:b w:val="0"/>
                <w:sz w:val="21"/>
              </w:rPr>
              <w:t>图 7-2  同一种子下的生成结果（A：512²/4 步；C：512²/8 步；B：768²/4 步）</w:t>
            </w:r>
          </w:p>
        </w:tc>
      </w:tr>
      <w:tr w14:paraId="042D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jc w:val="center"/>
            </w:pPr>
            <w:r/>
            <w:r>
              <w:drawing>
                <wp:inline xmlns:a="http://schemas.openxmlformats.org/drawingml/2006/main" xmlns:pic="http://schemas.openxmlformats.org/drawingml/2006/picture">
                  <wp:extent cx="5760000" cy="2014032"/>
                  <wp:docPr id="2" name="Picture 2"/>
                  <wp:cNvGraphicFramePr>
                    <a:graphicFrameLocks noChangeAspect="1"/>
                  </wp:cNvGraphicFramePr>
                  <a:graphic>
                    <a:graphicData uri="http://schemas.openxmlformats.org/drawingml/2006/picture">
                      <pic:pic>
                        <pic:nvPicPr>
                          <pic:cNvPr id="0" name="fig_runs.png"/>
                          <pic:cNvPicPr/>
                        </pic:nvPicPr>
                        <pic:blipFill>
                          <a:blip r:embed="rId7"/>
                          <a:stretch>
                            <a:fillRect/>
                          </a:stretch>
                        </pic:blipFill>
                        <pic:spPr>
                          <a:xfrm>
                            <a:off x="0" y="0"/>
                            <a:ext cx="5760000" cy="2014032"/>
                          </a:xfrm>
                          <a:prstGeom prst="rect"/>
                        </pic:spPr>
                      </pic:pic>
                    </a:graphicData>
                  </a:graphic>
                </wp:inline>
              </w:drawing>
            </w:r>
          </w:p>
        </w:tc>
      </w:tr>
    </w:tbl>
    <w:p w14:paraId="43876FF9">
      <w:pPr>
        <w:spacing w:after="120"/>
      </w:pPr>
    </w:p>
    <w:p w14:paraId="3FDFF0EF">
      <w:pPr>
        <w:pStyle w:val="3"/>
        <w:keepNext/>
      </w:pPr>
      <w:r>
        <w:t>7.3 几何一致性评价</w:t>
      </w:r>
    </w:p>
    <w:p>
      <w:pPr>
        <w:spacing w:before="60" w:after="80"/>
        <w:ind w:firstLine="420"/>
        <w:jc w:val="both"/>
      </w:pPr>
      <w:r>
        <w:rPr>
          <w:rFonts w:ascii="Times New Roman" w:hAnsi="Times New Roman" w:eastAsia="宋体"/>
          <w:b w:val="0"/>
          <w:sz w:val="21"/>
        </w:rPr>
        <w:t>以白模（图 7-1 右）为参照，A 组四个几何体的数量、位置、相对大小与遮挡关系全部正确：球与圆环在后、圆柱与立方体在前，圆环被立方体遮挡的部分在生成图中也确实被遮挡，物体与桌面的接触阴影方向一致，说明深度条件把相机空间中的相对距离正确地传递给了 UNet。为验证“轮廓正确来自深度而非提示词”，在同一提示词、同一种子下去掉 ControlNet 又跑了一次（图 7-3 右下）：模型生成的是一个与白模毫无关系的室内场景（窗、砖柱、桌椅），证明没有深度条件时 SD-Turbo 完全不受几何约束。</w:t>
      </w:r>
    </w:p>
    <w:p>
      <w:pPr>
        <w:spacing w:before="60" w:after="80"/>
        <w:ind w:firstLine="420"/>
        <w:jc w:val="both"/>
      </w:pPr>
      <w:r>
        <w:rPr>
          <w:rFonts w:ascii="Times New Roman" w:hAnsi="Times New Roman" w:eastAsia="宋体"/>
          <w:b w:val="0"/>
          <w:sz w:val="21"/>
        </w:rPr>
        <w:t>不一致之处同样明显：① A 组圆柱被“改造”成一只开口杯——深度图上圆柱顶面灰度约 0.86，与其身后的地面几乎同色，ControlNet 无法区分“水平顶面”与“更远的地面”，模型遂按“容器”的语义先验补出了杯口内壁；② A 组圆环的孔洞被一块灰白圆盘填满——孔洞处本应透出更远的黑色背景，但深度图在该区域取到的是地面中灰，模型把它解释成“透过孔洞看到的地面”，镂空感丢失；③ A 组立方体的可见棱线略有软化，右下角出现 1~2 px 倒圆。</w:t>
      </w:r>
    </w:p>
    <w:p>
      <w:pPr>
        <w:spacing w:before="60" w:after="80"/>
        <w:ind w:firstLine="420"/>
        <w:jc w:val="both"/>
      </w:pPr>
      <w:r>
        <w:rPr>
          <w:rFonts w:ascii="Times New Roman" w:hAnsi="Times New Roman" w:eastAsia="宋体"/>
          <w:b w:val="0"/>
          <w:sz w:val="21"/>
        </w:rPr>
        <w:t>提高分辨率或步数都能修正几何：B 组（768²）中圆柱保持完整圆柱且顶面平坦、圆环孔洞真正镂空、立方体三条棱笔直；C 组（8 步）同样修正了“圆柱变杯”和“孔洞被填”两处错误，只是立方体侧面出现了过强的木纹层板。说明 SD-Turbo 在 512²/4 步时尚未完全收敛，几何细节依赖模型对深度灰阶连续性的推理精度，而分辨率与步数都在提高这种精度——代价是 B 组耗时达到 A 的 2.38 倍（144.3 s 对 60.6 s）。</w:t>
      </w:r>
    </w:p>
    <w:p w14:paraId="37AE1D87">
      <w:pPr>
        <w:spacing w:after="120"/>
      </w:pPr>
    </w:p>
    <w:p>
      <w:pPr>
        <w:keepNext/>
        <w:jc w:val="center"/>
      </w:pPr>
      <w:r>
        <w:rPr>
          <w:rFonts w:ascii="Times New Roman" w:hAnsi="Times New Roman" w:eastAsia="宋体"/>
          <w:b w:val="0"/>
          <w:sz w:val="18"/>
        </w:rPr>
        <w:t>图 7-3  参数消融（左上：A 基准，ctrl=0.9；右上：D，ctrl=0.5；左下：E，CFG=3.0；右下：去掉 ControlNet 的对照）</w:t>
      </w:r>
    </w:p>
    <w:p>
      <w:pPr>
        <w:keepLines/>
        <w:jc w:val="center"/>
      </w:pPr>
      <w:r>
        <w:drawing>
          <wp:inline xmlns:a="http://schemas.openxmlformats.org/drawingml/2006/main" xmlns:pic="http://schemas.openxmlformats.org/drawingml/2006/picture">
            <wp:extent cx="4680000" cy="5004624"/>
            <wp:docPr id="3" name="Picture 3"/>
            <wp:cNvGraphicFramePr>
              <a:graphicFrameLocks noChangeAspect="1"/>
            </wp:cNvGraphicFramePr>
            <a:graphic>
              <a:graphicData uri="http://schemas.openxmlformats.org/drawingml/2006/picture">
                <pic:pic>
                  <pic:nvPicPr>
                    <pic:cNvPr id="0" name="fig_ablation.png"/>
                    <pic:cNvPicPr/>
                  </pic:nvPicPr>
                  <pic:blipFill>
                    <a:blip r:embed="rId8"/>
                    <a:stretch>
                      <a:fillRect/>
                    </a:stretch>
                  </pic:blipFill>
                  <pic:spPr>
                    <a:xfrm>
                      <a:off x="0" y="0"/>
                      <a:ext cx="4680000" cy="5004624"/>
                    </a:xfrm>
                    <a:prstGeom prst="rect"/>
                  </pic:spPr>
                </pic:pic>
              </a:graphicData>
            </a:graphic>
          </wp:inline>
        </w:drawing>
      </w:r>
    </w:p>
    <w:p w14:paraId="3EB339BF">
      <w:pPr>
        <w:pStyle w:val="3"/>
        <w:keepNext/>
      </w:pPr>
      <w:r>
        <w:t>7.4 画面质量与缺陷</w:t>
      </w:r>
    </w:p>
    <w:p>
      <w:pPr>
        <w:spacing w:before="60" w:after="80"/>
        <w:ind w:firstLine="420"/>
        <w:jc w:val="both"/>
      </w:pPr>
      <w:r>
        <w:rPr>
          <w:rFonts w:ascii="Times New Roman" w:hAnsi="Times New Roman" w:eastAsia="宋体"/>
          <w:b w:val="0"/>
          <w:sz w:val="21"/>
        </w:rPr>
        <w:t>材质与光照整体可信：A 组中球呈深色粗陶、圆环是高光釉面、圆柱为白瓷、立方体是木纹，桌面有木纹与柔和高光；三点布光方向与白模一致（左上主光、右侧补光、后方轮廓光），接触阴影紧贴物体底部，没有悬浮感。B 组材质颗粒更细（砂岩/混凝土感），但整体偏灰、缺乏高光，雾感更重；C 组木纹过强，立方体侧面出现平行的“层板”条纹，属于步数增加后细节过度锐化的副作用。</w:t>
      </w:r>
    </w:p>
    <w:p>
      <w:pPr>
        <w:spacing w:before="60" w:after="80"/>
        <w:ind w:firstLine="420"/>
        <w:jc w:val="both"/>
      </w:pPr>
      <w:r>
        <w:rPr>
          <w:rFonts w:ascii="Times New Roman" w:hAnsi="Times New Roman" w:eastAsia="宋体"/>
          <w:b w:val="0"/>
          <w:sz w:val="21"/>
        </w:rPr>
        <w:t>至少三处可复现的失败：① 强度实验 D（ControlNet=0.5，图 7-3 右上）：圆环与立方体完全消失，被替换成一堆陶罐与三脚架，说明条件强度不足时模型会退回语义先验，“像什么”压倒了“在哪里”；② 过引导实验 E（CFG=3.0，图 7-3 左下）：画面严重过饱和，桌面变成暗红色、圆环孔洞出现黄色高光球、暗部细节被压死，这是蒸馏模型在训练分布之外的引导强度下把速度场线性外推的结果；③ 深度图自身的前景饱和：near=7.520 m 以内的地面已被裁剪为纯白，生成结果在画面底部出现一条突兀的“桌沿”横线（A 组最明显），说明深度图的动态范围裁剪会直接变成画面的结构伪影。此外 B 组右上角有一个约 20 px 的浅色圆形伪影，属于平坦区域采样噪声的残留。</w:t>
      </w:r>
    </w:p>
    <w:p w14:paraId="4D95DB12">
      <w:pPr>
        <w:spacing w:after="120"/>
      </w:pPr>
    </w:p>
    <w:p>
      <w:pPr>
        <w:pStyle w:val="3"/>
      </w:pPr>
      <w:r>
        <w:t>7.5 拓展：人像融合（半身像 + 正脸）</w:t>
      </w:r>
    </w:p>
    <w:p>
      <w:pPr>
        <w:spacing w:before="60" w:after="60"/>
        <w:ind w:firstLine="420"/>
      </w:pPr>
      <w:r>
        <w:rPr>
          <w:rFonts w:ascii="Times New Roman" w:hAnsi="Times New Roman" w:eastAsia="宋体"/>
          <w:b w:val="0"/>
          <w:sz w:val="21"/>
        </w:rPr>
        <w:t>拓展目标：把一张正脸合成到 7.2 节生成的半身像上，使其看起来像同一次拍摄。整条链路共 6 步：</w:t>
      </w:r>
    </w:p>
    <w:p>
      <w:pPr>
        <w:spacing w:before="60" w:after="60"/>
        <w:ind w:firstLine="420"/>
      </w:pPr>
      <w:r>
        <w:rPr>
          <w:rFonts w:ascii="Times New Roman" w:hAnsi="Times New Roman" w:eastAsia="宋体"/>
          <w:b w:val="0"/>
          <w:sz w:val="20"/>
        </w:rPr>
        <w:t>（1）场景：make_head_scene.py --variant bust 生成“头+颈+肩+胸”白模（相机 63 mm，(0.34,-3.95,1.78)→(0,0,1.40)，三点布光），export_control_maps.py 导出 depth/clay（near=3.416 m、far=4.508 m）。与 7.1 的静物场景共用同一套导出代码，保证控制图约定一致。</w:t>
      </w:r>
    </w:p>
    <w:p>
      <w:pPr>
        <w:spacing w:before="60" w:after="60"/>
        <w:ind w:firstLine="420"/>
      </w:pPr>
      <w:r>
        <w:rPr>
          <w:rFonts w:ascii="Times New Roman" w:hAnsi="Times New Roman" w:eastAsia="宋体"/>
          <w:b w:val="0"/>
          <w:sz w:val="20"/>
        </w:rPr>
        <w:t>（2）底图生成：run_pipeline.py 以 bust 深度图为条件生成 head_photoreal.png（512²、4 步、CFG 1.2、ctrl 0.9、种子 42）；模型把“蛋形头+圆角肩条+胸台”的白模解释成一尊石雕胸像，这一步决定了几何与材质基底。</w:t>
      </w:r>
    </w:p>
    <w:p>
      <w:pPr>
        <w:spacing w:before="60" w:after="60"/>
        <w:ind w:firstLine="420"/>
      </w:pPr>
      <w:r>
        <w:rPr>
          <w:rFonts w:ascii="Times New Roman" w:hAnsi="Times New Roman" w:eastAsia="宋体"/>
          <w:b w:val="0"/>
          <w:sz w:val="20"/>
        </w:rPr>
        <w:t>（3）头像来源：融合只需要“一张脸”，不要求与白模同姿态，因此直接文生图（不加 ControlNet）得到 512² 正脸 face_src.png（4 步、CFG 1.3、种子 7，提示词强调 pure white background）。先试过“用 headonly 场景的深度图当 alpha”，结果模型在蛋形轮廓内自动补出针织兜帽，连兜帽一起贴了进去——融合源的生成方式会直接影响抠图难度。</w:t>
      </w:r>
    </w:p>
    <w:p>
      <w:pPr>
        <w:spacing w:before="60" w:after="60"/>
        <w:ind w:firstLine="420"/>
      </w:pPr>
      <w:r>
        <w:rPr>
          <w:rFonts w:ascii="Times New Roman" w:hAnsi="Times New Roman" w:eastAsia="宋体"/>
          <w:b w:val="0"/>
          <w:sz w:val="20"/>
        </w:rPr>
        <w:t>（4）抠图与对齐：正脸图的边框被头发与背景混占，按边框颜色做 flood key 会在发丝与额头高光处失败，故改用“羽化椭圆”alpha（rx=0.46、ry=0.50、羽化 0.10）只保留中央脸区；再从 bust 深度图取前景外接框得头部框 (67,47,444,384)，按 --face 0.28,0.25,0.78,0.87 推出面部框 (172.6,131.2,361.1,340.2)，用 --warp-fill 把脸拉伸到该框（缩放比 0.4198）。</w:t>
      </w:r>
    </w:p>
    <w:p>
      <w:pPr>
        <w:spacing w:before="60" w:after="60"/>
        <w:ind w:firstLine="420"/>
      </w:pPr>
      <w:r>
        <w:rPr>
          <w:rFonts w:ascii="Times New Roman" w:hAnsi="Times New Roman" w:eastAsia="宋体"/>
          <w:b w:val="0"/>
          <w:sz w:val="20"/>
        </w:rPr>
        <w:t>（5）预乘与梯度域融合：颜色先乘 alpha 再合成，避免缩放/羽化后边缘混入背景色形成白边；亮度均值/方差匹配只作用在 alpha&gt;0 的像素上（早期版本对整个贴图矩形做匹配，矩形边界肉眼可见）；随后在贴图区解 Poisson 方程 ∇²f=∇²(src)、边界取底图，与直接贴图按 --clone 0.25 混合，最后按底图高频噪声强度补回颗粒。融合耗时 1.48 s。</w:t>
      </w:r>
    </w:p>
    <w:p>
      <w:pPr>
        <w:spacing w:before="60" w:after="60"/>
        <w:ind w:firstLine="420"/>
      </w:pPr>
      <w:r>
        <w:rPr>
          <w:rFonts w:ascii="Times New Roman" w:hAnsi="Times New Roman" w:eastAsia="宋体"/>
          <w:b w:val="0"/>
          <w:sz w:val="20"/>
        </w:rPr>
        <w:t>（6）img2img 精修：以融合图为初始图、同一张 bust 深度图为条件，--strength 0.30 / 8 步 / CFG 1.2 / --control-strength 0.6 再生成一次，让模型在低噪声水平下重绘接缝与光照。精修强度必须拿捏：0.22 时接缝仍在，0.35 且提示词写“石雕”时会把脸重新画回石头五官（本实验两版都跑过），0.30 + “young person”才既保住五官又统一了光影。</w:t>
      </w:r>
    </w:p>
    <w:p>
      <w:pPr>
        <w:spacing w:before="60" w:after="60"/>
        <w:ind w:firstLine="420"/>
      </w:pPr>
      <w:r>
        <w:rPr>
          <w:rFonts w:ascii="Times New Roman" w:hAnsi="Times New Roman" w:eastAsia="宋体"/>
          <w:b w:val="0"/>
          <w:sz w:val="20"/>
        </w:rPr>
        <w:t>实测：头部框 [67, 47, 444, 384]，面部框 [172.6, 131.2, 361.1, 340.2]，缩放比 0.4198，贴图区 [173, 131, 361, 340]，融合耗时 1.48 s；底图颗粒 σ=0.01764，融合后 σ=0.01761。</w:t>
      </w:r>
    </w:p>
    <w:p>
      <w:pPr>
        <w:keepNext/>
        <w:jc w:val="center"/>
      </w:pPr>
      <w:r>
        <w:rPr>
          <w:rFonts w:ascii="Times New Roman" w:hAnsi="Times New Roman" w:eastAsia="宋体"/>
          <w:b w:val="0"/>
          <w:sz w:val="18"/>
        </w:rPr>
        <w:t>图 7-4  人像融合链路（左上：深度控制生成的半身像；右上：文生图得到的正脸；左下：羽化椭圆 alpha + 预乘 + Poisson 贴图（未精修）；右下：img2img 精修后的最终结果）</w:t>
      </w:r>
    </w:p>
    <w:p>
      <w:pPr>
        <w:keepLines/>
        <w:jc w:val="center"/>
      </w:pPr>
      <w:r>
        <w:drawing>
          <wp:inline xmlns:a="http://schemas.openxmlformats.org/drawingml/2006/main" xmlns:pic="http://schemas.openxmlformats.org/drawingml/2006/picture">
            <wp:extent cx="4680000" cy="5004624"/>
            <wp:docPr id="4" name="Picture 4"/>
            <wp:cNvGraphicFramePr>
              <a:graphicFrameLocks noChangeAspect="1"/>
            </wp:cNvGraphicFramePr>
            <a:graphic>
              <a:graphicData uri="http://schemas.openxmlformats.org/drawingml/2006/picture">
                <pic:pic>
                  <pic:nvPicPr>
                    <pic:cNvPr id="0" name="fig_ext.png"/>
                    <pic:cNvPicPr/>
                  </pic:nvPicPr>
                  <pic:blipFill>
                    <a:blip r:embed="rId9"/>
                    <a:stretch>
                      <a:fillRect/>
                    </a:stretch>
                  </pic:blipFill>
                  <pic:spPr>
                    <a:xfrm>
                      <a:off x="0" y="0"/>
                      <a:ext cx="4680000" cy="5004624"/>
                    </a:xfrm>
                    <a:prstGeom prst="rect"/>
                  </pic:spPr>
                </pic:pic>
              </a:graphicData>
            </a:graphic>
          </wp:inline>
        </w:drawing>
      </w:r>
    </w:p>
    <w:p w14:paraId="24A71C09">
      <w:pPr>
        <w:pStyle w:val="2"/>
        <w:keepNext/>
      </w:pPr>
      <w:r>
        <w:t>八、问题与解决</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gridCol w:w="3200"/>
        <w:gridCol w:w="2600"/>
      </w:tblGrid>
      <w:tr w14:paraId="2055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7D2B6374">
            <w:pPr>
              <w:keepNext/>
              <w:spacing w:after="0" w:line="260" w:lineRule="auto"/>
            </w:pPr>
            <w:r>
              <w:rPr>
                <w:b/>
                <w:bCs/>
                <w:sz w:val="20"/>
                <w:szCs w:val="20"/>
              </w:rPr>
              <w:t>现象</w:t>
            </w:r>
          </w:p>
        </w:tc>
        <w:tc>
          <w:tcPr>
            <w:tcW w:w="32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13AF79DF">
            <w:pPr>
              <w:keepNext/>
              <w:spacing w:after="0" w:line="260" w:lineRule="auto"/>
            </w:pPr>
            <w:r>
              <w:rPr>
                <w:b/>
                <w:bCs/>
                <w:sz w:val="20"/>
                <w:szCs w:val="20"/>
              </w:rPr>
              <w:t>原因分析</w:t>
            </w:r>
          </w:p>
        </w:tc>
        <w:tc>
          <w:tcPr>
            <w:tcW w:w="2600" w:type="dxa"/>
            <w:tcBorders>
              <w:top w:val="single" w:color="BFBFBF" w:sz="0" w:space="0"/>
              <w:left w:val="single" w:color="BFBFBF" w:sz="0" w:space="0"/>
              <w:bottom w:val="single" w:color="BFBFBF" w:sz="0" w:space="0"/>
              <w:right w:val="single" w:color="BFBFBF" w:sz="0" w:space="0"/>
            </w:tcBorders>
            <w:shd w:val="clear" w:color="auto" w:fill="DCE6F1"/>
            <w:tcMar>
              <w:top w:w="80" w:type="dxa"/>
              <w:left w:w="120" w:type="dxa"/>
              <w:bottom w:w="80" w:type="dxa"/>
              <w:right w:w="120" w:type="dxa"/>
            </w:tcMar>
            <w:vAlign w:val="center"/>
          </w:tcPr>
          <w:p w14:paraId="749BB569">
            <w:pPr>
              <w:keepNext/>
              <w:spacing w:after="0" w:line="260" w:lineRule="auto"/>
            </w:pPr>
            <w:r>
              <w:rPr>
                <w:b/>
                <w:bCs/>
                <w:sz w:val="20"/>
                <w:szCs w:val="20"/>
              </w:rPr>
              <w:t>解决办法</w:t>
            </w:r>
          </w:p>
        </w:tc>
      </w:tr>
      <w:tr w14:paraId="2C51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trPr>
        <w:tc>
          <w:tcPr>
            <w:tcW w:w="3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Blender 5.1 运行指南中的 Mist 通道脚本报错 AttributeError: 'Scene' object has no attribute 'node_tree'</w:t>
            </w:r>
          </w:p>
        </w:tc>
        <w:tc>
          <w:tcPr>
            <w:tcW w:w="3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Blender 5.x 把合成器节点树迁移到 scene.compositing_node_group，旧的 scene.node_tree / use_nodes 接口被移除，指南脚本的添加节点写法整体失效。</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放弃合成器 Mist，改用 view_layer.material_override 覆盖为纯发射的距离着色（Light Path.Ray Length → MapRange 反相），直接渲染出与 Mist 等价的深度图；near/far 由 numpy 在相机空间对可见顶点取 2%/98% 分位。</w:t>
            </w:r>
          </w:p>
        </w:tc>
      </w:tr>
      <w:tr w14:paraId="292E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trPr>
        <w:tc>
          <w:tcPr>
            <w:tcW w:w="3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加载 SD1.5 depth ControlNet 时报 got [768,1280] expected [1024,1280]（形状不匹配）</w:t>
            </w:r>
          </w:p>
        </w:tc>
        <w:tc>
          <w:tcPr>
            <w:tcW w:w="3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SD-Turbo 是 SD2.1 架构，cross-attention 宽度 1024；SD1.5 的 ControlNet 输出 768 维，二者不能混用。</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改用 thibaud/controlnet-sd21 的 SD2.1 depth 模型，并用 sd-cli -M convert --type f16 转成 GGUF（728 MB → 728 482 784 B）。</w:t>
            </w:r>
          </w:p>
        </w:tc>
      </w:tr>
      <w:tr w14:paraId="235F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trPr>
        <w:tc>
          <w:tcPr>
            <w:tcW w:w="3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256²/2 步的冒烟测试输出纯噪声</w:t>
            </w:r>
          </w:p>
        </w:tc>
        <w:tc>
          <w:tcPr>
            <w:tcW w:w="3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SD2.1/SD-Turbo 在 512² 上训练，256² 与 2 步同时偏离训练分布（位置编码与步数嵌入都超出适用范围）。</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固定 512²/4 步后正常出图（单张 40.2 s）；正式实验只使用 512²/768² 且步数 ≥4。</w:t>
            </w:r>
          </w:p>
        </w:tc>
      </w:tr>
      <w:tr w14:paraId="235F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trPr>
        <w:tc>
          <w:tcPr>
            <w:tcW w:w="3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同时加载主模型、ControlNet 与 VAE 时进程常驻 3.6 GB，机器仅剩约 3.5 GB 空闲</w:t>
            </w:r>
          </w:p>
        </w:tc>
        <w:tc>
          <w:tcPr>
            <w:tcW w:w="3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本机内存 15.6 GB（低于指南的 32 GB），且 DSH/QQ/Word 等已占用约 5 GB；VAE 解码时还有 416 MB 计算缓冲峰值。</w:t>
            </w:r>
          </w:p>
        </w:tc>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19"/>
              </w:rPr>
              <w:t>按 512² 优先跑单组实验、跑前关闭其它大内存程序；必要时加 --vae-tiling / --mmap 降低峰值。</w:t>
            </w:r>
          </w:p>
        </w:tc>
      </w:tr>
    </w:tbl>
    <w:p w14:paraId="6CE9D3BE">
      <w:pPr>
        <w:spacing w:after="120"/>
      </w:pPr>
    </w:p>
    <w:p w14:paraId="64990801">
      <w:pPr>
        <w:pStyle w:val="2"/>
        <w:keepNext/>
      </w:pPr>
      <w:r>
        <w:t>九、结论</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77FB54E0">
        <w:tblPrEx>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1. 完成了从 Blender 白模到纯 CPU 深度控制生成的完整流水线并全部跑通：make_demo_scene.py 建场景、export_control_maps.py 出 depth/normal/clay、run_pipeline.py 调 sd-cli 完成 txt2img+ControlNet，5 组参数对比与 1 组无控制基线的数据均已记录、可复现。</w:t>
            </w:r>
          </w:p>
        </w:tc>
      </w:tr>
      <w:tr w14:paraId="59F3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2. 本机（i7-14650HX / 15.6 GB / 无独显）上 512²/4 步单张 60.6 s（采样 37.3 s + VAE 14.5 s + Blender 6.7 s），768²/4 步 144.3 s，明显快于指南参考值（275 s / 348 s）：少步蒸馏 + Q4_0 量化让 SD2.1 在纯 CPU 上具备可用性。</w:t>
            </w:r>
          </w:p>
        </w:tc>
      </w:tr>
      <w:tr w14:paraId="46C0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3. 参数规律：分辨率提高使采样时间按像素数的约 1.1 次方增长（2.25 倍像素 → 2.49 倍采样时间，注意力开销超线性）；步数近似线性（4→8 步，37.3→73.0 s）；ControlNet 使单步耗时从 5.35 s 增至 9.33 s（+74%）；强度 0.9 是几何与材质自由度的较优折中，0.5 会导致几何崩塌；CFG 必须贴近蒸馏值 1.2，3.0 会过饱和。</w:t>
            </w:r>
          </w:p>
        </w:tc>
      </w:tr>
      <w:tr w14:paraId="79FBB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4. 几何保持度：512²/4 步已能保证位置与遮挡正确，但会把圆柱误判为杯子、填平圆环孔洞；768² 或 8 步可修正这两处错误，代价是耗时翻倍与材质单一化。</w:t>
            </w:r>
          </w:p>
        </w:tc>
      </w:tr>
      <w:tr w14:paraId="5D85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5. 可改进方向：用“法线+深度”双条件、对平坦顶面单独做归一化、以 MiDaS 生成更平滑的相对深度，或对结果做 img2img 低强度精修，在保持几何的同时恢复材质多样性；人像融合可引入 IP-Adapter 进一步保证身份一致。</w:t>
            </w:r>
          </w:p>
        </w:tc>
      </w:tr>
    </w:tbl>
    <w:p w14:paraId="25DD3CA8">
      <w:pPr>
        <w:spacing w:after="60"/>
      </w:pPr>
    </w:p>
    <w:p w14:paraId="5B1180F2">
      <w:pPr>
        <w:pStyle w:val="2"/>
        <w:keepNext/>
      </w:pPr>
      <w:r>
        <w:t>十、思考题解答</w:t>
      </w:r>
    </w:p>
    <w:p w14:paraId="655E2774">
      <w:pPr>
        <w:keepNext/>
        <w:spacing w:after="90" w:line="320" w:lineRule="auto"/>
      </w:pPr>
      <w:r>
        <w:rPr>
          <w:b/>
          <w:bCs/>
        </w:rPr>
        <w:t>1. Turbo 类模型为什么不能使用较高的 CFG？CFG 与采样步数之间是什么关系？</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0379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SD-Turbo 由 SD2.1 蒸馏而来，蒸馏时教师模型工作在无分类器引导（CFG=1）条件下，学生只学到“无条件预测与条件预测相同”的速度场。CFG 的公式 ε=ε_neg+w(ε_pos-ε_neg) 在 w&gt;1 时把两者的差放大，这是模型训练时从未见过的外推方向；在 1~4 步、每步位移极大的情况下，误差会逐步累积，表现为过饱和、彩色描边、塑料感与几何漂移。本实验 E 组把 CFG 从 1.2 提到 3.0，桌面立刻变成暗红色、圆环孔洞出现黄色高光球，即为过引导的直接证据。</w:t>
            </w:r>
          </w:p>
        </w:tc>
      </w:tr>
      <w:tr w14:paraId="6C61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CFG 与步数是补偿关系：常规模型靠 20~50 步逐步修正，每步位移小，引导误差可以被后续步骤部分纠正；蒸馏模型把总位移压到 4 步走完，任何方向的放大都会被完整保留。因此步数越少，对 CFG 越敏感，CFG 必须贴近 1.2（本实验取 1.2，出图正常）。</w:t>
            </w:r>
          </w:p>
        </w:tc>
      </w:tr>
      <w:tr w14:paraId="36C5C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若一定要用较高 CFG，就必须同时增加步数并引入 CFG-rescale、动态引导等手段，使每步放大不超出训练分布；对 SD-Turbo 而言更实用的做法是保持 CFG≈1.2，用提示词与 ControlNet 强度控制风格。</w:t>
            </w:r>
          </w:p>
        </w:tc>
      </w:tr>
    </w:tbl>
    <w:p w14:paraId="0230128E">
      <w:pPr>
        <w:spacing w:after="100"/>
      </w:pPr>
    </w:p>
    <w:p w14:paraId="005BD4DC">
      <w:pPr>
        <w:keepNext/>
        <w:spacing w:after="90" w:line="320" w:lineRule="auto"/>
      </w:pPr>
      <w:r>
        <w:rPr>
          <w:b/>
          <w:bCs/>
        </w:rPr>
        <w:t>2. 深度图的动态范围如何影响生成结果？mist 起始距离设得更小会出现什么现象？</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4AA2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ControlNet 的输入是 8 bit 灰度，可用动态范围仅 0~255。若 near/far 由场景极值决定（例如沿用 0.05~40 m），物体所在的 2~3 m 深度区间只占十几阶灰，编码器无法区分前后关系，生成结果会“无视”几何、把多个物体压在同一层。反之若区间过窄，深度图出现大面积纯黑/纯白饱和块，模型把饱和区当作平面或直接压平，表现为物体被“拍扁”、轮廓粘连。</w:t>
            </w:r>
          </w:p>
        </w:tc>
      </w:tr>
      <w:tr w14:paraId="1509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本实验用可见顶点 2%/98% 分位（near=7.520 m、far=11.256 m）代替极值，使有效深度落在中间灰阶，这是 7.3 节几何基本正确的前提。若把 mist 起始距离再设小（例如 near=4 m），前景地面会更早饱和为纯白，近处桌面与圆柱底部将连成一片，模型会把它们解释成一块巨大的近景平面——本实验 A 组底部那条突兀的“桌沿”横线就是这种饱和的轻量版本。</w:t>
            </w:r>
          </w:p>
        </w:tc>
      </w:tr>
      <w:tr w14:paraId="27EA9E98">
        <w:tblPrEx>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实践建议：先用 2%/98% 分位自动定区间，再检查直方图两端是否堆积；若前景占比过大，可抬高相机、减少地面入画，或对深度图做直方图拉伸/伽马校正，把主体灰阶拉开。</w:t>
            </w:r>
          </w:p>
        </w:tc>
      </w:tr>
    </w:tbl>
    <w:p w14:paraId="007F1787">
      <w:pPr>
        <w:spacing w:after="100"/>
      </w:pPr>
    </w:p>
    <w:p w14:paraId="50A61A1D">
      <w:pPr>
        <w:keepNext/>
        <w:spacing w:after="90" w:line="320" w:lineRule="auto"/>
      </w:pPr>
      <w:r>
        <w:rPr>
          <w:b/>
          <w:bCs/>
        </w:rPr>
        <w:t>3. ControlNet 强度取 0.9 与 0.5 时结果有何差别？如何与初始图信息权衡？</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4B20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强度 0.9 时深度条件几乎主导，轮廓、遮挡与透视与白模高度一致（A/C/B 三组均如此），但材质与光照自由度被压缩，模型只能在“贴着几何”的前提下上色，画面偏硬、纹理容易过强（C 组的层板木纹）。强度 0.5 时条件变弱（D 组），模型有更大创作空间，代价是几何崩塌：圆环与立方体被替换成陶罐与三脚架，只有整体明暗分布还残留白模的影子。</w:t>
            </w:r>
          </w:p>
        </w:tc>
      </w:tr>
      <w:tr w14:paraId="7B0A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与初始图信息的权衡：在 img2img 场景下，初始图本身携带几何信息，ControlNet 强度可以适当降低（本实验拓展用 0.7 配 strength 0.35），让模型主要修复光照与接缝；在 txt2img 场景下没有任何几何先验，强度低于 0.7 就开始丢形状，0.85~0.95 是安全区。</w:t>
            </w:r>
          </w:p>
        </w:tc>
      </w:tr>
      <w:tr w14:paraId="1382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经验规则：几何由谁提供，谁就应该被强约束。纯 txt2img + ControlNet → 0.9；img2img 精修（初始图已对齐）→ 0.6~0.75；只想“轻微引导构图”→ 0.4~0.5，并接受形状漂移。</w:t>
            </w:r>
          </w:p>
        </w:tc>
      </w:tr>
    </w:tbl>
    <w:p w14:paraId="781B81B8">
      <w:pPr>
        <w:spacing w:after="100"/>
      </w:pPr>
    </w:p>
    <w:p w14:paraId="2390A243">
      <w:pPr>
        <w:keepNext/>
        <w:spacing w:after="90" w:line="320" w:lineRule="auto"/>
      </w:pPr>
      <w:r>
        <w:rPr>
          <w:b/>
          <w:bCs/>
        </w:rPr>
        <w:t>4. 纯 CPU 推理的主要瓶颈是什么？如何由分辨率与步数估算总耗时？</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7849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纯 CPU 推理的瓶颈是内存带宽与矩阵乘吞吐：每步要对 UNet（约 0.86 G 参数，Q4_0 后约 1.7 GB）做一次前向，权重需反复从内存搬运；ControlNet 再叠加约 340 M 参数的编码器，使每步权重流量增加约 40%。实测单步耗时 9.33 s（开 ControlNet）对 5.35 s（关 ControlNet），增加 74%，远高于指南给出的 10~20%，原因是本机 ControlNet 以 f16 全精度在 CPU 上运行、未做量化。</w:t>
            </w:r>
          </w:p>
        </w:tc>
      </w:tr>
      <w:tr w14:paraId="53CC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耗时估算式：T ≈ 步数 × k × (W·H)/512² + T_VAE，其中 T_VAE 也与像素数近似成正比。本机 k≈9.3 s（512²、开 ControlNet）；实测 768²（像素 2.25 倍）单步 23.3 s，比值 2.49，说明 k 随分辨率略超线性（注意力随 token 数增长）。</w:t>
            </w:r>
          </w:p>
        </w:tc>
      </w:tr>
      <w:tr w14:paraId="2D4D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据此：512²/4 步 ≈ 4×9.3 + 14.5 ≈ 51.7 s（实测 37.3+14.5=51.8 s）；768²/4 步 ≈ 4×23.3 + 33.8 ≈ 127 s（实测 93.0+33.8=126.8 s），估算误差 &lt;5%，可作为排期依据。</w:t>
            </w:r>
          </w:p>
        </w:tc>
      </w:tr>
    </w:tbl>
    <w:p w14:paraId="7ACCEC4B">
      <w:pPr>
        <w:spacing w:after="100"/>
      </w:pPr>
    </w:p>
    <w:p w14:paraId="4BD57AD1">
      <w:pPr>
        <w:keepNext/>
        <w:spacing w:after="90" w:line="320" w:lineRule="auto"/>
      </w:pPr>
      <w:r>
        <w:rPr>
          <w:b/>
          <w:bCs/>
        </w:rPr>
        <w:t>5. 人像合成中为什么要使用预乘 alpha？不做预乘会出现什么视觉问题？</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6339A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预乘 alpha 把颜色先乘上不透明度（C'=αC），使颜色与 alpha 处于同一线性空间。若不做预乘，半透明边缘像素的 RGB 仍是“前景色与旧背景色的混合”，缩放/羽化后这层旧背景色会被当作真实颜色保留，合成到新背景上就形成一圈亮边（白边）或暗边。</w:t>
            </w:r>
          </w:p>
        </w:tc>
      </w:tr>
      <w:tr w14:paraId="01C4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预乘后，颜色插值与高斯羽化都在线性空间进行，边缘像素对最终颜色的贡献正比于其 alpha，不会混入旧背景；同时全透明像素颜色为 0，重采样时不会把“看不见的颜色”平均进来造成渗色。本实验的 compose_head.py 因此在 resize 与 paste 之前就完成预乘，并以 alpha 区域作为 Poisson 融合的求解域。</w:t>
            </w:r>
          </w:p>
        </w:tc>
      </w:tr>
      <w:tr w14:paraId="162A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代价是预乘图像不能再直接当普通 RGB 使用（颜色被压暗），必须与 alpha 一起存储处理；这也是 PNG 的 straight alpha 与渲染器常用的 premultiplied alpha 需要显式区分的原因。</w:t>
            </w:r>
          </w:p>
        </w:tc>
      </w:tr>
    </w:tbl>
    <w:p w14:paraId="242EEAE0">
      <w:pPr>
        <w:spacing w:after="100"/>
      </w:pPr>
    </w:p>
    <w:p w14:paraId="3F7C7B53">
      <w:pPr>
        <w:keepNext/>
        <w:spacing w:after="90" w:line="320" w:lineRule="auto"/>
      </w:pPr>
      <w:r>
        <w:rPr>
          <w:b/>
          <w:bCs/>
        </w:rPr>
        <w:t>6. 若希望同一张脸在不同种子、不同姿态下保持一致，有哪些可行技术路线？</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7DEA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路线一（推理期注入身份）：用 IP-Adapter / PhotoMaker / InstantID 把人脸编码成 ID 向量注入 cross-attention，种子变化时 ID 向量不变，脸就稳定；再配 ControlNet OpenPose + depth 约束姿态，实现“身份”与“姿态”解耦。</w:t>
            </w:r>
          </w:p>
        </w:tc>
      </w:tr>
      <w:tr w14:paraId="4258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路线二（权重内化）：用同一人的 20~50 张照片训练 LoRA 或做 DreamBooth 微调，把身份写进权重，之后任意种子、任意提示词都带同一张脸；缺点是每个身份都要单独训练。</w:t>
            </w:r>
          </w:p>
        </w:tc>
      </w:tr>
      <w:tr w14:paraId="71D4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9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pPr>
              <w:spacing w:before="40" w:after="40"/>
            </w:pPr>
            <w:r/>
            <w:r>
              <w:rPr>
                <w:rFonts w:ascii="Times New Roman" w:hAnsi="Times New Roman" w:eastAsia="宋体"/>
                <w:b w:val="0"/>
                <w:sz w:val="21"/>
              </w:rPr>
              <w:t>路线三（生成后筛选与重绘）：用 ArcFace 计算候选与参考图的身份相似度，做 rejection sampling 或重排序；再对选中样本用 inpaint 局部重绘微调表情与光照。工程上常把三条路线组合：ID 注入保证初筛通过率、LoRA 保证稳定性、ArcFace 做最终质检。</w:t>
            </w:r>
          </w:p>
        </w:tc>
      </w:tr>
    </w:tbl>
    <w:p w14:paraId="1047EBB8">
      <w:pPr>
        <w:spacing w:after="100"/>
      </w:pPr>
    </w:p>
    <w:p w14:paraId="45C0B7B3">
      <w:bookmarkStart w:id="0" w:name="_GoBack"/>
      <w:bookmarkEnd w:id="0"/>
    </w:p>
    <w:sectPr>
      <w:footerReference r:id="rId3" w:type="default"/>
      <w:pgSz w:w="11906" w:h="16838"/>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9BD84">
    <w:pPr>
      <w:jc w:val="center"/>
    </w:pPr>
    <w:r>
      <w:rPr>
        <w:sz w:val="18"/>
        <w:szCs w:val="18"/>
      </w:rPr>
      <w:t xml:space="preserve">实验报告　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 / 共 </w:t>
    </w:r>
    <w:r>
      <w:rPr>
        <w:sz w:val="18"/>
        <w:szCs w:val="18"/>
      </w:rPr>
      <w:fldChar w:fldCharType="begin"/>
    </w:r>
    <w:r>
      <w:rPr>
        <w:sz w:val="18"/>
        <w:szCs w:val="18"/>
      </w:rPr>
      <w:instrText xml:space="preserve">NUMPAGES</w:instrText>
    </w:r>
    <w:r>
      <w:rPr>
        <w:sz w:val="18"/>
        <w:szCs w:val="18"/>
      </w:rPr>
      <w:fldChar w:fldCharType="separate"/>
    </w:r>
    <w:r>
      <w:rPr>
        <w:sz w:val="18"/>
        <w:szCs w:val="18"/>
      </w:rPr>
      <w:fldChar w:fldCharType="end"/>
    </w:r>
    <w:r>
      <w:rPr>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ompat>
    <w:useFELayout/>
    <w:compatSetting w:name="compatibilityMode" w:uri="http://schemas.microsoft.com/office/word" w:val="15"/>
  </w:compat>
  <w:rsids>
    <w:rsidRoot w:val="00000000"/>
    <w:rsid w:val="77510F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name="toc 1"/>
    <w:lsdException w:uiPriority="39" w:name="toc 2"/>
    <w:lsdException w:uiPriority="39" w:name="toc 3"/>
    <w:lsdException w:qFormat="1" w:uiPriority="39" w:name="toc 4"/>
    <w:lsdException w:qFormat="1" w:uiPriority="39" w:name="toc 5"/>
    <w:lsdException w:qFormat="1" w:uiPriority="39" w:name="toc 6"/>
    <w:lsdException w:qFormat="1" w:uiPriority="39" w:name="toc 7"/>
    <w:lsdException w:uiPriority="39" w:name="toc 8"/>
    <w:lsdException w:qFormat="1" w:uiPriority="39"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微软雅黑"/>
      <w:sz w:val="21"/>
      <w:szCs w:val="21"/>
    </w:rPr>
  </w:style>
  <w:style w:type="paragraph" w:styleId="2">
    <w:name w:val="heading 1"/>
    <w:basedOn w:val="1"/>
    <w:next w:val="1"/>
    <w:qFormat/>
    <w:uiPriority w:val="0"/>
    <w:pPr>
      <w:keepNext w:val="0"/>
      <w:keepLines w:val="0"/>
      <w:spacing w:before="280" w:after="160"/>
      <w:outlineLvl w:val="0"/>
    </w:pPr>
    <w:rPr>
      <w:rFonts w:ascii="Arial" w:hAnsi="Arial" w:eastAsia="微软雅黑"/>
      <w:b/>
      <w:bCs/>
      <w:color w:val="1F1F1F"/>
      <w:sz w:val="30"/>
      <w:szCs w:val="30"/>
    </w:rPr>
  </w:style>
  <w:style w:type="paragraph" w:styleId="3">
    <w:name w:val="heading 2"/>
    <w:basedOn w:val="1"/>
    <w:next w:val="1"/>
    <w:qFormat/>
    <w:uiPriority w:val="0"/>
    <w:pPr>
      <w:keepNext w:val="0"/>
      <w:keepLines w:val="0"/>
      <w:spacing w:before="200" w:after="120"/>
      <w:outlineLvl w:val="1"/>
    </w:pPr>
    <w:rPr>
      <w:rFonts w:ascii="Arial" w:hAnsi="Arial" w:eastAsia="微软雅黑"/>
      <w:b/>
      <w:bCs/>
      <w:color w:val="262626"/>
      <w:sz w:val="25"/>
      <w:szCs w:val="25"/>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22">
    <w:name w:val="Default Paragraph Font"/>
    <w:semiHidden/>
    <w:uiPriority w:val="0"/>
  </w:style>
  <w:style w:type="table" w:default="1" w:styleId="21">
    <w:name w:val="Normal Table"/>
    <w:semiHidden/>
    <w:unhideWhenUsed/>
    <w:uiPriority w:val="99"/>
    <w:tblPr>
      <w:tblCellMar>
        <w:top w:w="0" w:type="dxa"/>
        <w:left w:w="108" w:type="dxa"/>
        <w:bottom w:w="0" w:type="dxa"/>
        <w:right w:w="108" w:type="dxa"/>
      </w:tblCellMar>
    </w:tblPr>
  </w:style>
  <w:style w:type="paragraph" w:styleId="8">
    <w:name w:val="toc 7"/>
    <w:basedOn w:val="1"/>
    <w:next w:val="1"/>
    <w:semiHidden/>
    <w:unhideWhenUsed/>
    <w:qFormat/>
    <w:uiPriority w:val="39"/>
    <w:pPr>
      <w:spacing w:after="100"/>
      <w:ind w:left="1260"/>
    </w:pPr>
  </w:style>
  <w:style w:type="paragraph" w:styleId="9">
    <w:name w:val="caption"/>
    <w:basedOn w:val="1"/>
    <w:next w:val="1"/>
    <w:semiHidden/>
    <w:unhideWhenUsed/>
    <w:qFormat/>
    <w:uiPriority w:val="35"/>
    <w:pPr>
      <w:spacing w:after="200"/>
    </w:pPr>
    <w:rPr>
      <w:i/>
      <w:iCs/>
      <w:color w:val="44546A" w:themeColor="dark2"/>
      <w:sz w:val="18"/>
      <w:szCs w:val="18"/>
      <w14:textFill>
        <w14:solidFill>
          <w14:schemeClr w14:val="dk2"/>
        </w14:solidFill>
      </w14:textFill>
    </w:rPr>
  </w:style>
  <w:style w:type="paragraph" w:styleId="10">
    <w:name w:val="toc 5"/>
    <w:basedOn w:val="1"/>
    <w:next w:val="1"/>
    <w:semiHidden/>
    <w:unhideWhenUsed/>
    <w:qFormat/>
    <w:uiPriority w:val="39"/>
    <w:pPr>
      <w:spacing w:after="100"/>
      <w:ind w:left="840"/>
    </w:pPr>
  </w:style>
  <w:style w:type="paragraph" w:styleId="11">
    <w:name w:val="toc 3"/>
    <w:basedOn w:val="1"/>
    <w:next w:val="1"/>
    <w:semiHidden/>
    <w:unhideWhenUsed/>
    <w:uiPriority w:val="39"/>
    <w:pPr>
      <w:spacing w:after="100"/>
      <w:ind w:left="420"/>
    </w:pPr>
  </w:style>
  <w:style w:type="paragraph" w:styleId="12">
    <w:name w:val="toc 8"/>
    <w:basedOn w:val="1"/>
    <w:next w:val="1"/>
    <w:semiHidden/>
    <w:unhideWhenUsed/>
    <w:uiPriority w:val="39"/>
    <w:pPr>
      <w:spacing w:after="100"/>
      <w:ind w:left="1470"/>
    </w:pPr>
  </w:style>
  <w:style w:type="paragraph" w:styleId="13">
    <w:name w:val="endnote text"/>
    <w:basedOn w:val="1"/>
    <w:link w:val="30"/>
    <w:semiHidden/>
    <w:unhideWhenUsed/>
    <w:uiPriority w:val="99"/>
    <w:pPr>
      <w:spacing w:after="0" w:line="240" w:lineRule="auto"/>
    </w:pPr>
    <w:rPr>
      <w:sz w:val="20"/>
      <w:szCs w:val="20"/>
    </w:rPr>
  </w:style>
  <w:style w:type="paragraph" w:styleId="14">
    <w:name w:val="toc 1"/>
    <w:basedOn w:val="1"/>
    <w:next w:val="1"/>
    <w:semiHidden/>
    <w:unhideWhenUsed/>
    <w:uiPriority w:val="39"/>
    <w:pPr>
      <w:spacing w:after="100"/>
    </w:pPr>
  </w:style>
  <w:style w:type="paragraph" w:styleId="15">
    <w:name w:val="toc 4"/>
    <w:basedOn w:val="1"/>
    <w:next w:val="1"/>
    <w:semiHidden/>
    <w:unhideWhenUsed/>
    <w:qFormat/>
    <w:uiPriority w:val="39"/>
    <w:pPr>
      <w:spacing w:after="100"/>
      <w:ind w:left="630"/>
    </w:pPr>
  </w:style>
  <w:style w:type="paragraph" w:styleId="16">
    <w:name w:val="footnote text"/>
    <w:basedOn w:val="1"/>
    <w:link w:val="29"/>
    <w:semiHidden/>
    <w:unhideWhenUsed/>
    <w:qFormat/>
    <w:uiPriority w:val="99"/>
    <w:pPr>
      <w:spacing w:after="0" w:line="240" w:lineRule="auto"/>
    </w:pPr>
    <w:rPr>
      <w:sz w:val="20"/>
      <w:szCs w:val="20"/>
    </w:rPr>
  </w:style>
  <w:style w:type="paragraph" w:styleId="17">
    <w:name w:val="toc 6"/>
    <w:basedOn w:val="1"/>
    <w:next w:val="1"/>
    <w:semiHidden/>
    <w:unhideWhenUsed/>
    <w:qFormat/>
    <w:uiPriority w:val="39"/>
    <w:pPr>
      <w:spacing w:after="100"/>
      <w:ind w:left="1050"/>
    </w:pPr>
  </w:style>
  <w:style w:type="paragraph" w:styleId="18">
    <w:name w:val="toc 2"/>
    <w:basedOn w:val="1"/>
    <w:next w:val="1"/>
    <w:semiHidden/>
    <w:unhideWhenUsed/>
    <w:uiPriority w:val="39"/>
    <w:pPr>
      <w:spacing w:after="100"/>
      <w:ind w:left="210"/>
    </w:pPr>
  </w:style>
  <w:style w:type="paragraph" w:styleId="19">
    <w:name w:val="toc 9"/>
    <w:basedOn w:val="1"/>
    <w:next w:val="1"/>
    <w:semiHidden/>
    <w:unhideWhenUsed/>
    <w:qFormat/>
    <w:uiPriority w:val="39"/>
    <w:pPr>
      <w:spacing w:after="100"/>
      <w:ind w:left="1680"/>
    </w:pPr>
  </w:style>
  <w:style w:type="paragraph" w:styleId="20">
    <w:name w:val="Title"/>
    <w:basedOn w:val="1"/>
    <w:next w:val="1"/>
    <w:qFormat/>
    <w:uiPriority w:val="0"/>
    <w:rPr>
      <w:sz w:val="56"/>
      <w:szCs w:val="56"/>
    </w:rPr>
  </w:style>
  <w:style w:type="character" w:styleId="23">
    <w:name w:val="endnote reference"/>
    <w:semiHidden/>
    <w:unhideWhenUsed/>
    <w:uiPriority w:val="99"/>
    <w:rPr>
      <w:vertAlign w:val="superscript"/>
    </w:rPr>
  </w:style>
  <w:style w:type="character" w:styleId="24">
    <w:name w:val="line number"/>
    <w:semiHidden/>
    <w:unhideWhenUsed/>
    <w:uiPriority w:val="99"/>
  </w:style>
  <w:style w:type="character" w:styleId="25">
    <w:name w:val="Hyperlink"/>
    <w:unhideWhenUsed/>
    <w:qFormat/>
    <w:uiPriority w:val="99"/>
    <w:rPr>
      <w:color w:val="0563C1"/>
      <w:u w:val="single"/>
    </w:rPr>
  </w:style>
  <w:style w:type="character" w:styleId="26">
    <w:name w:val="footnote reference"/>
    <w:semiHidden/>
    <w:unhideWhenUsed/>
    <w:qFormat/>
    <w:uiPriority w:val="99"/>
    <w:rPr>
      <w:vertAlign w:val="superscript"/>
    </w:rPr>
  </w:style>
  <w:style w:type="paragraph" w:styleId="27">
    <w:name w:val="List Paragraph"/>
    <w:basedOn w:val="1"/>
    <w:qFormat/>
    <w:uiPriority w:val="0"/>
  </w:style>
  <w:style w:type="paragraph" w:customStyle="1" w:styleId="28">
    <w:name w:val="Bibliography"/>
    <w:basedOn w:val="1"/>
    <w:next w:val="1"/>
    <w:unhideWhenUsed/>
    <w:uiPriority w:val="37"/>
  </w:style>
  <w:style w:type="character" w:customStyle="1" w:styleId="29">
    <w:name w:val="Footnote Text Char"/>
    <w:link w:val="16"/>
    <w:semiHidden/>
    <w:unhideWhenUsed/>
    <w:uiPriority w:val="99"/>
    <w:rPr>
      <w:sz w:val="20"/>
      <w:szCs w:val="20"/>
    </w:rPr>
  </w:style>
  <w:style w:type="character" w:customStyle="1" w:styleId="30">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128</Words>
  <Characters>149</Characters>
  <TotalTime>1</TotalTime>
  <ScaleCrop>false</ScaleCrop>
  <LinksUpToDate>false</LinksUpToDate>
  <CharactersWithSpaces>167</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2026-10-24T17:55:00Z</dcterms:created>
  <dc:creator>Un-named</dc:creator>
  <cp:lastModifiedBy>Kktseng</cp:lastModifiedBy>
  <dcterms:modified xsi:type="dcterms:W3CDTF">2026-10-27T09:30:05Z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eyJoZGlkIjoiZDMzYTliOWFmNWZiYjQyNTVkZjlmZmQ5MzQ4YjgxNGYiLCJ1c2VySWQiOiIyMzQ1NzY5ODAifQ==</vt:lpwstr>
  </property>
  <property fmtid="{D5CDD505-2E9C-101B-9397-08002B2CF9AE}" pid="3" name="KSOProductBuildVer">
    <vt:lpwstr>2052-12.1.0.29161</vt:lpwstr>
  </property>
  <property fmtid="{D5CDD505-2E9C-101B-9397-08002B2CF9AE}" pid="4" name="ICV">
    <vt:lpwstr>1A18B6019943492CA0C759D06A9F2CB1_12</vt:lpwstr>
  </property>
</Properties>
</file>