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3256915" cy="18091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57143" cy="1809524"/>
                    </a:xfrm>
                    <a:prstGeom prst="rect">
                      <a:avLst/>
                    </a:prstGeom>
                  </pic:spPr>
                </pic:pic>
              </a:graphicData>
            </a:graphic>
          </wp:inline>
        </w:drawing>
      </w:r>
      <w:r>
        <w:rPr>
          <w:rFonts w:hint="eastAsia"/>
        </w:rPr>
        <w:t>在这个位置S标应该变成手形</w:t>
      </w:r>
    </w:p>
    <w:p/>
    <w:p>
      <w:r>
        <w:drawing>
          <wp:inline distT="0" distB="0" distL="0" distR="0">
            <wp:extent cx="5274310" cy="46024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4602812"/>
                    </a:xfrm>
                    <a:prstGeom prst="rect">
                      <a:avLst/>
                    </a:prstGeom>
                  </pic:spPr>
                </pic:pic>
              </a:graphicData>
            </a:graphic>
          </wp:inline>
        </w:drawing>
      </w:r>
    </w:p>
    <w:p>
      <w:r>
        <w:rPr>
          <w:rFonts w:hint="eastAsia"/>
        </w:rPr>
        <w:t>这张图片应该重新做过，一个是南区的地理位置不准确，第二南区的面积表调整如下：</w:t>
      </w:r>
    </w:p>
    <w:p>
      <w:r>
        <w:rPr>
          <w:rFonts w:hint="eastAsia"/>
        </w:rPr>
        <w:t>室内仓储面积：</w:t>
      </w:r>
      <w:r>
        <w:rPr>
          <w:rFonts w:hint="eastAsia"/>
          <w:lang w:val="en-US" w:eastAsia="zh-CN"/>
        </w:rPr>
        <w:t>41000</w:t>
      </w:r>
      <w:r>
        <w:rPr>
          <w:rFonts w:hint="eastAsia"/>
        </w:rPr>
        <w:t xml:space="preserve">  堆场面积：0，同时总计调整</w:t>
      </w:r>
    </w:p>
    <w:p/>
    <w:p>
      <w:r>
        <w:rPr>
          <w:rFonts w:hint="eastAsia"/>
        </w:rPr>
        <w:t>公司简介:</w:t>
      </w:r>
    </w:p>
    <w:p>
      <w:pPr>
        <w:pStyle w:val="4"/>
        <w:shd w:val="clear" w:color="auto" w:fill="FFFFFF"/>
        <w:spacing w:before="0" w:beforeAutospacing="0" w:after="75" w:afterAutospacing="0"/>
        <w:rPr>
          <w:rFonts w:ascii="新宋体" w:hAnsi="新宋体" w:eastAsia="新宋体"/>
          <w:color w:val="333333"/>
          <w:sz w:val="21"/>
          <w:szCs w:val="21"/>
        </w:rPr>
      </w:pPr>
      <w:r>
        <w:rPr>
          <w:rFonts w:hint="eastAsia"/>
        </w:rPr>
        <w:t xml:space="preserve">  </w:t>
      </w:r>
      <w:r>
        <w:rPr>
          <w:rFonts w:hint="eastAsia" w:ascii="新宋体" w:hAnsi="新宋体" w:eastAsia="新宋体"/>
          <w:color w:val="333333"/>
          <w:sz w:val="21"/>
          <w:szCs w:val="21"/>
        </w:rPr>
        <w:t>宁波保税区高新货柜有限公司成立于1997年，是一家主要从事</w:t>
      </w:r>
      <w:bookmarkStart w:id="0" w:name="OLE_LINK1"/>
      <w:bookmarkStart w:id="1" w:name="OLE_LINK2"/>
      <w:r>
        <w:rPr>
          <w:rFonts w:hint="eastAsia" w:ascii="新宋体" w:hAnsi="新宋体" w:eastAsia="新宋体"/>
          <w:color w:val="333333"/>
          <w:sz w:val="21"/>
          <w:szCs w:val="21"/>
        </w:rPr>
        <w:t>保税/非保税仓储、期货交割仓储、跨境电商仓储物流、集装箱堆场/维修、以及相关物流配套业务的大型现代综合型物流业，</w:t>
      </w:r>
      <w:bookmarkEnd w:id="0"/>
      <w:bookmarkEnd w:id="1"/>
      <w:r>
        <w:rPr>
          <w:rFonts w:hint="eastAsia" w:ascii="新宋体" w:hAnsi="新宋体" w:eastAsia="新宋体"/>
          <w:color w:val="333333"/>
          <w:sz w:val="21"/>
          <w:szCs w:val="21"/>
        </w:rPr>
        <w:t>公司注册资金1亿3千万元，股东为宁波维科集团和宁波保税区管委会下属控股公司。</w:t>
      </w:r>
    </w:p>
    <w:p>
      <w:pPr>
        <w:pStyle w:val="4"/>
        <w:shd w:val="clear" w:color="auto" w:fill="FFFFFF"/>
        <w:spacing w:before="0" w:beforeAutospacing="0" w:after="75" w:afterAutospacing="0"/>
        <w:ind w:firstLine="210" w:firstLineChars="100"/>
        <w:rPr>
          <w:rFonts w:ascii="微软雅黑" w:hAnsi="微软雅黑" w:eastAsia="微软雅黑"/>
          <w:color w:val="777777"/>
          <w:sz w:val="18"/>
          <w:szCs w:val="18"/>
        </w:rPr>
      </w:pPr>
      <w:r>
        <w:rPr>
          <w:rFonts w:hint="eastAsia" w:ascii="新宋体" w:hAnsi="新宋体" w:eastAsia="新宋体"/>
          <w:color w:val="333333"/>
          <w:sz w:val="21"/>
          <w:szCs w:val="21"/>
        </w:rPr>
        <w:t>公司占地面积近500亩，拥有室内标准仓库近11万平方米，管理经营室内仓库近20万平方米，目前在宁波、青岛两个口岸拥有库点。</w:t>
      </w:r>
    </w:p>
    <w:p>
      <w:pPr>
        <w:pStyle w:val="4"/>
        <w:shd w:val="clear" w:color="auto" w:fill="FFFFFF"/>
        <w:spacing w:before="0" w:beforeAutospacing="0" w:after="75" w:afterAutospacing="0"/>
        <w:ind w:firstLine="210" w:firstLineChars="100"/>
        <w:rPr>
          <w:rFonts w:ascii="微软雅黑" w:hAnsi="微软雅黑" w:eastAsia="微软雅黑"/>
          <w:color w:val="777777"/>
          <w:sz w:val="18"/>
          <w:szCs w:val="18"/>
        </w:rPr>
      </w:pPr>
      <w:r>
        <w:rPr>
          <w:rFonts w:hint="eastAsia" w:ascii="新宋体" w:hAnsi="新宋体" w:eastAsia="新宋体"/>
          <w:color w:val="333333"/>
          <w:sz w:val="21"/>
          <w:szCs w:val="21"/>
        </w:rPr>
        <w:t>公司为郑州商品交易所(PTA)指定交割仓库、大连商品交易所(LLDPE、PP)、上海期货交易所（镍）指定交割仓库。</w:t>
      </w:r>
    </w:p>
    <w:p>
      <w:pPr>
        <w:pStyle w:val="4"/>
        <w:shd w:val="clear" w:color="auto" w:fill="FFFFFF"/>
        <w:spacing w:before="0" w:beforeAutospacing="0" w:after="75" w:afterAutospacing="0"/>
        <w:ind w:firstLine="210" w:firstLineChars="100"/>
        <w:rPr>
          <w:rFonts w:ascii="新宋体" w:hAnsi="新宋体" w:eastAsia="新宋体"/>
          <w:color w:val="333333"/>
          <w:sz w:val="21"/>
          <w:szCs w:val="21"/>
        </w:rPr>
      </w:pPr>
      <w:r>
        <w:rPr>
          <w:rFonts w:hint="eastAsia" w:ascii="新宋体" w:hAnsi="新宋体" w:eastAsia="新宋体"/>
          <w:color w:val="333333"/>
          <w:sz w:val="21"/>
          <w:szCs w:val="21"/>
        </w:rPr>
        <w:t>经过二十多年的经营发展，公司在功能上不断拓展，在客户服务上不断提升，以仓储物流为依托，以供应链服务为方向，以客户服务为根本，以安全高效为目标，致力于物流供应链平台的搭建，为客户提供全链条的专业服务！</w:t>
      </w:r>
    </w:p>
    <w:p>
      <w:pPr>
        <w:pStyle w:val="2"/>
        <w:shd w:val="clear" w:color="auto" w:fill="FFFFFF"/>
        <w:spacing w:before="0" w:beforeAutospacing="0" w:after="0" w:afterAutospacing="0"/>
        <w:rPr>
          <w:rFonts w:ascii="新宋体" w:hAnsi="新宋体" w:eastAsia="新宋体"/>
          <w:b w:val="0"/>
          <w:bCs w:val="0"/>
          <w:color w:val="333333"/>
          <w:sz w:val="21"/>
          <w:szCs w:val="21"/>
        </w:rPr>
      </w:pPr>
      <w:r>
        <w:rPr>
          <w:rFonts w:hint="eastAsia" w:ascii="新宋体" w:hAnsi="新宋体" w:eastAsia="新宋体"/>
          <w:b w:val="0"/>
          <w:bCs w:val="0"/>
          <w:color w:val="333333"/>
          <w:sz w:val="21"/>
          <w:szCs w:val="21"/>
        </w:rPr>
        <w:t>股东情况：删除不要了   首页友情链接把维科集团放在前面</w:t>
      </w:r>
    </w:p>
    <w:p>
      <w:pPr>
        <w:pStyle w:val="4"/>
        <w:shd w:val="clear" w:color="auto" w:fill="FFFFFF"/>
        <w:spacing w:before="0" w:beforeAutospacing="0" w:after="75" w:afterAutospacing="0"/>
        <w:ind w:firstLine="210" w:firstLineChars="100"/>
        <w:rPr>
          <w:rFonts w:ascii="新宋体" w:hAnsi="新宋体" w:eastAsia="新宋体"/>
          <w:color w:val="333333"/>
          <w:sz w:val="21"/>
          <w:szCs w:val="21"/>
        </w:rPr>
      </w:pPr>
      <w:r>
        <w:rPr>
          <w:rFonts w:hint="eastAsia" w:ascii="新宋体" w:hAnsi="新宋体" w:eastAsia="新宋体"/>
          <w:color w:val="333333"/>
          <w:sz w:val="21"/>
          <w:szCs w:val="21"/>
        </w:rPr>
        <w:t>企业荣誉删除不要了。。。</w:t>
      </w:r>
    </w:p>
    <w:p>
      <w:pPr>
        <w:pStyle w:val="4"/>
        <w:shd w:val="clear" w:color="auto" w:fill="FFFFFF"/>
        <w:spacing w:before="0" w:beforeAutospacing="0" w:after="75" w:afterAutospacing="0"/>
        <w:ind w:firstLine="240" w:firstLineChars="100"/>
      </w:pPr>
      <w:r>
        <w:drawing>
          <wp:inline distT="0" distB="0" distL="0" distR="0">
            <wp:extent cx="3409315" cy="46094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09524" cy="4609524"/>
                    </a:xfrm>
                    <a:prstGeom prst="rect">
                      <a:avLst/>
                    </a:prstGeom>
                  </pic:spPr>
                </pic:pic>
              </a:graphicData>
            </a:graphic>
          </wp:inline>
        </w:drawing>
      </w:r>
    </w:p>
    <w:p>
      <w:pPr>
        <w:pStyle w:val="4"/>
        <w:shd w:val="clear" w:color="auto" w:fill="FFFFFF"/>
        <w:spacing w:before="0" w:beforeAutospacing="0" w:after="75" w:afterAutospacing="0"/>
        <w:ind w:firstLine="210" w:firstLineChars="100"/>
        <w:rPr>
          <w:rFonts w:ascii="新宋体" w:hAnsi="新宋体" w:eastAsia="新宋体"/>
          <w:color w:val="333333"/>
          <w:sz w:val="21"/>
          <w:szCs w:val="21"/>
        </w:rPr>
      </w:pPr>
      <w:r>
        <w:rPr>
          <w:rFonts w:hint="eastAsia" w:ascii="新宋体" w:hAnsi="新宋体" w:eastAsia="新宋体"/>
          <w:color w:val="333333"/>
          <w:sz w:val="21"/>
          <w:szCs w:val="21"/>
        </w:rPr>
        <w:t>公司业务中左边的导航栏图片不要了。</w:t>
      </w:r>
    </w:p>
    <w:p>
      <w:pPr>
        <w:pStyle w:val="4"/>
        <w:shd w:val="clear" w:color="auto" w:fill="FFFFFF"/>
        <w:spacing w:before="0" w:beforeAutospacing="0" w:after="75" w:afterAutospacing="0"/>
        <w:ind w:left="105" w:leftChars="50" w:firstLine="105" w:firstLineChars="50"/>
        <w:rPr>
          <w:rFonts w:ascii="新宋体" w:hAnsi="新宋体" w:eastAsia="新宋体"/>
          <w:color w:val="333333"/>
          <w:sz w:val="21"/>
          <w:szCs w:val="21"/>
        </w:rPr>
      </w:pPr>
      <w:r>
        <w:rPr>
          <w:rFonts w:hint="eastAsia" w:ascii="新宋体" w:hAnsi="新宋体" w:eastAsia="新宋体"/>
          <w:color w:val="333333"/>
          <w:sz w:val="21"/>
          <w:szCs w:val="21"/>
        </w:rPr>
        <w:t>公司业务分：1、增值服务业务 2、仓储服务业务 3、配套物流服务 4、集装箱堆场</w:t>
      </w:r>
      <w:r>
        <w:rPr>
          <w:rFonts w:ascii="新宋体" w:hAnsi="新宋体" w:eastAsia="新宋体"/>
          <w:color w:val="333333"/>
          <w:sz w:val="21"/>
          <w:szCs w:val="21"/>
        </w:rPr>
        <w:t>/</w:t>
      </w:r>
      <w:r>
        <w:rPr>
          <w:rFonts w:hint="eastAsia" w:ascii="新宋体" w:hAnsi="新宋体" w:eastAsia="新宋体"/>
          <w:color w:val="333333"/>
          <w:sz w:val="21"/>
          <w:szCs w:val="21"/>
        </w:rPr>
        <w:t>维修5、跨境电商物流</w:t>
      </w:r>
      <w:bookmarkStart w:id="2" w:name="_GoBack"/>
      <w:bookmarkEnd w:id="2"/>
    </w:p>
    <w:p>
      <w:pPr>
        <w:pStyle w:val="4"/>
        <w:shd w:val="clear" w:color="auto" w:fill="FFFFFF"/>
        <w:spacing w:before="0" w:beforeAutospacing="0" w:after="75" w:afterAutospacing="0"/>
        <w:ind w:left="105" w:leftChars="50" w:firstLine="105" w:firstLineChars="50"/>
        <w:rPr>
          <w:rFonts w:ascii="新宋体" w:hAnsi="新宋体" w:eastAsia="新宋体"/>
          <w:color w:val="333333"/>
          <w:sz w:val="21"/>
          <w:szCs w:val="21"/>
        </w:rPr>
      </w:pPr>
      <w:r>
        <w:rPr>
          <w:rFonts w:hint="eastAsia" w:ascii="新宋体" w:hAnsi="新宋体" w:eastAsia="新宋体"/>
          <w:color w:val="333333"/>
          <w:sz w:val="21"/>
          <w:szCs w:val="21"/>
        </w:rPr>
        <w:t>1、增值服务业务   里面内容分两块 一块是进口代理  一块是库内货物质押</w:t>
      </w:r>
      <w:r>
        <w:rPr>
          <w:rFonts w:ascii="新宋体" w:hAnsi="新宋体" w:eastAsia="新宋体"/>
          <w:color w:val="333333"/>
          <w:sz w:val="21"/>
          <w:szCs w:val="21"/>
        </w:rPr>
        <w:t>/</w:t>
      </w:r>
      <w:r>
        <w:rPr>
          <w:rFonts w:hint="eastAsia" w:ascii="新宋体" w:hAnsi="新宋体" w:eastAsia="新宋体"/>
          <w:color w:val="333333"/>
          <w:sz w:val="21"/>
          <w:szCs w:val="21"/>
        </w:rPr>
        <w:t>融资</w:t>
      </w:r>
    </w:p>
    <w:p>
      <w:pPr>
        <w:pStyle w:val="4"/>
        <w:shd w:val="clear" w:color="auto" w:fill="FFFFFF"/>
        <w:spacing w:before="0" w:beforeAutospacing="0" w:after="75" w:afterAutospacing="0"/>
        <w:ind w:left="105" w:leftChars="50" w:firstLine="105" w:firstLineChars="50"/>
        <w:rPr>
          <w:rFonts w:ascii="新宋体" w:hAnsi="新宋体" w:eastAsia="新宋体"/>
          <w:color w:val="333333"/>
          <w:sz w:val="21"/>
          <w:szCs w:val="21"/>
        </w:rPr>
      </w:pPr>
      <w:r>
        <w:rPr>
          <w:rFonts w:hint="eastAsia" w:ascii="新宋体" w:hAnsi="新宋体" w:eastAsia="新宋体"/>
          <w:color w:val="333333"/>
          <w:sz w:val="21"/>
          <w:szCs w:val="21"/>
        </w:rPr>
        <w:t>进口代理：公司致力于物流链条服务的向上延伸拓展，为客户提供进口代理开证</w:t>
      </w:r>
      <w:r>
        <w:rPr>
          <w:rFonts w:ascii="新宋体" w:hAnsi="新宋体" w:eastAsia="新宋体"/>
          <w:color w:val="333333"/>
          <w:sz w:val="21"/>
          <w:szCs w:val="21"/>
        </w:rPr>
        <w:t>/</w:t>
      </w:r>
      <w:r>
        <w:rPr>
          <w:rFonts w:hint="eastAsia" w:ascii="新宋体" w:hAnsi="新宋体" w:eastAsia="新宋体"/>
          <w:color w:val="333333"/>
          <w:sz w:val="21"/>
          <w:szCs w:val="21"/>
        </w:rPr>
        <w:t>付汇业务服务。</w:t>
      </w:r>
    </w:p>
    <w:p>
      <w:pPr>
        <w:pStyle w:val="4"/>
        <w:shd w:val="clear" w:color="auto" w:fill="FFFFFF"/>
        <w:spacing w:before="0" w:beforeAutospacing="0" w:after="75" w:afterAutospacing="0"/>
        <w:ind w:left="105" w:leftChars="50" w:firstLine="315" w:firstLineChars="150"/>
        <w:rPr>
          <w:rFonts w:ascii="新宋体" w:hAnsi="新宋体" w:eastAsia="新宋体"/>
          <w:color w:val="333333"/>
          <w:sz w:val="21"/>
          <w:szCs w:val="21"/>
        </w:rPr>
      </w:pPr>
      <w:r>
        <w:rPr>
          <w:rFonts w:hint="eastAsia" w:ascii="新宋体" w:hAnsi="新宋体" w:eastAsia="新宋体"/>
          <w:color w:val="333333"/>
          <w:sz w:val="21"/>
          <w:szCs w:val="21"/>
        </w:rPr>
        <w:t>货物质押</w:t>
      </w:r>
      <w:r>
        <w:rPr>
          <w:rFonts w:ascii="新宋体" w:hAnsi="新宋体" w:eastAsia="新宋体"/>
          <w:color w:val="333333"/>
          <w:sz w:val="21"/>
          <w:szCs w:val="21"/>
        </w:rPr>
        <w:t>/</w:t>
      </w:r>
      <w:r>
        <w:rPr>
          <w:rFonts w:hint="eastAsia" w:ascii="新宋体" w:hAnsi="新宋体" w:eastAsia="新宋体"/>
          <w:color w:val="333333"/>
          <w:sz w:val="21"/>
          <w:szCs w:val="21"/>
        </w:rPr>
        <w:t>融资业务  与多家银行合作，为客户提供库内货物质押融资服务。高新货柜依托多年的仓库品牌效应，与多家银行合作，凭公司出具的仓单可以向银行申请货物质押融资。</w:t>
      </w:r>
    </w:p>
    <w:p>
      <w:pPr>
        <w:pStyle w:val="4"/>
        <w:shd w:val="clear" w:color="auto" w:fill="FFFFFF"/>
        <w:spacing w:before="0" w:beforeAutospacing="0" w:after="75" w:afterAutospacing="0"/>
        <w:ind w:left="105" w:leftChars="50" w:firstLine="315" w:firstLineChars="150"/>
        <w:rPr>
          <w:rFonts w:ascii="新宋体" w:hAnsi="新宋体" w:eastAsia="新宋体"/>
          <w:color w:val="333333"/>
          <w:sz w:val="21"/>
          <w:szCs w:val="21"/>
        </w:rPr>
      </w:pPr>
      <w:r>
        <w:rPr>
          <w:rFonts w:hint="eastAsia" w:ascii="新宋体" w:hAnsi="新宋体" w:eastAsia="新宋体"/>
          <w:color w:val="333333"/>
          <w:sz w:val="21"/>
          <w:szCs w:val="21"/>
        </w:rPr>
        <w:t>2、仓储服务业务  分成保税、非保、期货交割</w:t>
      </w:r>
    </w:p>
    <w:p>
      <w:pPr>
        <w:pStyle w:val="4"/>
        <w:shd w:val="clear" w:color="auto" w:fill="FFFFFF"/>
        <w:spacing w:before="0" w:beforeAutospacing="0" w:after="75" w:afterAutospacing="0"/>
        <w:ind w:left="105" w:leftChars="50" w:firstLine="315" w:firstLineChars="150"/>
        <w:rPr>
          <w:rFonts w:ascii="新宋体" w:hAnsi="新宋体" w:eastAsia="新宋体"/>
          <w:color w:val="333333"/>
          <w:sz w:val="21"/>
          <w:szCs w:val="21"/>
        </w:rPr>
      </w:pPr>
      <w:r>
        <w:rPr>
          <w:rFonts w:hint="eastAsia" w:ascii="新宋体" w:hAnsi="新宋体" w:eastAsia="新宋体"/>
          <w:color w:val="333333"/>
          <w:sz w:val="21"/>
          <w:szCs w:val="21"/>
        </w:rPr>
        <w:t>保税仓储：公司位于宁波保税区内，依托毗邻宁波港的进口集散优势，以公司的专业服务为客户提供最合理高效低成本的货物保税仓储服务。</w:t>
      </w:r>
    </w:p>
    <w:p>
      <w:pPr>
        <w:pStyle w:val="4"/>
        <w:shd w:val="clear" w:color="auto" w:fill="FFFFFF"/>
        <w:spacing w:before="0" w:beforeAutospacing="0" w:after="75" w:afterAutospacing="0"/>
        <w:ind w:left="105" w:leftChars="50" w:firstLine="315" w:firstLineChars="150"/>
        <w:rPr>
          <w:rFonts w:ascii="新宋体" w:hAnsi="新宋体" w:eastAsia="新宋体"/>
          <w:color w:val="333333"/>
          <w:sz w:val="21"/>
          <w:szCs w:val="21"/>
        </w:rPr>
      </w:pPr>
      <w:r>
        <w:rPr>
          <w:rFonts w:hint="eastAsia" w:ascii="新宋体" w:hAnsi="新宋体" w:eastAsia="新宋体"/>
          <w:color w:val="333333"/>
          <w:sz w:val="21"/>
          <w:szCs w:val="21"/>
        </w:rPr>
        <w:t>非保税仓储：公司以优质的硬件设施和专业的软件服务，为客户提供大宗货物的非保税专业仓储服务。</w:t>
      </w:r>
    </w:p>
    <w:p>
      <w:pPr>
        <w:pStyle w:val="4"/>
        <w:shd w:val="clear" w:color="auto" w:fill="FFFFFF"/>
        <w:spacing w:before="0" w:beforeAutospacing="0" w:after="75" w:afterAutospacing="0"/>
        <w:ind w:left="105" w:leftChars="50" w:firstLine="315" w:firstLineChars="150"/>
        <w:rPr>
          <w:rFonts w:ascii="新宋体" w:hAnsi="新宋体" w:eastAsia="新宋体"/>
          <w:color w:val="333333"/>
          <w:sz w:val="21"/>
          <w:szCs w:val="21"/>
        </w:rPr>
      </w:pPr>
      <w:r>
        <w:rPr>
          <w:rFonts w:hint="eastAsia" w:ascii="新宋体" w:hAnsi="新宋体" w:eastAsia="新宋体"/>
          <w:color w:val="333333"/>
          <w:sz w:val="21"/>
          <w:szCs w:val="21"/>
        </w:rPr>
        <w:t>期货交割仓储：公司为上海期化交割所（镍）、大连商品交易所（LLDPE/PP</w:t>
      </w:r>
      <w:r>
        <w:rPr>
          <w:rFonts w:ascii="新宋体" w:hAnsi="新宋体" w:eastAsia="新宋体"/>
          <w:color w:val="333333"/>
          <w:sz w:val="21"/>
          <w:szCs w:val="21"/>
        </w:rPr>
        <w:t>）</w:t>
      </w:r>
      <w:r>
        <w:rPr>
          <w:rFonts w:hint="eastAsia" w:ascii="新宋体" w:hAnsi="新宋体" w:eastAsia="新宋体"/>
          <w:color w:val="333333"/>
          <w:sz w:val="21"/>
          <w:szCs w:val="21"/>
        </w:rPr>
        <w:t>、郑州商品交易所（ＰＴＡ）指定交割仓库，为客户提供专业高效的期货交割服务。</w:t>
      </w:r>
    </w:p>
    <w:p>
      <w:pPr>
        <w:pStyle w:val="4"/>
        <w:shd w:val="clear" w:color="auto" w:fill="FFFFFF"/>
        <w:spacing w:before="0" w:beforeAutospacing="0" w:after="75" w:afterAutospacing="0"/>
        <w:ind w:left="105" w:leftChars="50" w:firstLine="315" w:firstLineChars="150"/>
        <w:rPr>
          <w:rFonts w:ascii="新宋体" w:hAnsi="新宋体" w:eastAsia="新宋体"/>
          <w:color w:val="333333"/>
          <w:sz w:val="21"/>
          <w:szCs w:val="21"/>
        </w:rPr>
      </w:pPr>
      <w:r>
        <w:rPr>
          <w:rFonts w:hint="eastAsia" w:ascii="新宋体" w:hAnsi="新宋体" w:eastAsia="新宋体"/>
          <w:color w:val="333333"/>
          <w:sz w:val="21"/>
          <w:szCs w:val="21"/>
        </w:rPr>
        <w:t>３.配套物流服务</w:t>
      </w:r>
    </w:p>
    <w:p>
      <w:pPr>
        <w:pStyle w:val="4"/>
        <w:shd w:val="clear" w:color="auto" w:fill="FFFFFF"/>
        <w:spacing w:before="0" w:beforeAutospacing="0" w:after="75" w:afterAutospacing="0"/>
        <w:ind w:left="105" w:leftChars="50" w:firstLine="315" w:firstLineChars="150"/>
        <w:rPr>
          <w:rFonts w:ascii="新宋体" w:hAnsi="新宋体" w:eastAsia="新宋体"/>
          <w:color w:val="333333"/>
          <w:sz w:val="21"/>
          <w:szCs w:val="21"/>
        </w:rPr>
      </w:pPr>
      <w:r>
        <w:rPr>
          <w:rFonts w:hint="eastAsia" w:ascii="新宋体" w:hAnsi="新宋体" w:eastAsia="新宋体"/>
          <w:color w:val="333333"/>
          <w:sz w:val="21"/>
          <w:szCs w:val="21"/>
        </w:rPr>
        <w:t>公司通过市场资源的集中整合，为客户提供整条供应链的相关物流服务，包含报关、短驳、配送等相关物流功能的实现。</w:t>
      </w:r>
    </w:p>
    <w:p>
      <w:pPr>
        <w:pStyle w:val="4"/>
        <w:shd w:val="clear" w:color="auto" w:fill="FFFFFF"/>
        <w:spacing w:before="0" w:beforeAutospacing="0" w:after="75" w:afterAutospacing="0"/>
        <w:ind w:left="105" w:leftChars="50" w:firstLine="315" w:firstLineChars="150"/>
        <w:rPr>
          <w:rFonts w:ascii="新宋体" w:hAnsi="新宋体" w:eastAsia="新宋体"/>
          <w:color w:val="333333"/>
          <w:sz w:val="21"/>
          <w:szCs w:val="21"/>
        </w:rPr>
      </w:pPr>
      <w:r>
        <w:rPr>
          <w:rFonts w:hint="eastAsia" w:ascii="新宋体" w:hAnsi="新宋体" w:eastAsia="新宋体"/>
          <w:color w:val="333333"/>
          <w:sz w:val="21"/>
          <w:szCs w:val="21"/>
        </w:rPr>
        <w:t>４、集装箱堆存</w:t>
      </w:r>
      <w:r>
        <w:rPr>
          <w:rFonts w:ascii="新宋体" w:hAnsi="新宋体" w:eastAsia="新宋体"/>
          <w:color w:val="333333"/>
          <w:sz w:val="21"/>
          <w:szCs w:val="21"/>
        </w:rPr>
        <w:t>/</w:t>
      </w:r>
      <w:r>
        <w:rPr>
          <w:rFonts w:hint="eastAsia" w:ascii="新宋体" w:hAnsi="新宋体" w:eastAsia="新宋体"/>
          <w:color w:val="333333"/>
          <w:sz w:val="21"/>
          <w:szCs w:val="21"/>
        </w:rPr>
        <w:t>维修   公司莅临宁波港集装箱主码头，以先进的设备和专业的服务为船公司和用箱人提供空箱短驳、堆存、维修、提箱等服务。 </w:t>
      </w:r>
    </w:p>
    <w:p>
      <w:pPr>
        <w:pStyle w:val="4"/>
        <w:shd w:val="clear" w:color="auto" w:fill="FFFFFF"/>
        <w:spacing w:before="0" w:beforeAutospacing="0" w:after="75" w:afterAutospacing="0"/>
        <w:ind w:left="105" w:leftChars="50" w:firstLine="315" w:firstLineChars="150"/>
        <w:rPr>
          <w:rFonts w:hint="eastAsia" w:ascii="新宋体" w:hAnsi="新宋体" w:eastAsia="新宋体"/>
          <w:color w:val="333333"/>
          <w:sz w:val="21"/>
          <w:szCs w:val="21"/>
        </w:rPr>
      </w:pPr>
      <w:r>
        <w:rPr>
          <w:rFonts w:hint="eastAsia" w:ascii="新宋体" w:hAnsi="新宋体" w:eastAsia="新宋体"/>
          <w:color w:val="333333"/>
          <w:sz w:val="21"/>
          <w:szCs w:val="21"/>
        </w:rPr>
        <w:t>5、跨境电商物流  公司依托宁波保税区跨境电商集散中心优势，以公司自有仓库并配备专业的管理团队，为跨境电商客户提供物流服务。</w:t>
      </w:r>
    </w:p>
    <w:p>
      <w:pPr>
        <w:pStyle w:val="4"/>
        <w:shd w:val="clear" w:color="auto" w:fill="FFFFFF"/>
        <w:spacing w:before="0" w:beforeAutospacing="0" w:after="75" w:afterAutospacing="0"/>
        <w:ind w:left="105" w:leftChars="50" w:firstLine="315" w:firstLineChars="150"/>
        <w:rPr>
          <w:rFonts w:hint="eastAsia" w:ascii="新宋体" w:hAnsi="新宋体" w:eastAsia="新宋体"/>
          <w:color w:val="333333"/>
          <w:sz w:val="21"/>
          <w:szCs w:val="21"/>
        </w:rPr>
      </w:pPr>
    </w:p>
    <w:p>
      <w:pPr>
        <w:pStyle w:val="4"/>
        <w:shd w:val="clear" w:color="auto" w:fill="FFFFFF"/>
        <w:spacing w:before="0" w:beforeAutospacing="0" w:after="75" w:afterAutospacing="0"/>
        <w:rPr>
          <w:rFonts w:hint="eastAsia" w:ascii="新宋体" w:hAnsi="新宋体" w:eastAsia="新宋体"/>
          <w:color w:val="333333"/>
          <w:sz w:val="21"/>
          <w:szCs w:val="21"/>
          <w:lang w:val="en-US" w:eastAsia="zh-CN"/>
        </w:rPr>
      </w:pPr>
      <w:r>
        <w:rPr>
          <w:rFonts w:hint="eastAsia" w:ascii="新宋体" w:hAnsi="新宋体" w:eastAsia="新宋体"/>
          <w:color w:val="333333"/>
          <w:sz w:val="21"/>
          <w:szCs w:val="21"/>
          <w:lang w:val="en-US" w:eastAsia="zh-CN"/>
        </w:rPr>
        <w:t xml:space="preserve"> </w:t>
      </w:r>
    </w:p>
    <w:p>
      <w:pPr>
        <w:pStyle w:val="4"/>
        <w:shd w:val="clear" w:color="auto" w:fill="FFFFFF"/>
        <w:spacing w:before="0" w:beforeAutospacing="0" w:after="75" w:afterAutospacing="0"/>
        <w:ind w:left="105" w:leftChars="50" w:firstLine="315" w:firstLineChars="150"/>
        <w:rPr>
          <w:rFonts w:hint="eastAsia" w:ascii="新宋体" w:hAnsi="新宋体" w:eastAsia="新宋体"/>
          <w:color w:val="333333"/>
          <w:sz w:val="21"/>
          <w:szCs w:val="21"/>
        </w:rPr>
      </w:pPr>
    </w:p>
    <w:p>
      <w:pPr>
        <w:pStyle w:val="4"/>
        <w:shd w:val="clear" w:color="auto" w:fill="FFFFFF"/>
        <w:spacing w:before="0" w:beforeAutospacing="0" w:after="75" w:afterAutospacing="0"/>
        <w:ind w:left="105" w:leftChars="50" w:firstLine="360" w:firstLineChars="150"/>
        <w:rPr>
          <w:rFonts w:hint="eastAsia" w:ascii="新宋体" w:hAnsi="新宋体" w:eastAsia="新宋体"/>
          <w:color w:val="333333"/>
          <w:sz w:val="21"/>
          <w:szCs w:val="21"/>
        </w:rPr>
      </w:pPr>
      <w:r>
        <w:drawing>
          <wp:inline distT="0" distB="0" distL="0" distR="0">
            <wp:extent cx="3190875" cy="2085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190875" cy="2085975"/>
                    </a:xfrm>
                    <a:prstGeom prst="rect">
                      <a:avLst/>
                    </a:prstGeom>
                  </pic:spPr>
                </pic:pic>
              </a:graphicData>
            </a:graphic>
          </wp:inline>
        </w:drawing>
      </w:r>
      <w:r>
        <w:rPr>
          <w:rFonts w:hint="eastAsia" w:ascii="新宋体" w:hAnsi="新宋体" w:eastAsia="新宋体"/>
          <w:color w:val="333333"/>
          <w:sz w:val="21"/>
          <w:szCs w:val="21"/>
        </w:rPr>
        <w:t>公告中心里面只留下公司新闻和业务公告两个就行，把公司新闻和行业新闻合并，把业务公告和资料下载也合并。</w:t>
      </w:r>
    </w:p>
    <w:p>
      <w:pPr>
        <w:pStyle w:val="4"/>
        <w:shd w:val="clear" w:color="auto" w:fill="FFFFFF"/>
        <w:spacing w:before="0" w:beforeAutospacing="0" w:after="75" w:afterAutospacing="0"/>
        <w:ind w:left="105" w:leftChars="50" w:firstLine="315" w:firstLineChars="150"/>
        <w:rPr>
          <w:rFonts w:hint="eastAsia" w:ascii="新宋体" w:hAnsi="新宋体" w:eastAsia="新宋体"/>
          <w:sz w:val="21"/>
          <w:szCs w:val="21"/>
        </w:rPr>
      </w:pPr>
    </w:p>
    <w:p>
      <w:pPr>
        <w:pStyle w:val="4"/>
        <w:shd w:val="clear" w:color="auto" w:fill="FFFFFF"/>
        <w:spacing w:before="0" w:beforeAutospacing="0" w:after="75" w:afterAutospacing="0"/>
        <w:ind w:left="105" w:leftChars="50" w:firstLine="315" w:firstLineChars="150"/>
        <w:rPr>
          <w:rFonts w:ascii="新宋体" w:hAnsi="新宋体" w:eastAsia="新宋体"/>
          <w:color w:val="333333"/>
          <w:sz w:val="21"/>
          <w:szCs w:val="21"/>
        </w:rPr>
      </w:pPr>
      <w:r>
        <w:rPr>
          <w:rFonts w:hint="eastAsia" w:ascii="新宋体" w:hAnsi="新宋体" w:eastAsia="新宋体"/>
          <w:sz w:val="21"/>
          <w:szCs w:val="21"/>
        </w:rPr>
        <w:t>英方版等中文版定搞后一次性翻译完成，把文字改改就行。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209"/>
    <w:rsid w:val="00030526"/>
    <w:rsid w:val="0005063D"/>
    <w:rsid w:val="000B1597"/>
    <w:rsid w:val="000B59D4"/>
    <w:rsid w:val="000E090F"/>
    <w:rsid w:val="00131BB4"/>
    <w:rsid w:val="00194118"/>
    <w:rsid w:val="00263ABD"/>
    <w:rsid w:val="002721E3"/>
    <w:rsid w:val="0031411F"/>
    <w:rsid w:val="00347524"/>
    <w:rsid w:val="003E1186"/>
    <w:rsid w:val="004253E8"/>
    <w:rsid w:val="005275CC"/>
    <w:rsid w:val="00535D19"/>
    <w:rsid w:val="00547377"/>
    <w:rsid w:val="005B649D"/>
    <w:rsid w:val="005F025C"/>
    <w:rsid w:val="0069375E"/>
    <w:rsid w:val="006960CE"/>
    <w:rsid w:val="006B2209"/>
    <w:rsid w:val="00703F68"/>
    <w:rsid w:val="0079714F"/>
    <w:rsid w:val="007F143E"/>
    <w:rsid w:val="008019C9"/>
    <w:rsid w:val="00934DD1"/>
    <w:rsid w:val="009A3831"/>
    <w:rsid w:val="00A04535"/>
    <w:rsid w:val="00AB3B1A"/>
    <w:rsid w:val="00B47421"/>
    <w:rsid w:val="00B740BC"/>
    <w:rsid w:val="00C134E1"/>
    <w:rsid w:val="00EE41AB"/>
    <w:rsid w:val="00EF2F62"/>
    <w:rsid w:val="00F339E1"/>
    <w:rsid w:val="2DE11056"/>
    <w:rsid w:val="3E8028B3"/>
    <w:rsid w:val="63F10808"/>
    <w:rsid w:val="650157FA"/>
    <w:rsid w:val="65436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8"/>
    <w:unhideWhenUsed/>
    <w:uiPriority w:val="99"/>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8">
    <w:name w:val="批注框文本 Char"/>
    <w:basedOn w:val="5"/>
    <w:link w:val="3"/>
    <w:semiHidden/>
    <w:qFormat/>
    <w:uiPriority w:val="99"/>
    <w:rPr>
      <w:sz w:val="18"/>
      <w:szCs w:val="18"/>
    </w:rPr>
  </w:style>
  <w:style w:type="character" w:customStyle="1" w:styleId="9">
    <w:name w:val="标题 3 Char"/>
    <w:basedOn w:val="5"/>
    <w:link w:val="2"/>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178</Words>
  <Characters>1019</Characters>
  <Lines>8</Lines>
  <Paragraphs>2</Paragraphs>
  <ScaleCrop>false</ScaleCrop>
  <LinksUpToDate>false</LinksUpToDate>
  <CharactersWithSpaces>1195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2017-12-26T01:40:00Z</dcterms:created>
  <dc:creator>LINTING</dc:creator>
  <cp:lastModifiedBy>admin</cp:lastModifiedBy>
  <dcterms:modified xsi:type="dcterms:W3CDTF">2018-01-15T09:33:55Z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