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4E9" w:rsidRPr="002F1DF6" w:rsidRDefault="006646DC" w:rsidP="00EF34E9">
      <w:pPr>
        <w:pStyle w:val="a8"/>
        <w:widowControl/>
        <w:spacing w:after="300" w:line="450" w:lineRule="atLeast"/>
        <w:jc w:val="center"/>
        <w:rPr>
          <w:rFonts w:ascii="黑体" w:eastAsia="黑体" w:hAnsi="黑体" w:cs="宋体"/>
          <w:b/>
          <w:sz w:val="32"/>
          <w:szCs w:val="32"/>
        </w:rPr>
      </w:pPr>
      <w:bookmarkStart w:id="0" w:name="_GoBack"/>
      <w:bookmarkEnd w:id="0"/>
      <w:r>
        <w:rPr>
          <w:noProof/>
          <w:sz w:val="21"/>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411480</wp:posOffset>
                </wp:positionV>
                <wp:extent cx="6477000" cy="30480"/>
                <wp:effectExtent l="35560" t="36195" r="31115" b="2857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7000" cy="3048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363260" id="直接连接符 1"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4pt" to="510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" strokeweight="4.5pt">
                <v:stroke linestyle="thinThick"/>
              </v:line>
            </w:pict>
          </mc:Fallback>
        </mc:AlternateContent>
      </w:r>
      <w:r w:rsidR="00EE755D">
        <w:rPr>
          <w:rFonts w:ascii="黑体" w:eastAsia="黑体" w:hAnsi="黑体" w:cs="宋体"/>
          <w:b/>
          <w:sz w:val="32"/>
          <w:szCs w:val="32"/>
        </w:rPr>
        <w:t>2020</w:t>
      </w:r>
      <w:r w:rsidR="00EE755D">
        <w:rPr>
          <w:rFonts w:ascii="黑体" w:eastAsia="黑体" w:hAnsi="黑体" w:cs="宋体" w:hint="eastAsia"/>
          <w:b/>
          <w:sz w:val="32"/>
          <w:szCs w:val="32"/>
        </w:rPr>
        <w:t>年第十七</w:t>
      </w:r>
      <w:r w:rsidR="00EF34E9" w:rsidRPr="002F1DF6">
        <w:rPr>
          <w:rFonts w:ascii="黑体" w:eastAsia="黑体" w:hAnsi="黑体" w:cs="宋体" w:hint="eastAsia"/>
          <w:b/>
          <w:sz w:val="32"/>
          <w:szCs w:val="32"/>
        </w:rPr>
        <w:t>届五一数学建模竞赛题目</w:t>
      </w:r>
    </w:p>
    <w:p w:rsidR="00D91B2C" w:rsidRPr="001E3788" w:rsidRDefault="001E67F4" w:rsidP="00D91B2C">
      <w:pPr>
        <w:jc w:val="center"/>
        <w:rPr>
          <w:rFonts w:ascii="黑体" w:eastAsia="黑体" w:hAnsi="黑体"/>
          <w:b/>
          <w:sz w:val="30"/>
          <w:szCs w:val="30"/>
        </w:rPr>
      </w:pPr>
      <w:r>
        <w:rPr>
          <w:rFonts w:ascii="黑体" w:eastAsia="黑体" w:hAnsi="黑体"/>
          <w:b/>
          <w:sz w:val="30"/>
          <w:szCs w:val="30"/>
        </w:rPr>
        <w:t>B</w:t>
      </w:r>
      <w:r w:rsidR="00EF34E9" w:rsidRPr="007F7C68">
        <w:rPr>
          <w:rFonts w:ascii="黑体" w:eastAsia="黑体" w:hAnsi="黑体"/>
          <w:b/>
          <w:sz w:val="30"/>
          <w:szCs w:val="30"/>
        </w:rPr>
        <w:t>题</w:t>
      </w:r>
      <w:r w:rsidR="001E3788">
        <w:rPr>
          <w:rFonts w:ascii="黑体" w:eastAsia="黑体" w:hAnsi="黑体" w:hint="eastAsia"/>
          <w:b/>
          <w:sz w:val="30"/>
          <w:szCs w:val="30"/>
        </w:rPr>
        <w:t xml:space="preserve"> </w:t>
      </w:r>
      <w:r w:rsidR="001E3788" w:rsidRPr="001E3788">
        <w:rPr>
          <w:rFonts w:ascii="黑体" w:eastAsia="黑体" w:hAnsi="黑体" w:hint="eastAsia"/>
          <w:b/>
          <w:sz w:val="30"/>
          <w:szCs w:val="30"/>
        </w:rPr>
        <w:t>基于系统性风险角度的基金资产配置策略分析</w:t>
      </w:r>
    </w:p>
    <w:p w:rsidR="001E3788" w:rsidRDefault="001E3788" w:rsidP="001E3788">
      <w:pPr>
        <w:spacing w:line="360" w:lineRule="auto"/>
        <w:ind w:firstLineChars="200" w:firstLine="480"/>
        <w:rPr>
          <w:rFonts w:ascii="Times New Roman" w:eastAsia="宋体" w:hAnsi="宋体" w:cs="Times New Roman"/>
          <w:sz w:val="24"/>
          <w:szCs w:val="24"/>
        </w:rPr>
      </w:pPr>
      <w:r>
        <w:rPr>
          <w:rFonts w:ascii="Times New Roman" w:eastAsia="宋体" w:hAnsi="宋体" w:cs="Times New Roman"/>
          <w:sz w:val="24"/>
          <w:szCs w:val="24"/>
        </w:rPr>
        <w:t>近年来，随着改革开放程度的不断提高，我国经济运行中的各种风险逐渐暴露并集中传导和体现于金融领域。党的“十九大”报告提出</w:t>
      </w:r>
      <w:r>
        <w:rPr>
          <w:rFonts w:ascii="Times New Roman" w:eastAsia="宋体" w:hAnsi="宋体" w:cs="Times New Roman" w:hint="eastAsia"/>
          <w:sz w:val="24"/>
          <w:szCs w:val="24"/>
        </w:rPr>
        <w:t>“</w:t>
      </w:r>
      <w:r>
        <w:rPr>
          <w:rFonts w:ascii="Times New Roman" w:eastAsia="宋体" w:hAnsi="宋体" w:cs="Times New Roman"/>
          <w:sz w:val="24"/>
          <w:szCs w:val="24"/>
        </w:rPr>
        <w:t>守住不发生系统性金融风险的底线</w:t>
      </w:r>
      <w:r>
        <w:rPr>
          <w:rFonts w:ascii="Times New Roman" w:eastAsia="宋体" w:hAnsi="宋体" w:cs="Times New Roman" w:hint="eastAsia"/>
          <w:sz w:val="24"/>
          <w:szCs w:val="24"/>
        </w:rPr>
        <w:t>”</w:t>
      </w:r>
      <w:r>
        <w:rPr>
          <w:rFonts w:ascii="Times New Roman" w:eastAsia="宋体" w:hAnsi="宋体" w:cs="Times New Roman"/>
          <w:sz w:val="24"/>
          <w:szCs w:val="24"/>
        </w:rPr>
        <w:t>要求，并将防范化解重大风险看成决胜全面建成小康社会三大攻坚战的首要战役。</w:t>
      </w:r>
    </w:p>
    <w:p w:rsidR="001E3788" w:rsidRDefault="001E3788" w:rsidP="001E3788">
      <w:pPr>
        <w:spacing w:line="360" w:lineRule="auto"/>
        <w:ind w:firstLineChars="200" w:firstLine="480"/>
        <w:rPr>
          <w:rFonts w:ascii="Times New Roman" w:eastAsia="宋体" w:hAnsi="宋体" w:cs="Times New Roman"/>
          <w:sz w:val="24"/>
          <w:szCs w:val="24"/>
        </w:rPr>
      </w:pPr>
      <w:r>
        <w:rPr>
          <w:rFonts w:ascii="Times New Roman" w:eastAsia="宋体" w:hAnsi="宋体" w:cs="Times New Roman"/>
          <w:sz w:val="24"/>
          <w:szCs w:val="24"/>
        </w:rPr>
        <w:t>作为金融系统的重要组成部分之一</w:t>
      </w:r>
      <w:r>
        <w:rPr>
          <w:rFonts w:ascii="Times New Roman" w:eastAsia="宋体" w:hAnsi="宋体" w:cs="Times New Roman" w:hint="eastAsia"/>
          <w:sz w:val="24"/>
          <w:szCs w:val="24"/>
        </w:rPr>
        <w:t>，资产管理业务</w:t>
      </w:r>
      <w:r>
        <w:rPr>
          <w:rFonts w:ascii="Times New Roman" w:eastAsia="宋体" w:hAnsi="宋体" w:cs="Times New Roman"/>
          <w:sz w:val="24"/>
          <w:szCs w:val="24"/>
        </w:rPr>
        <w:t>的风险状况同样是我国金融体制改革过程中值得关注的问题</w:t>
      </w:r>
      <w:r>
        <w:rPr>
          <w:rFonts w:ascii="Times New Roman" w:eastAsia="宋体" w:hAnsi="宋体" w:cs="Times New Roman" w:hint="eastAsia"/>
          <w:sz w:val="24"/>
          <w:szCs w:val="24"/>
        </w:rPr>
        <w:t>。因此，</w:t>
      </w:r>
      <w:r>
        <w:rPr>
          <w:rFonts w:ascii="Times New Roman" w:eastAsia="宋体" w:hAnsi="宋体" w:cs="Times New Roman"/>
          <w:sz w:val="24"/>
          <w:szCs w:val="24"/>
        </w:rPr>
        <w:t>中国人民银行于</w:t>
      </w:r>
      <w:r>
        <w:rPr>
          <w:rFonts w:ascii="Times New Roman" w:eastAsia="宋体" w:hAnsi="宋体" w:cs="Times New Roman" w:hint="eastAsia"/>
          <w:sz w:val="24"/>
          <w:szCs w:val="24"/>
        </w:rPr>
        <w:t>2018</w:t>
      </w:r>
      <w:r>
        <w:rPr>
          <w:rFonts w:ascii="Times New Roman" w:eastAsia="宋体" w:hAnsi="宋体" w:cs="Times New Roman" w:hint="eastAsia"/>
          <w:sz w:val="24"/>
          <w:szCs w:val="24"/>
        </w:rPr>
        <w:t>年出台</w:t>
      </w:r>
      <w:r>
        <w:rPr>
          <w:rFonts w:ascii="Times New Roman" w:eastAsia="宋体" w:hAnsi="宋体" w:cs="Times New Roman"/>
          <w:sz w:val="24"/>
          <w:szCs w:val="24"/>
        </w:rPr>
        <w:t>了《关于规范金融机构资产管理业务的指导意见》</w:t>
      </w:r>
      <w:r>
        <w:rPr>
          <w:rFonts w:ascii="Times New Roman" w:eastAsia="宋体" w:hAnsi="宋体" w:cs="Times New Roman" w:hint="eastAsia"/>
          <w:sz w:val="24"/>
          <w:szCs w:val="24"/>
        </w:rPr>
        <w:t>，</w:t>
      </w:r>
      <w:r>
        <w:rPr>
          <w:rFonts w:ascii="Times New Roman" w:eastAsia="宋体" w:hAnsi="宋体" w:cs="Times New Roman"/>
          <w:sz w:val="24"/>
          <w:szCs w:val="24"/>
        </w:rPr>
        <w:t>旨在规范金融机构资产管理业务，有效防控金融风险，引导社会资金流向实体经济，更好地支持经济结构调整和转型升级。</w:t>
      </w:r>
    </w:p>
    <w:p w:rsidR="001E3788" w:rsidRDefault="001E3788" w:rsidP="001E3788">
      <w:pPr>
        <w:spacing w:line="360" w:lineRule="auto"/>
        <w:ind w:firstLineChars="200" w:firstLine="480"/>
        <w:rPr>
          <w:rFonts w:ascii="Times New Roman" w:eastAsia="宋体" w:hAnsi="宋体" w:cs="Times New Roman"/>
          <w:sz w:val="24"/>
          <w:szCs w:val="24"/>
        </w:rPr>
      </w:pPr>
      <w:r>
        <w:rPr>
          <w:rFonts w:ascii="Times New Roman" w:eastAsia="宋体" w:hAnsi="宋体" w:cs="Times New Roman"/>
          <w:sz w:val="24"/>
          <w:szCs w:val="24"/>
        </w:rPr>
        <w:t>公募基金是最具代表性的资产管理业务形态</w:t>
      </w:r>
      <w:r>
        <w:rPr>
          <w:rFonts w:ascii="Times New Roman" w:eastAsia="宋体" w:hAnsi="宋体" w:cs="Times New Roman" w:hint="eastAsia"/>
          <w:sz w:val="24"/>
          <w:szCs w:val="24"/>
        </w:rPr>
        <w:t>。由于采取相对绩效考核制度，竞争压力使得公募基金资产配置变得非常复杂，</w:t>
      </w:r>
      <w:r>
        <w:rPr>
          <w:rFonts w:ascii="Times New Roman" w:cs="Times New Roman" w:hint="eastAsia"/>
          <w:sz w:val="24"/>
          <w:szCs w:val="24"/>
        </w:rPr>
        <w:t>持股集中度也相对较高</w:t>
      </w:r>
      <w:r>
        <w:rPr>
          <w:rFonts w:ascii="Times New Roman" w:eastAsia="宋体" w:hAnsi="宋体" w:cs="Times New Roman" w:hint="eastAsia"/>
          <w:sz w:val="24"/>
          <w:szCs w:val="24"/>
        </w:rPr>
        <w:t>，成为</w:t>
      </w:r>
      <w:r>
        <w:rPr>
          <w:rFonts w:ascii="Times New Roman" w:eastAsia="宋体" w:hAnsi="宋体" w:cs="Times New Roman"/>
          <w:sz w:val="24"/>
          <w:szCs w:val="24"/>
        </w:rPr>
        <w:t>影响系统性风险的潜在因素</w:t>
      </w:r>
      <w:r>
        <w:rPr>
          <w:rFonts w:ascii="Times New Roman" w:eastAsia="宋体" w:hAnsi="宋体" w:cs="Times New Roman" w:hint="eastAsia"/>
          <w:sz w:val="24"/>
          <w:szCs w:val="24"/>
        </w:rPr>
        <w:t>。因此如何平衡基金投资收益和系统性风险之间的关系值得深入探究。</w:t>
      </w:r>
    </w:p>
    <w:p w:rsidR="00372DCC" w:rsidRPr="00372DCC" w:rsidRDefault="00372DCC" w:rsidP="001E3788">
      <w:pPr>
        <w:spacing w:line="360" w:lineRule="auto"/>
        <w:ind w:firstLineChars="200" w:firstLine="480"/>
        <w:rPr>
          <w:rFonts w:ascii="Times New Roman" w:eastAsia="宋体" w:hAnsi="宋体" w:cs="Times New Roman"/>
          <w:sz w:val="24"/>
          <w:szCs w:val="24"/>
        </w:rPr>
      </w:pPr>
      <w:r w:rsidRPr="006200EC">
        <w:rPr>
          <w:rFonts w:asciiTheme="minorEastAsia" w:hAnsiTheme="minorEastAsia" w:hint="eastAsia"/>
          <w:sz w:val="24"/>
        </w:rPr>
        <w:t>请考虑下列问题：</w:t>
      </w:r>
    </w:p>
    <w:p w:rsidR="001E3788" w:rsidRPr="00375678" w:rsidRDefault="001E3788" w:rsidP="00375678">
      <w:pPr>
        <w:pStyle w:val="a9"/>
        <w:numPr>
          <w:ilvl w:val="0"/>
          <w:numId w:val="4"/>
        </w:numPr>
        <w:spacing w:line="360" w:lineRule="auto"/>
        <w:ind w:firstLineChars="0"/>
        <w:rPr>
          <w:rFonts w:ascii="Times New Roman" w:eastAsia="宋体" w:hAnsi="宋体" w:cs="Times New Roman"/>
          <w:sz w:val="24"/>
          <w:szCs w:val="24"/>
        </w:rPr>
      </w:pPr>
      <w:r w:rsidRPr="00375678">
        <w:rPr>
          <w:rFonts w:ascii="Times New Roman" w:eastAsia="宋体" w:hAnsi="宋体" w:cs="Times New Roman" w:hint="eastAsia"/>
          <w:sz w:val="24"/>
          <w:szCs w:val="24"/>
        </w:rPr>
        <w:t>附件</w:t>
      </w:r>
      <w:r w:rsidRPr="00375678">
        <w:rPr>
          <w:rFonts w:ascii="Times New Roman" w:eastAsia="宋体" w:hAnsi="宋体" w:cs="Times New Roman" w:hint="eastAsia"/>
          <w:sz w:val="24"/>
          <w:szCs w:val="24"/>
        </w:rPr>
        <w:t>1</w:t>
      </w:r>
      <w:r w:rsidRPr="00375678">
        <w:rPr>
          <w:rFonts w:ascii="Times New Roman" w:eastAsia="宋体" w:hAnsi="宋体" w:cs="Times New Roman" w:hint="eastAsia"/>
          <w:sz w:val="24"/>
          <w:szCs w:val="24"/>
        </w:rPr>
        <w:t>提供了</w:t>
      </w:r>
      <w:r w:rsidRPr="00375678">
        <w:rPr>
          <w:rFonts w:ascii="Times New Roman" w:eastAsia="宋体" w:hAnsi="宋体" w:cs="Times New Roman" w:hint="eastAsia"/>
          <w:sz w:val="24"/>
          <w:szCs w:val="24"/>
        </w:rPr>
        <w:t>2019</w:t>
      </w:r>
      <w:r w:rsidRPr="00375678">
        <w:rPr>
          <w:rFonts w:ascii="Times New Roman" w:eastAsia="宋体" w:hAnsi="宋体" w:cs="Times New Roman" w:hint="eastAsia"/>
          <w:sz w:val="24"/>
          <w:szCs w:val="24"/>
        </w:rPr>
        <w:t>年十家公募基金公司在股市中的一部分资产配置信息。请以此样本为例</w:t>
      </w:r>
      <w:r w:rsidRPr="00375678">
        <w:rPr>
          <w:rFonts w:ascii="Times New Roman" w:eastAsia="宋体" w:hAnsi="宋体" w:cs="Times New Roman"/>
          <w:sz w:val="24"/>
          <w:szCs w:val="24"/>
        </w:rPr>
        <w:t>，</w:t>
      </w:r>
      <w:r w:rsidRPr="00375678">
        <w:rPr>
          <w:rFonts w:ascii="Times New Roman" w:eastAsia="宋体" w:hAnsi="宋体" w:cs="Times New Roman" w:hint="eastAsia"/>
          <w:sz w:val="24"/>
          <w:szCs w:val="24"/>
        </w:rPr>
        <w:t>建立合适的数学模型，度量不同基金公司之间资产配置策略的相似性。</w:t>
      </w:r>
    </w:p>
    <w:p w:rsidR="001E3788" w:rsidRPr="00375678" w:rsidRDefault="001E3788" w:rsidP="00375678">
      <w:pPr>
        <w:pStyle w:val="a9"/>
        <w:numPr>
          <w:ilvl w:val="0"/>
          <w:numId w:val="4"/>
        </w:numPr>
        <w:spacing w:line="360" w:lineRule="auto"/>
        <w:ind w:firstLineChars="0"/>
        <w:rPr>
          <w:rFonts w:ascii="Times New Roman" w:eastAsia="宋体" w:hAnsi="宋体" w:cs="Times New Roman"/>
          <w:sz w:val="24"/>
          <w:szCs w:val="24"/>
        </w:rPr>
      </w:pPr>
      <w:r w:rsidRPr="00375678">
        <w:rPr>
          <w:rFonts w:ascii="Times New Roman" w:eastAsia="宋体" w:hAnsi="宋体" w:cs="Times New Roman" w:hint="eastAsia"/>
          <w:sz w:val="24"/>
          <w:szCs w:val="24"/>
        </w:rPr>
        <w:t>附件</w:t>
      </w:r>
      <w:r w:rsidRPr="00375678">
        <w:rPr>
          <w:rFonts w:ascii="Times New Roman" w:eastAsia="宋体" w:hAnsi="宋体" w:cs="Times New Roman" w:hint="eastAsia"/>
          <w:sz w:val="24"/>
          <w:szCs w:val="24"/>
        </w:rPr>
        <w:t>2</w:t>
      </w:r>
      <w:r w:rsidRPr="00375678">
        <w:rPr>
          <w:rFonts w:ascii="Times New Roman" w:eastAsia="宋体" w:hAnsi="宋体" w:cs="Times New Roman" w:hint="eastAsia"/>
          <w:sz w:val="24"/>
          <w:szCs w:val="24"/>
        </w:rPr>
        <w:t>提供了</w:t>
      </w:r>
      <w:r w:rsidRPr="00375678">
        <w:rPr>
          <w:rFonts w:ascii="Times New Roman" w:eastAsia="宋体" w:hAnsi="宋体" w:cs="Times New Roman" w:hint="eastAsia"/>
          <w:sz w:val="24"/>
          <w:szCs w:val="24"/>
        </w:rPr>
        <w:t>2019</w:t>
      </w:r>
      <w:r w:rsidRPr="00375678">
        <w:rPr>
          <w:rFonts w:ascii="Times New Roman" w:eastAsia="宋体" w:hAnsi="宋体" w:cs="Times New Roman" w:hint="eastAsia"/>
          <w:sz w:val="24"/>
          <w:szCs w:val="24"/>
        </w:rPr>
        <w:t>年样本股票价格数据，假设以所有基金的持股市值总和作为初始财富，以投资效用最大化为目标，请建立合适的数学模型，确定最优的股票投资组合策略（不考虑股票之间的相关性且不允许卖空）。</w:t>
      </w:r>
    </w:p>
    <w:p w:rsidR="001E3788" w:rsidRPr="00375678" w:rsidRDefault="001E3788" w:rsidP="00375678">
      <w:pPr>
        <w:pStyle w:val="a9"/>
        <w:numPr>
          <w:ilvl w:val="0"/>
          <w:numId w:val="4"/>
        </w:numPr>
        <w:spacing w:line="360" w:lineRule="auto"/>
        <w:ind w:firstLineChars="0"/>
        <w:rPr>
          <w:rFonts w:ascii="Times New Roman" w:eastAsia="宋体" w:hAnsi="宋体" w:cs="Times New Roman"/>
          <w:sz w:val="24"/>
          <w:szCs w:val="24"/>
        </w:rPr>
      </w:pPr>
      <w:r w:rsidRPr="00375678">
        <w:rPr>
          <w:rFonts w:ascii="Times New Roman" w:eastAsia="宋体" w:hAnsi="宋体" w:cs="Times New Roman" w:hint="eastAsia"/>
          <w:sz w:val="24"/>
          <w:szCs w:val="24"/>
        </w:rPr>
        <w:t>假设</w:t>
      </w:r>
      <w:r w:rsidRPr="00375678">
        <w:rPr>
          <w:rFonts w:ascii="Times New Roman" w:eastAsia="宋体" w:hAnsi="宋体" w:cs="Times New Roman" w:hint="eastAsia"/>
          <w:sz w:val="24"/>
          <w:szCs w:val="24"/>
        </w:rPr>
        <w:t>2020</w:t>
      </w:r>
      <w:r w:rsidRPr="00375678">
        <w:rPr>
          <w:rFonts w:ascii="Times New Roman" w:eastAsia="宋体" w:hAnsi="宋体" w:cs="Times New Roman" w:hint="eastAsia"/>
          <w:sz w:val="24"/>
          <w:szCs w:val="24"/>
        </w:rPr>
        <w:t>年所有基金公司仍然按照</w:t>
      </w:r>
      <w:r w:rsidRPr="00375678">
        <w:rPr>
          <w:rFonts w:ascii="Times New Roman" w:eastAsia="宋体" w:hAnsi="宋体" w:cs="Times New Roman" w:hint="eastAsia"/>
          <w:sz w:val="24"/>
          <w:szCs w:val="24"/>
        </w:rPr>
        <w:t>2019</w:t>
      </w:r>
      <w:r w:rsidRPr="00375678">
        <w:rPr>
          <w:rFonts w:ascii="Times New Roman" w:eastAsia="宋体" w:hAnsi="宋体" w:cs="Times New Roman" w:hint="eastAsia"/>
          <w:sz w:val="24"/>
          <w:szCs w:val="24"/>
        </w:rPr>
        <w:t>年的资产配置策略进行投资。请根据附件</w:t>
      </w:r>
      <w:r w:rsidRPr="00375678">
        <w:rPr>
          <w:rFonts w:ascii="Times New Roman" w:eastAsia="宋体" w:hAnsi="宋体" w:cs="Times New Roman" w:hint="eastAsia"/>
          <w:sz w:val="24"/>
          <w:szCs w:val="24"/>
        </w:rPr>
        <w:t>1</w:t>
      </w:r>
      <w:r w:rsidRPr="00375678">
        <w:rPr>
          <w:rFonts w:ascii="Times New Roman" w:eastAsia="宋体" w:hAnsi="宋体" w:cs="Times New Roman" w:hint="eastAsia"/>
          <w:sz w:val="24"/>
          <w:szCs w:val="24"/>
        </w:rPr>
        <w:t>和附件</w:t>
      </w:r>
      <w:r w:rsidRPr="00375678">
        <w:rPr>
          <w:rFonts w:ascii="Times New Roman" w:eastAsia="宋体" w:hAnsi="宋体" w:cs="Times New Roman" w:hint="eastAsia"/>
          <w:sz w:val="24"/>
          <w:szCs w:val="24"/>
        </w:rPr>
        <w:t>2</w:t>
      </w:r>
      <w:r w:rsidRPr="00375678">
        <w:rPr>
          <w:rFonts w:ascii="Times New Roman" w:eastAsia="宋体" w:hAnsi="宋体" w:cs="Times New Roman" w:hint="eastAsia"/>
          <w:sz w:val="24"/>
          <w:szCs w:val="24"/>
        </w:rPr>
        <w:t>建立合适的数学模型，度量每个基金公司</w:t>
      </w:r>
      <w:r w:rsidRPr="00375678">
        <w:rPr>
          <w:rFonts w:ascii="Times New Roman" w:eastAsia="宋体" w:hAnsi="宋体" w:cs="Times New Roman" w:hint="eastAsia"/>
          <w:sz w:val="24"/>
          <w:szCs w:val="24"/>
        </w:rPr>
        <w:t>2020</w:t>
      </w:r>
      <w:r w:rsidRPr="00375678">
        <w:rPr>
          <w:rFonts w:ascii="Times New Roman" w:eastAsia="宋体" w:hAnsi="宋体" w:cs="Times New Roman" w:hint="eastAsia"/>
          <w:sz w:val="24"/>
          <w:szCs w:val="24"/>
        </w:rPr>
        <w:t>年</w:t>
      </w:r>
      <w:r w:rsidRPr="00375678">
        <w:rPr>
          <w:rFonts w:ascii="Times New Roman" w:eastAsia="宋体" w:hAnsi="宋体" w:cs="Times New Roman" w:hint="eastAsia"/>
          <w:sz w:val="24"/>
          <w:szCs w:val="24"/>
        </w:rPr>
        <w:t>95%</w:t>
      </w:r>
      <w:r w:rsidRPr="00375678">
        <w:rPr>
          <w:rFonts w:ascii="Times New Roman" w:eastAsia="宋体" w:hAnsi="宋体" w:cs="Times New Roman" w:hint="eastAsia"/>
          <w:sz w:val="24"/>
          <w:szCs w:val="24"/>
        </w:rPr>
        <w:t>置信水平下的风险价值，并进行排序。</w:t>
      </w:r>
    </w:p>
    <w:p w:rsidR="00D91B2C" w:rsidRPr="00375678" w:rsidRDefault="001E3788" w:rsidP="00375678">
      <w:pPr>
        <w:pStyle w:val="a9"/>
        <w:numPr>
          <w:ilvl w:val="0"/>
          <w:numId w:val="4"/>
        </w:numPr>
        <w:spacing w:line="360" w:lineRule="auto"/>
        <w:ind w:firstLineChars="0"/>
        <w:rPr>
          <w:rFonts w:ascii="Times New Roman" w:eastAsia="宋体" w:hAnsi="宋体" w:cs="Times New Roman"/>
          <w:sz w:val="24"/>
          <w:szCs w:val="24"/>
        </w:rPr>
      </w:pPr>
      <w:r w:rsidRPr="00375678">
        <w:rPr>
          <w:rFonts w:ascii="Times New Roman" w:eastAsia="宋体" w:hAnsi="宋体" w:cs="Times New Roman" w:hint="eastAsia"/>
          <w:sz w:val="24"/>
          <w:szCs w:val="24"/>
        </w:rPr>
        <w:t>如果要求</w:t>
      </w:r>
      <w:r w:rsidRPr="00375678">
        <w:rPr>
          <w:rFonts w:ascii="Times New Roman" w:eastAsia="宋体" w:hAnsi="宋体" w:cs="Times New Roman" w:hint="eastAsia"/>
          <w:sz w:val="24"/>
          <w:szCs w:val="24"/>
        </w:rPr>
        <w:t>2020</w:t>
      </w:r>
      <w:r w:rsidRPr="00375678">
        <w:rPr>
          <w:rFonts w:ascii="Times New Roman" w:eastAsia="宋体" w:hAnsi="宋体" w:cs="Times New Roman" w:hint="eastAsia"/>
          <w:sz w:val="24"/>
          <w:szCs w:val="24"/>
        </w:rPr>
        <w:t>年整个系统（所有样本基金公司组成）既能保证投资效用最大化，同时又能使风险价值最低，请建立合适的数学模型，确定最优的股票投资组合策略，并给出投资效用和风险价值。</w:t>
      </w:r>
    </w:p>
    <w:sectPr w:rsidR="00D91B2C" w:rsidRPr="00375678" w:rsidSect="00740300">
      <w:pgSz w:w="11906" w:h="16838"/>
      <w:pgMar w:top="1134" w:right="851" w:bottom="1134" w:left="85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1F65" w:rsidRDefault="00E91F65" w:rsidP="002622E8">
      <w:r>
        <w:separator/>
      </w:r>
    </w:p>
  </w:endnote>
  <w:endnote w:type="continuationSeparator" w:id="0">
    <w:p w:rsidR="00E91F65" w:rsidRDefault="00E91F65" w:rsidP="00262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1F65" w:rsidRDefault="00E91F65" w:rsidP="002622E8">
      <w:r>
        <w:separator/>
      </w:r>
    </w:p>
  </w:footnote>
  <w:footnote w:type="continuationSeparator" w:id="0">
    <w:p w:rsidR="00E91F65" w:rsidRDefault="00E91F65" w:rsidP="002622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C180E"/>
    <w:multiLevelType w:val="hybridMultilevel"/>
    <w:tmpl w:val="7E8402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E455ED"/>
    <w:multiLevelType w:val="hybridMultilevel"/>
    <w:tmpl w:val="8F80A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E54DA0"/>
    <w:multiLevelType w:val="hybridMultilevel"/>
    <w:tmpl w:val="D2046ACC"/>
    <w:lvl w:ilvl="0" w:tplc="830289D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970A16"/>
    <w:multiLevelType w:val="hybridMultilevel"/>
    <w:tmpl w:val="9D5C4022"/>
    <w:lvl w:ilvl="0" w:tplc="8A3A7AFC">
      <w:start w:val="1"/>
      <w:numFmt w:val="decimal"/>
      <w:lvlText w:val="注%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2E8"/>
    <w:rsid w:val="000103F0"/>
    <w:rsid w:val="00010BCF"/>
    <w:rsid w:val="00024FC8"/>
    <w:rsid w:val="00032797"/>
    <w:rsid w:val="00052361"/>
    <w:rsid w:val="00066F7C"/>
    <w:rsid w:val="00086B62"/>
    <w:rsid w:val="000B5252"/>
    <w:rsid w:val="000C07DD"/>
    <w:rsid w:val="000E1A46"/>
    <w:rsid w:val="000F0943"/>
    <w:rsid w:val="000F5666"/>
    <w:rsid w:val="001576FB"/>
    <w:rsid w:val="00157764"/>
    <w:rsid w:val="001633F2"/>
    <w:rsid w:val="00171FFE"/>
    <w:rsid w:val="0017590D"/>
    <w:rsid w:val="001828C9"/>
    <w:rsid w:val="00185B25"/>
    <w:rsid w:val="001A4792"/>
    <w:rsid w:val="001B3260"/>
    <w:rsid w:val="001B5966"/>
    <w:rsid w:val="001C0FB9"/>
    <w:rsid w:val="001C6E61"/>
    <w:rsid w:val="001D05E5"/>
    <w:rsid w:val="001D5CE6"/>
    <w:rsid w:val="001E3788"/>
    <w:rsid w:val="001E4C56"/>
    <w:rsid w:val="001E67F4"/>
    <w:rsid w:val="001E6B97"/>
    <w:rsid w:val="002003E7"/>
    <w:rsid w:val="00203B2D"/>
    <w:rsid w:val="00214D7E"/>
    <w:rsid w:val="00233E22"/>
    <w:rsid w:val="002455FD"/>
    <w:rsid w:val="00246995"/>
    <w:rsid w:val="002622E8"/>
    <w:rsid w:val="002A6791"/>
    <w:rsid w:val="002D6293"/>
    <w:rsid w:val="002E112A"/>
    <w:rsid w:val="002E2167"/>
    <w:rsid w:val="002E6AFB"/>
    <w:rsid w:val="00307754"/>
    <w:rsid w:val="00311582"/>
    <w:rsid w:val="003123B6"/>
    <w:rsid w:val="00317EBA"/>
    <w:rsid w:val="0032766B"/>
    <w:rsid w:val="00333B1B"/>
    <w:rsid w:val="00346299"/>
    <w:rsid w:val="00370D42"/>
    <w:rsid w:val="003727CF"/>
    <w:rsid w:val="00372DCC"/>
    <w:rsid w:val="00375678"/>
    <w:rsid w:val="00377361"/>
    <w:rsid w:val="00387408"/>
    <w:rsid w:val="003A09D1"/>
    <w:rsid w:val="003B24DF"/>
    <w:rsid w:val="003B36AE"/>
    <w:rsid w:val="003C05D7"/>
    <w:rsid w:val="003C2501"/>
    <w:rsid w:val="003D3333"/>
    <w:rsid w:val="00422D6F"/>
    <w:rsid w:val="00436B03"/>
    <w:rsid w:val="004421DC"/>
    <w:rsid w:val="00454F2A"/>
    <w:rsid w:val="00473CC4"/>
    <w:rsid w:val="00495862"/>
    <w:rsid w:val="004C74EA"/>
    <w:rsid w:val="004D29A2"/>
    <w:rsid w:val="004F01E9"/>
    <w:rsid w:val="005163D4"/>
    <w:rsid w:val="005232E3"/>
    <w:rsid w:val="00531C89"/>
    <w:rsid w:val="00555696"/>
    <w:rsid w:val="005937D0"/>
    <w:rsid w:val="00594315"/>
    <w:rsid w:val="005A0ACE"/>
    <w:rsid w:val="005A71F7"/>
    <w:rsid w:val="005B213F"/>
    <w:rsid w:val="005B3AC2"/>
    <w:rsid w:val="005C33E8"/>
    <w:rsid w:val="005F5D49"/>
    <w:rsid w:val="00635B6D"/>
    <w:rsid w:val="006515F0"/>
    <w:rsid w:val="006646DC"/>
    <w:rsid w:val="00682920"/>
    <w:rsid w:val="00686A0C"/>
    <w:rsid w:val="00690A1F"/>
    <w:rsid w:val="0069100D"/>
    <w:rsid w:val="006A5037"/>
    <w:rsid w:val="006B7DF5"/>
    <w:rsid w:val="006D4E65"/>
    <w:rsid w:val="006E12A5"/>
    <w:rsid w:val="006E2ADC"/>
    <w:rsid w:val="006E3A87"/>
    <w:rsid w:val="006F384B"/>
    <w:rsid w:val="00734393"/>
    <w:rsid w:val="00740300"/>
    <w:rsid w:val="007425C2"/>
    <w:rsid w:val="00743274"/>
    <w:rsid w:val="00745E10"/>
    <w:rsid w:val="00750880"/>
    <w:rsid w:val="00767677"/>
    <w:rsid w:val="0076794F"/>
    <w:rsid w:val="007705A8"/>
    <w:rsid w:val="007764E6"/>
    <w:rsid w:val="00792D84"/>
    <w:rsid w:val="007A4A48"/>
    <w:rsid w:val="007A4F05"/>
    <w:rsid w:val="007E3112"/>
    <w:rsid w:val="007F255D"/>
    <w:rsid w:val="007F7C68"/>
    <w:rsid w:val="008023F5"/>
    <w:rsid w:val="008177FA"/>
    <w:rsid w:val="00820112"/>
    <w:rsid w:val="00830224"/>
    <w:rsid w:val="00843384"/>
    <w:rsid w:val="00853332"/>
    <w:rsid w:val="00863DD3"/>
    <w:rsid w:val="00872D99"/>
    <w:rsid w:val="008A1CD8"/>
    <w:rsid w:val="008D612C"/>
    <w:rsid w:val="008F04C5"/>
    <w:rsid w:val="0090706C"/>
    <w:rsid w:val="00911508"/>
    <w:rsid w:val="0092197D"/>
    <w:rsid w:val="00950003"/>
    <w:rsid w:val="00951766"/>
    <w:rsid w:val="009564C5"/>
    <w:rsid w:val="00960D17"/>
    <w:rsid w:val="00966F46"/>
    <w:rsid w:val="009A7759"/>
    <w:rsid w:val="009C06B5"/>
    <w:rsid w:val="009D1A32"/>
    <w:rsid w:val="009D2D97"/>
    <w:rsid w:val="009E43C7"/>
    <w:rsid w:val="009E740D"/>
    <w:rsid w:val="00A20365"/>
    <w:rsid w:val="00A56755"/>
    <w:rsid w:val="00A57FA2"/>
    <w:rsid w:val="00A70699"/>
    <w:rsid w:val="00A71699"/>
    <w:rsid w:val="00A774FC"/>
    <w:rsid w:val="00A90E2B"/>
    <w:rsid w:val="00A92023"/>
    <w:rsid w:val="00AA4179"/>
    <w:rsid w:val="00AB30E1"/>
    <w:rsid w:val="00AC6C43"/>
    <w:rsid w:val="00AF2DE2"/>
    <w:rsid w:val="00AF56F7"/>
    <w:rsid w:val="00B14E29"/>
    <w:rsid w:val="00B3266E"/>
    <w:rsid w:val="00B35AC6"/>
    <w:rsid w:val="00B41F5B"/>
    <w:rsid w:val="00B44A4C"/>
    <w:rsid w:val="00B46920"/>
    <w:rsid w:val="00B55CA4"/>
    <w:rsid w:val="00B571AB"/>
    <w:rsid w:val="00B6373B"/>
    <w:rsid w:val="00B6594D"/>
    <w:rsid w:val="00B70396"/>
    <w:rsid w:val="00B777DC"/>
    <w:rsid w:val="00B96003"/>
    <w:rsid w:val="00BA01BB"/>
    <w:rsid w:val="00BD71D3"/>
    <w:rsid w:val="00BE63F5"/>
    <w:rsid w:val="00BE7499"/>
    <w:rsid w:val="00BF6B84"/>
    <w:rsid w:val="00C07095"/>
    <w:rsid w:val="00C143E7"/>
    <w:rsid w:val="00C215D7"/>
    <w:rsid w:val="00C45F83"/>
    <w:rsid w:val="00C56679"/>
    <w:rsid w:val="00C620E7"/>
    <w:rsid w:val="00C67091"/>
    <w:rsid w:val="00C75BF4"/>
    <w:rsid w:val="00C75D44"/>
    <w:rsid w:val="00CA0ED3"/>
    <w:rsid w:val="00CC7B56"/>
    <w:rsid w:val="00CD16D6"/>
    <w:rsid w:val="00CE50B9"/>
    <w:rsid w:val="00D01C5A"/>
    <w:rsid w:val="00D056E5"/>
    <w:rsid w:val="00D35C8D"/>
    <w:rsid w:val="00D63F3C"/>
    <w:rsid w:val="00D73BC9"/>
    <w:rsid w:val="00D87A0F"/>
    <w:rsid w:val="00D91B2C"/>
    <w:rsid w:val="00DA4A40"/>
    <w:rsid w:val="00DD0158"/>
    <w:rsid w:val="00DE500F"/>
    <w:rsid w:val="00DF2C0E"/>
    <w:rsid w:val="00DF38C2"/>
    <w:rsid w:val="00E1345B"/>
    <w:rsid w:val="00E26A3F"/>
    <w:rsid w:val="00E359EC"/>
    <w:rsid w:val="00E373EE"/>
    <w:rsid w:val="00E425A6"/>
    <w:rsid w:val="00E44DB4"/>
    <w:rsid w:val="00E56569"/>
    <w:rsid w:val="00E77C8A"/>
    <w:rsid w:val="00E82CE8"/>
    <w:rsid w:val="00E83ACC"/>
    <w:rsid w:val="00E83C87"/>
    <w:rsid w:val="00E91F65"/>
    <w:rsid w:val="00E943A5"/>
    <w:rsid w:val="00EC1E17"/>
    <w:rsid w:val="00EE3E92"/>
    <w:rsid w:val="00EE755D"/>
    <w:rsid w:val="00EF34E9"/>
    <w:rsid w:val="00F23FDB"/>
    <w:rsid w:val="00F26BBD"/>
    <w:rsid w:val="00F35E3E"/>
    <w:rsid w:val="00F4144E"/>
    <w:rsid w:val="00F51258"/>
    <w:rsid w:val="00F5179D"/>
    <w:rsid w:val="00F60308"/>
    <w:rsid w:val="00F77148"/>
    <w:rsid w:val="00F80A0A"/>
    <w:rsid w:val="00FA3EC2"/>
    <w:rsid w:val="00FA48C7"/>
    <w:rsid w:val="00FC0067"/>
    <w:rsid w:val="00FD034E"/>
    <w:rsid w:val="00FD2CC2"/>
    <w:rsid w:val="00FE48B7"/>
    <w:rsid w:val="00FE49D8"/>
    <w:rsid w:val="00FF3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D5BD88-4F66-4208-B5EC-F7055DF4A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0D42"/>
    <w:pPr>
      <w:widowControl w:val="0"/>
      <w:jc w:val="both"/>
    </w:pPr>
  </w:style>
  <w:style w:type="paragraph" w:styleId="1">
    <w:name w:val="heading 1"/>
    <w:basedOn w:val="a"/>
    <w:link w:val="1Char"/>
    <w:uiPriority w:val="9"/>
    <w:qFormat/>
    <w:rsid w:val="006515F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622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622E8"/>
    <w:rPr>
      <w:sz w:val="18"/>
      <w:szCs w:val="18"/>
    </w:rPr>
  </w:style>
  <w:style w:type="paragraph" w:styleId="a4">
    <w:name w:val="footer"/>
    <w:basedOn w:val="a"/>
    <w:link w:val="Char0"/>
    <w:uiPriority w:val="99"/>
    <w:unhideWhenUsed/>
    <w:rsid w:val="002622E8"/>
    <w:pPr>
      <w:tabs>
        <w:tab w:val="center" w:pos="4153"/>
        <w:tab w:val="right" w:pos="8306"/>
      </w:tabs>
      <w:snapToGrid w:val="0"/>
      <w:jc w:val="left"/>
    </w:pPr>
    <w:rPr>
      <w:sz w:val="18"/>
      <w:szCs w:val="18"/>
    </w:rPr>
  </w:style>
  <w:style w:type="character" w:customStyle="1" w:styleId="Char0">
    <w:name w:val="页脚 Char"/>
    <w:basedOn w:val="a0"/>
    <w:link w:val="a4"/>
    <w:uiPriority w:val="99"/>
    <w:rsid w:val="002622E8"/>
    <w:rPr>
      <w:sz w:val="18"/>
      <w:szCs w:val="18"/>
    </w:rPr>
  </w:style>
  <w:style w:type="character" w:customStyle="1" w:styleId="1Char">
    <w:name w:val="标题 1 Char"/>
    <w:basedOn w:val="a0"/>
    <w:link w:val="1"/>
    <w:uiPriority w:val="9"/>
    <w:rsid w:val="006515F0"/>
    <w:rPr>
      <w:rFonts w:ascii="宋体" w:eastAsia="宋体" w:hAnsi="宋体" w:cs="宋体"/>
      <w:b/>
      <w:bCs/>
      <w:kern w:val="36"/>
      <w:sz w:val="48"/>
      <w:szCs w:val="48"/>
    </w:rPr>
  </w:style>
  <w:style w:type="character" w:styleId="a5">
    <w:name w:val="Placeholder Text"/>
    <w:basedOn w:val="a0"/>
    <w:uiPriority w:val="99"/>
    <w:semiHidden/>
    <w:rsid w:val="00246995"/>
    <w:rPr>
      <w:color w:val="808080"/>
    </w:rPr>
  </w:style>
  <w:style w:type="paragraph" w:styleId="a6">
    <w:name w:val="Balloon Text"/>
    <w:basedOn w:val="a"/>
    <w:link w:val="Char1"/>
    <w:uiPriority w:val="99"/>
    <w:semiHidden/>
    <w:unhideWhenUsed/>
    <w:rsid w:val="00246995"/>
    <w:rPr>
      <w:sz w:val="18"/>
      <w:szCs w:val="18"/>
    </w:rPr>
  </w:style>
  <w:style w:type="character" w:customStyle="1" w:styleId="Char1">
    <w:name w:val="批注框文本 Char"/>
    <w:basedOn w:val="a0"/>
    <w:link w:val="a6"/>
    <w:uiPriority w:val="99"/>
    <w:semiHidden/>
    <w:rsid w:val="00246995"/>
    <w:rPr>
      <w:sz w:val="18"/>
      <w:szCs w:val="18"/>
    </w:rPr>
  </w:style>
  <w:style w:type="paragraph" w:customStyle="1" w:styleId="MTDisplayEquation">
    <w:name w:val="MTDisplayEquation"/>
    <w:basedOn w:val="a"/>
    <w:next w:val="a"/>
    <w:link w:val="MTDisplayEquationChar"/>
    <w:rsid w:val="00767677"/>
    <w:pPr>
      <w:tabs>
        <w:tab w:val="center" w:pos="4160"/>
        <w:tab w:val="right" w:pos="8300"/>
      </w:tabs>
    </w:pPr>
    <w:rPr>
      <w:rFonts w:ascii="Arial" w:eastAsia="宋体" w:hAnsi="Arial" w:cs="Arial"/>
      <w:color w:val="333333"/>
      <w:kern w:val="0"/>
      <w:szCs w:val="21"/>
    </w:rPr>
  </w:style>
  <w:style w:type="character" w:customStyle="1" w:styleId="MTDisplayEquationChar">
    <w:name w:val="MTDisplayEquation Char"/>
    <w:basedOn w:val="a0"/>
    <w:link w:val="MTDisplayEquation"/>
    <w:rsid w:val="00767677"/>
    <w:rPr>
      <w:rFonts w:ascii="Arial" w:eastAsia="宋体" w:hAnsi="Arial" w:cs="Arial"/>
      <w:color w:val="333333"/>
      <w:kern w:val="0"/>
      <w:szCs w:val="21"/>
    </w:rPr>
  </w:style>
  <w:style w:type="table" w:styleId="a7">
    <w:name w:val="Table Grid"/>
    <w:basedOn w:val="a1"/>
    <w:uiPriority w:val="59"/>
    <w:rsid w:val="001E6B9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Normal (Web)"/>
    <w:basedOn w:val="a"/>
    <w:uiPriority w:val="99"/>
    <w:rsid w:val="00EF34E9"/>
    <w:pPr>
      <w:jc w:val="left"/>
    </w:pPr>
    <w:rPr>
      <w:rFonts w:ascii="Calibri" w:eastAsia="宋体" w:hAnsi="Calibri" w:cs="Times New Roman"/>
      <w:kern w:val="0"/>
      <w:sz w:val="24"/>
      <w:szCs w:val="24"/>
    </w:rPr>
  </w:style>
  <w:style w:type="paragraph" w:styleId="a9">
    <w:name w:val="List Paragraph"/>
    <w:basedOn w:val="a"/>
    <w:uiPriority w:val="34"/>
    <w:qFormat/>
    <w:rsid w:val="00EF34E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692971">
      <w:bodyDiv w:val="1"/>
      <w:marLeft w:val="0"/>
      <w:marRight w:val="0"/>
      <w:marTop w:val="0"/>
      <w:marBottom w:val="0"/>
      <w:divBdr>
        <w:top w:val="none" w:sz="0" w:space="0" w:color="auto"/>
        <w:left w:val="none" w:sz="0" w:space="0" w:color="auto"/>
        <w:bottom w:val="none" w:sz="0" w:space="0" w:color="auto"/>
        <w:right w:val="none" w:sz="0" w:space="0" w:color="auto"/>
      </w:divBdr>
      <w:divsChild>
        <w:div w:id="1860579711">
          <w:marLeft w:val="0"/>
          <w:marRight w:val="0"/>
          <w:marTop w:val="0"/>
          <w:marBottom w:val="225"/>
          <w:divBdr>
            <w:top w:val="none" w:sz="0" w:space="0" w:color="auto"/>
            <w:left w:val="none" w:sz="0" w:space="0" w:color="auto"/>
            <w:bottom w:val="none" w:sz="0" w:space="0" w:color="auto"/>
            <w:right w:val="none" w:sz="0" w:space="0" w:color="auto"/>
          </w:divBdr>
        </w:div>
        <w:div w:id="1637835377">
          <w:marLeft w:val="0"/>
          <w:marRight w:val="0"/>
          <w:marTop w:val="0"/>
          <w:marBottom w:val="225"/>
          <w:divBdr>
            <w:top w:val="none" w:sz="0" w:space="0" w:color="auto"/>
            <w:left w:val="none" w:sz="0" w:space="0" w:color="auto"/>
            <w:bottom w:val="none" w:sz="0" w:space="0" w:color="auto"/>
            <w:right w:val="none" w:sz="0" w:space="0" w:color="auto"/>
          </w:divBdr>
        </w:div>
      </w:divsChild>
    </w:div>
    <w:div w:id="958414254">
      <w:bodyDiv w:val="1"/>
      <w:marLeft w:val="0"/>
      <w:marRight w:val="0"/>
      <w:marTop w:val="0"/>
      <w:marBottom w:val="0"/>
      <w:divBdr>
        <w:top w:val="none" w:sz="0" w:space="0" w:color="auto"/>
        <w:left w:val="none" w:sz="0" w:space="0" w:color="auto"/>
        <w:bottom w:val="none" w:sz="0" w:space="0" w:color="auto"/>
        <w:right w:val="none" w:sz="0" w:space="0" w:color="auto"/>
      </w:divBdr>
    </w:div>
    <w:div w:id="1846168927">
      <w:bodyDiv w:val="1"/>
      <w:marLeft w:val="0"/>
      <w:marRight w:val="0"/>
      <w:marTop w:val="0"/>
      <w:marBottom w:val="0"/>
      <w:divBdr>
        <w:top w:val="none" w:sz="0" w:space="0" w:color="auto"/>
        <w:left w:val="none" w:sz="0" w:space="0" w:color="auto"/>
        <w:bottom w:val="none" w:sz="0" w:space="0" w:color="auto"/>
        <w:right w:val="none" w:sz="0" w:space="0" w:color="auto"/>
      </w:divBdr>
      <w:divsChild>
        <w:div w:id="882212256">
          <w:marLeft w:val="0"/>
          <w:marRight w:val="0"/>
          <w:marTop w:val="0"/>
          <w:marBottom w:val="225"/>
          <w:divBdr>
            <w:top w:val="none" w:sz="0" w:space="0" w:color="auto"/>
            <w:left w:val="none" w:sz="0" w:space="0" w:color="auto"/>
            <w:bottom w:val="none" w:sz="0" w:space="0" w:color="auto"/>
            <w:right w:val="none" w:sz="0" w:space="0" w:color="auto"/>
          </w:divBdr>
        </w:div>
        <w:div w:id="10184763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949F38-4E51-4C5A-ABB1-EBFB31CCF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114</Words>
  <Characters>656</Characters>
  <Application>Microsoft Office Word</Application>
  <DocSecurity>0</DocSecurity>
  <Lines>5</Lines>
  <Paragraphs>1</Paragraphs>
  <ScaleCrop>false</ScaleCrop>
  <Manager/>
  <Company/>
  <LinksUpToDate>false</LinksUpToDate>
  <CharactersWithSpaces>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E560</dc:creator>
  <cp:keywords/>
  <dc:description/>
  <cp:lastModifiedBy>E560</cp:lastModifiedBy>
  <cp:revision>2</cp:revision>
  <dcterms:created xsi:type="dcterms:W3CDTF">2020-04-30T08:53:00Z</dcterms:created>
  <dcterms:modified xsi:type="dcterms:W3CDTF">2020-04-30T08:53:00Z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