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00344" w14:textId="4A68C9C0" w:rsidR="006C6454" w:rsidRDefault="003B64B7" w:rsidP="00D25958">
      <w:pPr>
        <w:ind w:firstLineChars="200" w:firstLine="480"/>
      </w:pPr>
      <w:r>
        <w:rPr>
          <w:rFonts w:hint="eastAsia"/>
        </w:rPr>
        <w:t>通过设置不同的膨胀高度，测试当质子束以</w:t>
      </w:r>
      <w:r>
        <w:rPr>
          <w:rFonts w:hint="eastAsia"/>
        </w:rPr>
        <w:t>7.5</w:t>
      </w:r>
      <w:r>
        <w:rPr>
          <w:rFonts w:hint="eastAsia"/>
        </w:rPr>
        <w:t>°角入射至</w:t>
      </w:r>
      <w:r>
        <w:rPr>
          <w:rFonts w:hint="eastAsia"/>
        </w:rPr>
        <w:t>Th</w:t>
      </w:r>
      <w:r>
        <w:rPr>
          <w:rFonts w:hint="eastAsia"/>
        </w:rPr>
        <w:t>靶后</w:t>
      </w:r>
      <w:r w:rsidR="00C64F76">
        <w:rPr>
          <w:rFonts w:hint="eastAsia"/>
        </w:rPr>
        <w:t>，散射至外部的质子束的份额来确定靶材膨胀高度对于束流沉积在</w:t>
      </w:r>
      <w:r w:rsidR="005D4DD7">
        <w:rPr>
          <w:rFonts w:hint="eastAsia"/>
        </w:rPr>
        <w:t>靶材中和散射至外围份额的影响。</w:t>
      </w:r>
    </w:p>
    <w:p w14:paraId="662DEA89" w14:textId="506A763F" w:rsidR="005D4DD7" w:rsidRDefault="005D4DD7" w:rsidP="00D25958">
      <w:pPr>
        <w:ind w:firstLineChars="200" w:firstLine="480"/>
      </w:pPr>
      <w:r>
        <w:rPr>
          <w:rFonts w:hint="eastAsia"/>
        </w:rPr>
        <w:t>通过在</w:t>
      </w:r>
      <w:r>
        <w:rPr>
          <w:rFonts w:hint="eastAsia"/>
        </w:rPr>
        <w:t>MCNP</w:t>
      </w:r>
      <w:r>
        <w:rPr>
          <w:rFonts w:hint="eastAsia"/>
        </w:rPr>
        <w:t>中建模，设置了</w:t>
      </w:r>
      <w:r>
        <w:rPr>
          <w:rFonts w:hint="eastAsia"/>
        </w:rPr>
        <w:t>5*12 cm</w:t>
      </w:r>
      <w:r>
        <w:rPr>
          <w:rFonts w:hint="eastAsia"/>
        </w:rPr>
        <w:t>尺寸，</w:t>
      </w:r>
      <w:r>
        <w:rPr>
          <w:rFonts w:hint="eastAsia"/>
        </w:rPr>
        <w:t>1 cm</w:t>
      </w:r>
      <w:r w:rsidR="006A4BAD">
        <w:rPr>
          <w:rFonts w:hint="eastAsia"/>
        </w:rPr>
        <w:t>厚度的</w:t>
      </w:r>
      <w:r w:rsidR="006A4BAD">
        <w:rPr>
          <w:rFonts w:hint="eastAsia"/>
        </w:rPr>
        <w:t>Th</w:t>
      </w:r>
      <w:r w:rsidR="006A4BAD">
        <w:rPr>
          <w:rFonts w:hint="eastAsia"/>
        </w:rPr>
        <w:t>靶，在靶的正上方设置了高度分别为</w:t>
      </w:r>
      <w:r w:rsidR="006A4BAD">
        <w:rPr>
          <w:rFonts w:hint="eastAsia"/>
        </w:rPr>
        <w:t>8</w:t>
      </w:r>
      <w:r w:rsidR="006A4BAD">
        <w:rPr>
          <w:rFonts w:hint="eastAsia"/>
        </w:rPr>
        <w:t>、</w:t>
      </w:r>
      <w:r w:rsidR="006A4BAD">
        <w:rPr>
          <w:rFonts w:hint="eastAsia"/>
        </w:rPr>
        <w:t>50</w:t>
      </w:r>
      <w:r w:rsidR="006A4BAD">
        <w:rPr>
          <w:rFonts w:hint="eastAsia"/>
        </w:rPr>
        <w:t>、</w:t>
      </w:r>
      <w:r w:rsidR="006A4BAD">
        <w:rPr>
          <w:rFonts w:hint="eastAsia"/>
        </w:rPr>
        <w:t>100</w:t>
      </w:r>
      <w:r w:rsidR="006A4BAD">
        <w:rPr>
          <w:rFonts w:hint="eastAsia"/>
        </w:rPr>
        <w:t>、</w:t>
      </w:r>
      <w:r w:rsidR="006A4BAD">
        <w:rPr>
          <w:rFonts w:hint="eastAsia"/>
        </w:rPr>
        <w:t xml:space="preserve">1000 </w:t>
      </w:r>
      <w:r w:rsidR="006A4BAD" w:rsidRPr="006A4BAD">
        <w:rPr>
          <w:rFonts w:cs="Times New Roman"/>
        </w:rPr>
        <w:t>μ</w:t>
      </w:r>
      <w:r w:rsidR="006A4BAD">
        <w:rPr>
          <w:rFonts w:hint="eastAsia"/>
        </w:rPr>
        <w:t>m</w:t>
      </w:r>
      <w:r w:rsidR="006A4BAD">
        <w:rPr>
          <w:rFonts w:hint="eastAsia"/>
        </w:rPr>
        <w:t>高，</w:t>
      </w:r>
      <w:r w:rsidR="00A80B54">
        <w:rPr>
          <w:rFonts w:hint="eastAsia"/>
        </w:rPr>
        <w:t>底长</w:t>
      </w:r>
      <w:r w:rsidR="00A80B54">
        <w:rPr>
          <w:rFonts w:hint="eastAsia"/>
        </w:rPr>
        <w:t>8 cm</w:t>
      </w:r>
      <w:r w:rsidR="00A80B54">
        <w:rPr>
          <w:rFonts w:hint="eastAsia"/>
        </w:rPr>
        <w:t>，宽</w:t>
      </w:r>
      <w:r w:rsidR="00A80B54">
        <w:rPr>
          <w:rFonts w:hint="eastAsia"/>
        </w:rPr>
        <w:t>5cm</w:t>
      </w:r>
      <w:r w:rsidR="00A80B54">
        <w:rPr>
          <w:rFonts w:hint="eastAsia"/>
        </w:rPr>
        <w:t>的楔形体作为膨胀表面。</w:t>
      </w:r>
    </w:p>
    <w:p w14:paraId="1DBAD89F" w14:textId="77777777" w:rsidR="00CC01F4" w:rsidRDefault="00CC01F4" w:rsidP="00CC01F4">
      <w:pPr>
        <w:keepNext/>
        <w:jc w:val="center"/>
      </w:pPr>
      <w:r>
        <w:rPr>
          <w:noProof/>
        </w:rPr>
        <w:drawing>
          <wp:inline distT="0" distB="0" distL="0" distR="0" wp14:anchorId="4CEA6041" wp14:editId="41049AA2">
            <wp:extent cx="2870200" cy="2880221"/>
            <wp:effectExtent l="0" t="0" r="6350" b="0"/>
            <wp:docPr id="809660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60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5348" cy="28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D848" w14:textId="3703F3E9" w:rsidR="00CC01F4" w:rsidRDefault="00CC01F4" w:rsidP="00CC01F4">
      <w:pPr>
        <w:pStyle w:val="af2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质子束以</w:t>
      </w:r>
      <w:r>
        <w:rPr>
          <w:rFonts w:hint="eastAsia"/>
        </w:rPr>
        <w:t>7.5</w:t>
      </w:r>
      <w:r>
        <w:rPr>
          <w:rFonts w:hint="eastAsia"/>
        </w:rPr>
        <w:t>°角入射至</w:t>
      </w:r>
      <w:r w:rsidR="00BC6A00">
        <w:rPr>
          <w:rFonts w:hint="eastAsia"/>
        </w:rPr>
        <w:t>靶表面后的质子束分布</w:t>
      </w:r>
    </w:p>
    <w:p w14:paraId="76DAC9A3" w14:textId="7DBFBAC1" w:rsidR="00CF6533" w:rsidRDefault="00CF6533" w:rsidP="00CF6533">
      <w:pPr>
        <w:ind w:firstLineChars="200" w:firstLine="480"/>
      </w:pPr>
      <w:r>
        <w:rPr>
          <w:rFonts w:hint="eastAsia"/>
        </w:rPr>
        <w:t>通过记录外围散射出的质子束份额，能够展示不同程度的膨胀对于束流的影响，不同膨胀高度下，散射的质子束流份额见下表。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552"/>
        <w:gridCol w:w="1536"/>
        <w:gridCol w:w="1280"/>
      </w:tblGrid>
      <w:tr w:rsidR="00A74E21" w:rsidRPr="00B61C04" w14:paraId="73A100B4" w14:textId="77777777" w:rsidTr="00B713C6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1BA85397" w14:textId="71DFD2EC" w:rsidR="00B61C04" w:rsidRPr="00B61C04" w:rsidRDefault="00A74E21" w:rsidP="00B713C6">
            <w:pPr>
              <w:jc w:val="center"/>
              <w:rPr>
                <w:rFonts w:cs="Times New Roman" w:hint="eastAsia"/>
              </w:rPr>
            </w:pPr>
            <w:r w:rsidRPr="00B61C04">
              <w:rPr>
                <w:rFonts w:cs="Times New Roman"/>
              </w:rPr>
              <w:t>膨胀高度</w:t>
            </w:r>
            <w:r w:rsidR="00B61C04" w:rsidRPr="00B61C04">
              <w:rPr>
                <w:rFonts w:cs="Times New Roman"/>
              </w:rPr>
              <w:t>μm</w:t>
            </w:r>
          </w:p>
        </w:tc>
        <w:tc>
          <w:tcPr>
            <w:tcW w:w="0" w:type="auto"/>
            <w:noWrap/>
            <w:vAlign w:val="center"/>
          </w:tcPr>
          <w:p w14:paraId="239B7A96" w14:textId="4CFD0136" w:rsidR="00A74E21" w:rsidRPr="00B61C04" w:rsidRDefault="00A74E21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散射质子份额</w:t>
            </w:r>
          </w:p>
        </w:tc>
        <w:tc>
          <w:tcPr>
            <w:tcW w:w="0" w:type="auto"/>
            <w:vAlign w:val="center"/>
          </w:tcPr>
          <w:p w14:paraId="1EBA7ED9" w14:textId="7CE204BB" w:rsidR="00A74E21" w:rsidRPr="00B61C04" w:rsidRDefault="00A74E21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变化比例</w:t>
            </w:r>
            <w:r w:rsidRPr="00B61C04">
              <w:rPr>
                <w:rFonts w:cs="Times New Roman"/>
                <w:color w:val="000000"/>
                <w:sz w:val="22"/>
                <w:szCs w:val="22"/>
              </w:rPr>
              <w:t>%</w:t>
            </w:r>
          </w:p>
        </w:tc>
      </w:tr>
      <w:tr w:rsidR="00B61C04" w:rsidRPr="00B61C04" w14:paraId="40FB21E9" w14:textId="30E9FB13" w:rsidTr="00B713C6">
        <w:trPr>
          <w:trHeight w:val="285"/>
          <w:jc w:val="center"/>
        </w:trPr>
        <w:tc>
          <w:tcPr>
            <w:tcW w:w="0" w:type="auto"/>
            <w:noWrap/>
            <w:vAlign w:val="center"/>
            <w:hideMark/>
          </w:tcPr>
          <w:p w14:paraId="4C6E43DF" w14:textId="77777777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</w:rPr>
              <w:t>0</w:t>
            </w:r>
          </w:p>
        </w:tc>
        <w:tc>
          <w:tcPr>
            <w:tcW w:w="0" w:type="auto"/>
            <w:noWrap/>
            <w:vAlign w:val="center"/>
            <w:hideMark/>
          </w:tcPr>
          <w:p w14:paraId="3D2EA19F" w14:textId="7D26FD79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8.63E-02</w:t>
            </w:r>
          </w:p>
        </w:tc>
        <w:tc>
          <w:tcPr>
            <w:tcW w:w="0" w:type="auto"/>
            <w:vAlign w:val="center"/>
          </w:tcPr>
          <w:p w14:paraId="1B51E198" w14:textId="3D3005C5" w:rsidR="00B61C04" w:rsidRPr="00B61C04" w:rsidRDefault="00B61C04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eastAsia="等线" w:cs="Times New Roman"/>
                <w:color w:val="000000"/>
                <w:sz w:val="22"/>
                <w:szCs w:val="22"/>
              </w:rPr>
              <w:t>0.00E+00</w:t>
            </w:r>
          </w:p>
        </w:tc>
      </w:tr>
      <w:tr w:rsidR="00B61C04" w:rsidRPr="00B61C04" w14:paraId="2AB7092A" w14:textId="2F4847F5" w:rsidTr="00B713C6">
        <w:trPr>
          <w:trHeight w:val="285"/>
          <w:jc w:val="center"/>
        </w:trPr>
        <w:tc>
          <w:tcPr>
            <w:tcW w:w="0" w:type="auto"/>
            <w:noWrap/>
            <w:vAlign w:val="center"/>
            <w:hideMark/>
          </w:tcPr>
          <w:p w14:paraId="7D50B69E" w14:textId="77777777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</w:rPr>
              <w:t>8</w:t>
            </w:r>
          </w:p>
        </w:tc>
        <w:tc>
          <w:tcPr>
            <w:tcW w:w="0" w:type="auto"/>
            <w:noWrap/>
            <w:vAlign w:val="center"/>
            <w:hideMark/>
          </w:tcPr>
          <w:p w14:paraId="1C7AB679" w14:textId="63AE9765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8.64E-02</w:t>
            </w:r>
          </w:p>
        </w:tc>
        <w:tc>
          <w:tcPr>
            <w:tcW w:w="0" w:type="auto"/>
            <w:vAlign w:val="center"/>
          </w:tcPr>
          <w:p w14:paraId="02FD3D47" w14:textId="765A26D0" w:rsidR="00B61C04" w:rsidRPr="00B61C04" w:rsidRDefault="00B61C04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eastAsia="等线" w:cs="Times New Roman"/>
                <w:color w:val="000000"/>
                <w:sz w:val="22"/>
                <w:szCs w:val="22"/>
              </w:rPr>
              <w:t>9.81E-02</w:t>
            </w:r>
          </w:p>
        </w:tc>
      </w:tr>
      <w:tr w:rsidR="00B61C04" w:rsidRPr="00B61C04" w14:paraId="2EDE8F92" w14:textId="482473E8" w:rsidTr="00B713C6">
        <w:trPr>
          <w:trHeight w:val="285"/>
          <w:jc w:val="center"/>
        </w:trPr>
        <w:tc>
          <w:tcPr>
            <w:tcW w:w="0" w:type="auto"/>
            <w:noWrap/>
            <w:vAlign w:val="center"/>
            <w:hideMark/>
          </w:tcPr>
          <w:p w14:paraId="4AE7557E" w14:textId="77777777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</w:rPr>
              <w:t>50</w:t>
            </w:r>
          </w:p>
        </w:tc>
        <w:tc>
          <w:tcPr>
            <w:tcW w:w="0" w:type="auto"/>
            <w:noWrap/>
            <w:vAlign w:val="center"/>
            <w:hideMark/>
          </w:tcPr>
          <w:p w14:paraId="27C79652" w14:textId="72903C8B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8.71E-02</w:t>
            </w:r>
          </w:p>
        </w:tc>
        <w:tc>
          <w:tcPr>
            <w:tcW w:w="0" w:type="auto"/>
            <w:vAlign w:val="center"/>
          </w:tcPr>
          <w:p w14:paraId="397F5E15" w14:textId="7B8FE801" w:rsidR="00B61C04" w:rsidRPr="00B61C04" w:rsidRDefault="00B61C04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eastAsia="等线" w:cs="Times New Roman"/>
                <w:color w:val="000000"/>
                <w:sz w:val="22"/>
                <w:szCs w:val="22"/>
              </w:rPr>
              <w:t>8.75E-01</w:t>
            </w:r>
          </w:p>
        </w:tc>
      </w:tr>
      <w:tr w:rsidR="00B61C04" w:rsidRPr="00B61C04" w14:paraId="57A7AAE0" w14:textId="66490B17" w:rsidTr="00B713C6">
        <w:trPr>
          <w:trHeight w:val="285"/>
          <w:jc w:val="center"/>
        </w:trPr>
        <w:tc>
          <w:tcPr>
            <w:tcW w:w="0" w:type="auto"/>
            <w:noWrap/>
            <w:vAlign w:val="center"/>
            <w:hideMark/>
          </w:tcPr>
          <w:p w14:paraId="2B36AE54" w14:textId="77777777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</w:rPr>
              <w:t>100</w:t>
            </w:r>
          </w:p>
        </w:tc>
        <w:tc>
          <w:tcPr>
            <w:tcW w:w="0" w:type="auto"/>
            <w:noWrap/>
            <w:vAlign w:val="center"/>
            <w:hideMark/>
          </w:tcPr>
          <w:p w14:paraId="6BCAA1A2" w14:textId="2E91AEEB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8.78E-02</w:t>
            </w:r>
          </w:p>
        </w:tc>
        <w:tc>
          <w:tcPr>
            <w:tcW w:w="0" w:type="auto"/>
            <w:vAlign w:val="center"/>
          </w:tcPr>
          <w:p w14:paraId="1B3B6BCA" w14:textId="5AC464AC" w:rsidR="00B61C04" w:rsidRPr="00B61C04" w:rsidRDefault="00B61C04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eastAsia="等线" w:cs="Times New Roman"/>
                <w:color w:val="000000"/>
                <w:sz w:val="22"/>
                <w:szCs w:val="22"/>
              </w:rPr>
              <w:t>1.77E+00</w:t>
            </w:r>
          </w:p>
        </w:tc>
      </w:tr>
      <w:tr w:rsidR="00B61C04" w:rsidRPr="00B61C04" w14:paraId="774625A2" w14:textId="51A2F694" w:rsidTr="00B713C6">
        <w:trPr>
          <w:trHeight w:val="285"/>
          <w:jc w:val="center"/>
        </w:trPr>
        <w:tc>
          <w:tcPr>
            <w:tcW w:w="0" w:type="auto"/>
            <w:noWrap/>
            <w:vAlign w:val="center"/>
            <w:hideMark/>
          </w:tcPr>
          <w:p w14:paraId="56534A49" w14:textId="77777777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</w:rPr>
              <w:t>1000</w:t>
            </w:r>
          </w:p>
        </w:tc>
        <w:tc>
          <w:tcPr>
            <w:tcW w:w="0" w:type="auto"/>
            <w:noWrap/>
            <w:vAlign w:val="center"/>
            <w:hideMark/>
          </w:tcPr>
          <w:p w14:paraId="5455B679" w14:textId="0AE37715" w:rsidR="00B61C04" w:rsidRPr="00B61C04" w:rsidRDefault="00B61C04" w:rsidP="00B713C6">
            <w:pPr>
              <w:jc w:val="center"/>
              <w:rPr>
                <w:rFonts w:cs="Times New Roman"/>
              </w:rPr>
            </w:pPr>
            <w:r w:rsidRPr="00B61C04">
              <w:rPr>
                <w:rFonts w:cs="Times New Roman"/>
                <w:color w:val="000000"/>
                <w:sz w:val="22"/>
                <w:szCs w:val="22"/>
              </w:rPr>
              <w:t>9.46E-02</w:t>
            </w:r>
          </w:p>
        </w:tc>
        <w:tc>
          <w:tcPr>
            <w:tcW w:w="0" w:type="auto"/>
            <w:vAlign w:val="center"/>
          </w:tcPr>
          <w:p w14:paraId="73DA6F91" w14:textId="3B57137F" w:rsidR="00B61C04" w:rsidRPr="00B61C04" w:rsidRDefault="00B61C04" w:rsidP="00B713C6">
            <w:pPr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B61C04">
              <w:rPr>
                <w:rFonts w:eastAsia="等线" w:cs="Times New Roman"/>
                <w:color w:val="000000"/>
                <w:sz w:val="22"/>
                <w:szCs w:val="22"/>
              </w:rPr>
              <w:t>9.62E+00</w:t>
            </w:r>
          </w:p>
        </w:tc>
      </w:tr>
    </w:tbl>
    <w:p w14:paraId="4172ECF2" w14:textId="5A8C092B" w:rsidR="00CF6533" w:rsidRPr="00CF6533" w:rsidRDefault="007B3056" w:rsidP="007B3056">
      <w:pPr>
        <w:ind w:firstLineChars="200" w:firstLine="480"/>
        <w:rPr>
          <w:rFonts w:hint="eastAsia"/>
        </w:rPr>
      </w:pPr>
      <w:r>
        <w:rPr>
          <w:rFonts w:hint="eastAsia"/>
        </w:rPr>
        <w:t>根据上表可知，</w:t>
      </w:r>
      <w:r w:rsidR="00AA18A2">
        <w:rPr>
          <w:rFonts w:hint="eastAsia"/>
        </w:rPr>
        <w:t>靶材</w:t>
      </w:r>
      <w:r>
        <w:rPr>
          <w:rFonts w:hint="eastAsia"/>
        </w:rPr>
        <w:t>膨胀</w:t>
      </w:r>
      <w:r>
        <w:rPr>
          <w:rFonts w:hint="eastAsia"/>
        </w:rPr>
        <w:t xml:space="preserve">50 </w:t>
      </w:r>
      <w:r w:rsidRPr="007B3056">
        <w:rPr>
          <w:rFonts w:cs="Times New Roman"/>
        </w:rPr>
        <w:t>μm</w:t>
      </w:r>
      <w:r>
        <w:rPr>
          <w:rFonts w:cs="Times New Roman" w:hint="eastAsia"/>
        </w:rPr>
        <w:t>对于束流散射份额的增加不到</w:t>
      </w:r>
      <w:r>
        <w:rPr>
          <w:rFonts w:cs="Times New Roman" w:hint="eastAsia"/>
        </w:rPr>
        <w:t>1%</w:t>
      </w:r>
      <w:r>
        <w:rPr>
          <w:rFonts w:cs="Times New Roman" w:hint="eastAsia"/>
        </w:rPr>
        <w:t>。</w:t>
      </w:r>
    </w:p>
    <w:sectPr w:rsidR="00CF6533" w:rsidRPr="00CF6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FAD6D" w14:textId="77777777" w:rsidR="00F841BA" w:rsidRDefault="00F841BA" w:rsidP="003B64B7">
      <w:pPr>
        <w:spacing w:line="240" w:lineRule="auto"/>
      </w:pPr>
      <w:r>
        <w:separator/>
      </w:r>
    </w:p>
  </w:endnote>
  <w:endnote w:type="continuationSeparator" w:id="0">
    <w:p w14:paraId="44467C38" w14:textId="77777777" w:rsidR="00F841BA" w:rsidRDefault="00F841BA" w:rsidP="003B64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ACC4B" w14:textId="77777777" w:rsidR="00F841BA" w:rsidRDefault="00F841BA" w:rsidP="003B64B7">
      <w:pPr>
        <w:spacing w:line="240" w:lineRule="auto"/>
      </w:pPr>
      <w:r>
        <w:separator/>
      </w:r>
    </w:p>
  </w:footnote>
  <w:footnote w:type="continuationSeparator" w:id="0">
    <w:p w14:paraId="012CF78D" w14:textId="77777777" w:rsidR="00F841BA" w:rsidRDefault="00F841BA" w:rsidP="003B64B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CB9"/>
    <w:rsid w:val="0020045E"/>
    <w:rsid w:val="0023563E"/>
    <w:rsid w:val="003B64B7"/>
    <w:rsid w:val="0055538E"/>
    <w:rsid w:val="005C148A"/>
    <w:rsid w:val="005D4DD7"/>
    <w:rsid w:val="00616B3D"/>
    <w:rsid w:val="006A4BAD"/>
    <w:rsid w:val="006C6454"/>
    <w:rsid w:val="006F4D89"/>
    <w:rsid w:val="007B3056"/>
    <w:rsid w:val="007F68AB"/>
    <w:rsid w:val="0083494B"/>
    <w:rsid w:val="00A74E21"/>
    <w:rsid w:val="00A80B54"/>
    <w:rsid w:val="00AA18A2"/>
    <w:rsid w:val="00B61C04"/>
    <w:rsid w:val="00B713C6"/>
    <w:rsid w:val="00BC6A00"/>
    <w:rsid w:val="00C64F76"/>
    <w:rsid w:val="00C94CB9"/>
    <w:rsid w:val="00CC01F4"/>
    <w:rsid w:val="00CF6533"/>
    <w:rsid w:val="00D25958"/>
    <w:rsid w:val="00DD013E"/>
    <w:rsid w:val="00F84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9F8B6"/>
  <w15:chartTrackingRefBased/>
  <w15:docId w15:val="{15CB48AD-AA5A-4B4B-8994-55BDCF2C5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4C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4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4C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4CB9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4CB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4CB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4CB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4CB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4CB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4CB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4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4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4CB9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4CB9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94CB9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4CB9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4CB9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4CB9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4CB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4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4C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4C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4C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4C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4C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4CB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4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4CB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94CB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B64B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B64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B64B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B64B7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CC01F4"/>
    <w:rPr>
      <w:rFonts w:asciiTheme="majorHAnsi" w:eastAsia="黑体" w:hAnsiTheme="majorHAnsi" w:cstheme="majorBidi"/>
      <w:sz w:val="20"/>
      <w:szCs w:val="20"/>
    </w:rPr>
  </w:style>
  <w:style w:type="table" w:styleId="af3">
    <w:name w:val="Table Grid"/>
    <w:basedOn w:val="a1"/>
    <w:uiPriority w:val="39"/>
    <w:rsid w:val="007F68A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87030-006E-43B2-8B1E-C981C259D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4</cp:revision>
  <dcterms:created xsi:type="dcterms:W3CDTF">2025-11-19T05:34:00Z</dcterms:created>
  <dcterms:modified xsi:type="dcterms:W3CDTF">2025-11-19T05:57:00Z</dcterms:modified>
</cp:coreProperties>
</file>