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i w:val="1"/>
          <w:sz w:val="58"/>
          <w:szCs w:val="5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i w:val="1"/>
          <w:sz w:val="58"/>
          <w:szCs w:val="5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i w:val="1"/>
          <w:sz w:val="58"/>
          <w:szCs w:val="5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58"/>
          <w:szCs w:val="58"/>
        </w:rPr>
      </w:pPr>
      <w:r w:rsidDel="00000000" w:rsidR="00000000" w:rsidRPr="00000000">
        <w:rPr>
          <w:rFonts w:ascii="Times New Roman" w:cs="Times New Roman" w:eastAsia="Times New Roman" w:hAnsi="Times New Roman"/>
          <w:i w:val="1"/>
          <w:sz w:val="58"/>
          <w:szCs w:val="58"/>
          <w:rtl w:val="0"/>
        </w:rPr>
        <w:t xml:space="preserve">Equipo Desarrollador: Avances</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Integrantes: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Flores Mendoza Santiago</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Toledo Sánchez Ethan Radahí</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Gallardo Fuentes Rodrigo</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Monroy Valdez Emma Sofía</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Parra Ramírez Jorge Ángel</w:t>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Nombre del profesor: Mónica Mora Téllez</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Grupo: 2IV8</w:t>
      </w:r>
    </w:p>
    <w:p w:rsidR="00000000" w:rsidDel="00000000" w:rsidP="00000000" w:rsidRDefault="00000000" w:rsidRPr="00000000" w14:paraId="000000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Fecha: 18 de Mayo del 2025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Presentación del proyecto:</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Hoy en día, el acceso a recursos educativos de calidad representa un factor importante en el rendimiento académico de los estudiantes. La educación mediante usos digitales ha tomado un rol complementario ante los medios tradicionales. En este contexto, el presente proyecto tiene como objetivo principal la creación de un sitio web especializado en el estudio, el cual ofrece guías estructuradas diseñadas en particular para los alumnos del Centro de Estudios Científicos y Tecnológicos #3 “Estanislao Ramírez Ruíz”.</w:t>
      </w:r>
    </w:p>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sitio está diseñado para servir como herramienta de apoyo, facilitando el repaso de contenido a través de explicaciones claras, ejemplos prácticos, y materiales complementarios. La plataforma organiza los temas de manera progresiva, pudiendo encontrar desde el primer hasta el tercer parcial. Esto busca fomentar el hábito del estudio independiente y brindar una alternativa accesible para quienes buscan reforzar conceptos. </w:t>
      </w:r>
    </w:p>
    <w:p w:rsidR="00000000" w:rsidDel="00000000" w:rsidP="00000000" w:rsidRDefault="00000000" w:rsidRPr="00000000" w14:paraId="0000001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 del sitio web:</w:t>
      </w:r>
    </w:p>
    <w:p w:rsidR="00000000" w:rsidDel="00000000" w:rsidP="00000000" w:rsidRDefault="00000000" w:rsidRPr="00000000" w14:paraId="00000020">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Al momento de la entrega de este documento, algunas materias aún no cuentan con la totalidad del contenido requerido (guías, materiales por unidad y material de apoyo), debido a que ciertos equipos responsables no han enviado su información correspondiente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3">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center"/>
      <w:rPr>
        <w:rFonts w:ascii="Times New Roman" w:cs="Times New Roman" w:eastAsia="Times New Roman" w:hAnsi="Times New Roman"/>
        <w:sz w:val="38"/>
        <w:szCs w:val="3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Instituto Politécnico Nacional</w:t>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-219074</wp:posOffset>
          </wp:positionV>
          <wp:extent cx="1332700" cy="14287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32700" cy="1428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5467350</wp:posOffset>
          </wp:positionH>
          <wp:positionV relativeFrom="paragraph">
            <wp:posOffset>-209549</wp:posOffset>
          </wp:positionV>
          <wp:extent cx="1200150" cy="1200150"/>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00150" cy="1200150"/>
                  </a:xfrm>
                  <a:prstGeom prst="rect"/>
                  <a:ln/>
                </pic:spPr>
              </pic:pic>
            </a:graphicData>
          </a:graphic>
        </wp:anchor>
      </w:drawing>
    </w:r>
  </w:p>
  <w:p w:rsidR="00000000" w:rsidDel="00000000" w:rsidP="00000000" w:rsidRDefault="00000000" w:rsidRPr="00000000" w14:paraId="00000026">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Centro de Estudios Científicos y Tecnológicos #3 </w:t>
    </w:r>
  </w:p>
  <w:p w:rsidR="00000000" w:rsidDel="00000000" w:rsidP="00000000" w:rsidRDefault="00000000" w:rsidRPr="00000000" w14:paraId="00000027">
    <w:pPr>
      <w:jc w:val="center"/>
      <w:rPr/>
    </w:pPr>
    <w:r w:rsidDel="00000000" w:rsidR="00000000" w:rsidRPr="00000000">
      <w:rPr>
        <w:rFonts w:ascii="Times New Roman" w:cs="Times New Roman" w:eastAsia="Times New Roman" w:hAnsi="Times New Roman"/>
        <w:sz w:val="38"/>
        <w:szCs w:val="38"/>
        <w:rtl w:val="0"/>
      </w:rPr>
      <w:t xml:space="preserve">“Estanislao Ramírez Ruíz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