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17B6" w14:textId="6E7C6535" w:rsidR="002A07A0" w:rsidRDefault="002F7098">
      <w:pPr>
        <w:rPr>
          <w:rFonts w:ascii="Calibri" w:hAnsi="Calibri" w:cs="Calibri"/>
          <w:sz w:val="28"/>
          <w:szCs w:val="28"/>
        </w:rPr>
      </w:pPr>
      <w:r w:rsidRPr="002F7098">
        <w:rPr>
          <w:rFonts w:ascii="Calibri" w:hAnsi="Calibri" w:cs="Calibri"/>
          <w:sz w:val="28"/>
          <w:szCs w:val="28"/>
        </w:rPr>
        <w:t>Review and summary CRISPR/Cas technology as a promising weapon to combat viral infections.</w:t>
      </w:r>
    </w:p>
    <w:p w14:paraId="354399D7" w14:textId="09537C4C" w:rsidR="002F7098" w:rsidRDefault="002F7098">
      <w:pPr>
        <w:rPr>
          <w:rFonts w:ascii="Calibri" w:hAnsi="Calibri" w:cs="Calibri"/>
          <w:sz w:val="22"/>
        </w:rPr>
      </w:pPr>
    </w:p>
    <w:p w14:paraId="5DCBBB4B" w14:textId="1156CFA8" w:rsidR="002F7098" w:rsidRDefault="002F7098" w:rsidP="002F7098">
      <w:pPr>
        <w:pStyle w:val="a3"/>
        <w:numPr>
          <w:ilvl w:val="0"/>
          <w:numId w:val="1"/>
        </w:numPr>
        <w:ind w:firstLineChars="0"/>
        <w:rPr>
          <w:rFonts w:ascii="Calibri" w:hAnsi="Calibri" w:cs="Calibri"/>
          <w:sz w:val="22"/>
        </w:rPr>
      </w:pPr>
      <w:r w:rsidRPr="002F7098">
        <w:rPr>
          <w:rFonts w:ascii="Calibri" w:hAnsi="Calibri" w:cs="Calibri" w:hint="eastAsia"/>
          <w:sz w:val="22"/>
        </w:rPr>
        <w:t>C</w:t>
      </w:r>
      <w:r w:rsidRPr="002F7098">
        <w:rPr>
          <w:rFonts w:ascii="Calibri" w:hAnsi="Calibri" w:cs="Calibri"/>
          <w:sz w:val="22"/>
        </w:rPr>
        <w:t>RISPR/Cas system can be classified as Class1 or Class 2</w:t>
      </w:r>
      <w:r w:rsidR="00B9606D">
        <w:rPr>
          <w:rFonts w:ascii="Calibri" w:hAnsi="Calibri" w:cs="Calibri"/>
          <w:sz w:val="22"/>
        </w:rPr>
        <w:t>:</w:t>
      </w:r>
    </w:p>
    <w:p w14:paraId="22FEF5E0" w14:textId="2F8EAF3B" w:rsidR="002F7098" w:rsidRDefault="002F7098" w:rsidP="002F7098">
      <w:pPr>
        <w:pStyle w:val="a3"/>
        <w:numPr>
          <w:ilvl w:val="1"/>
          <w:numId w:val="1"/>
        </w:numPr>
        <w:ind w:firstLineChars="0"/>
        <w:rPr>
          <w:rFonts w:ascii="Calibri" w:hAnsi="Calibri" w:cs="Calibri"/>
          <w:sz w:val="22"/>
        </w:rPr>
      </w:pPr>
      <w:r>
        <w:rPr>
          <w:rFonts w:ascii="Calibri" w:hAnsi="Calibri" w:cs="Calibri"/>
          <w:sz w:val="22"/>
        </w:rPr>
        <w:t>Class 1 includes multi-subunit-protein complexes.</w:t>
      </w:r>
    </w:p>
    <w:p w14:paraId="0FE538A9" w14:textId="77777777" w:rsidR="00B9606D" w:rsidRDefault="00B9606D" w:rsidP="00B9606D">
      <w:pPr>
        <w:pStyle w:val="a3"/>
        <w:ind w:left="840" w:firstLineChars="0" w:firstLine="0"/>
        <w:rPr>
          <w:rFonts w:ascii="Calibri" w:hAnsi="Calibri" w:cs="Calibri"/>
          <w:sz w:val="22"/>
        </w:rPr>
      </w:pPr>
    </w:p>
    <w:p w14:paraId="23F7187A" w14:textId="20E8A69E" w:rsidR="002F7098" w:rsidRDefault="002F7098" w:rsidP="002F7098">
      <w:pPr>
        <w:pStyle w:val="a3"/>
        <w:numPr>
          <w:ilvl w:val="1"/>
          <w:numId w:val="1"/>
        </w:numPr>
        <w:ind w:firstLineChars="0"/>
        <w:rPr>
          <w:rFonts w:ascii="Calibri" w:hAnsi="Calibri" w:cs="Calibri"/>
          <w:sz w:val="22"/>
        </w:rPr>
      </w:pPr>
      <w:r>
        <w:rPr>
          <w:rFonts w:ascii="Calibri" w:hAnsi="Calibri" w:cs="Calibri"/>
          <w:sz w:val="22"/>
        </w:rPr>
        <w:t>Class 2 comprises single-effector proteins. Consists of a Cas nuclease in complex with a guide RNA (crRNA) that can cleave a complementary target nucleic acid (DNA or RNA)</w:t>
      </w:r>
    </w:p>
    <w:p w14:paraId="184CCD99" w14:textId="77777777" w:rsidR="00B9606D" w:rsidRPr="00B9606D" w:rsidRDefault="00B9606D" w:rsidP="00B9606D">
      <w:pPr>
        <w:ind w:left="420"/>
        <w:rPr>
          <w:rFonts w:ascii="Calibri" w:hAnsi="Calibri" w:cs="Calibri"/>
          <w:sz w:val="22"/>
        </w:rPr>
      </w:pPr>
    </w:p>
    <w:p w14:paraId="093AE4EA" w14:textId="77777777" w:rsidR="002F7098" w:rsidRDefault="002F7098" w:rsidP="002F7098">
      <w:pPr>
        <w:pStyle w:val="a3"/>
        <w:numPr>
          <w:ilvl w:val="0"/>
          <w:numId w:val="1"/>
        </w:numPr>
        <w:ind w:firstLineChars="0"/>
        <w:rPr>
          <w:rFonts w:ascii="Calibri" w:hAnsi="Calibri" w:cs="Calibri"/>
          <w:sz w:val="22"/>
        </w:rPr>
      </w:pPr>
      <w:r>
        <w:rPr>
          <w:rFonts w:ascii="Calibri" w:hAnsi="Calibri" w:cs="Calibri"/>
          <w:sz w:val="22"/>
        </w:rPr>
        <w:t>Class 2 systems:</w:t>
      </w:r>
    </w:p>
    <w:p w14:paraId="29AEB107" w14:textId="77777777" w:rsidR="001D5C0B" w:rsidRDefault="002F7098" w:rsidP="002F7098">
      <w:pPr>
        <w:pStyle w:val="a3"/>
        <w:numPr>
          <w:ilvl w:val="1"/>
          <w:numId w:val="1"/>
        </w:numPr>
        <w:ind w:firstLineChars="0"/>
        <w:rPr>
          <w:rFonts w:ascii="Calibri" w:hAnsi="Calibri" w:cs="Calibri"/>
          <w:sz w:val="22"/>
        </w:rPr>
      </w:pPr>
      <w:r>
        <w:rPr>
          <w:rFonts w:ascii="Calibri" w:hAnsi="Calibri" w:cs="Calibri"/>
          <w:sz w:val="22"/>
        </w:rPr>
        <w:t xml:space="preserve">Class 2, type II systems are characterized by the presence of a Cas9 effector nuclease </w:t>
      </w:r>
      <w:r w:rsidR="004D1D45">
        <w:rPr>
          <w:rFonts w:ascii="Calibri" w:hAnsi="Calibri" w:cs="Calibri"/>
          <w:sz w:val="22"/>
        </w:rPr>
        <w:t xml:space="preserve">and a dual RNA-guide (sgRNA), including a trans-activating crRNA and a crRNA. </w:t>
      </w:r>
    </w:p>
    <w:p w14:paraId="40531196" w14:textId="77777777" w:rsidR="001D5C0B" w:rsidRDefault="004D1D45" w:rsidP="002F7098">
      <w:pPr>
        <w:pStyle w:val="a3"/>
        <w:numPr>
          <w:ilvl w:val="1"/>
          <w:numId w:val="1"/>
        </w:numPr>
        <w:ind w:firstLineChars="0"/>
        <w:rPr>
          <w:rFonts w:ascii="Calibri" w:hAnsi="Calibri" w:cs="Calibri"/>
          <w:sz w:val="22"/>
        </w:rPr>
      </w:pPr>
      <w:r>
        <w:rPr>
          <w:rFonts w:ascii="Calibri" w:hAnsi="Calibri" w:cs="Calibri"/>
          <w:sz w:val="22"/>
        </w:rPr>
        <w:t xml:space="preserve">The Cas9-sgRNA complex or RNP recognizes a G-rich 3t’ end-located protospacer adjacent motif (PAM) on a double-stranded DNA (dsDNA) target. </w:t>
      </w:r>
    </w:p>
    <w:p w14:paraId="62D4245B" w14:textId="2DCA2DFD" w:rsidR="002F7098" w:rsidRDefault="004D1D45" w:rsidP="002F7098">
      <w:pPr>
        <w:pStyle w:val="a3"/>
        <w:numPr>
          <w:ilvl w:val="1"/>
          <w:numId w:val="1"/>
        </w:numPr>
        <w:ind w:firstLineChars="0"/>
        <w:rPr>
          <w:rFonts w:ascii="Calibri" w:hAnsi="Calibri" w:cs="Calibri"/>
          <w:sz w:val="22"/>
        </w:rPr>
      </w:pPr>
      <w:r>
        <w:rPr>
          <w:rFonts w:ascii="Calibri" w:hAnsi="Calibri" w:cs="Calibri"/>
          <w:sz w:val="22"/>
        </w:rPr>
        <w:t>PAM</w:t>
      </w:r>
      <w:r w:rsidR="00591C31">
        <w:rPr>
          <w:rFonts w:ascii="Calibri" w:hAnsi="Calibri" w:cs="Calibri"/>
          <w:sz w:val="22"/>
        </w:rPr>
        <w:t xml:space="preserve"> recognition leads to the complementary annealing of the sgRNA and the DNA and the activation of the nuclease to induce a blunt-ended double stranded break (DSB) on the target.</w:t>
      </w:r>
    </w:p>
    <w:p w14:paraId="1DD6B8C9" w14:textId="77777777" w:rsidR="00B9606D" w:rsidRDefault="00B9606D" w:rsidP="00B9606D">
      <w:pPr>
        <w:pStyle w:val="a3"/>
        <w:ind w:left="840" w:firstLineChars="0" w:firstLine="0"/>
        <w:rPr>
          <w:rFonts w:ascii="Calibri" w:hAnsi="Calibri" w:cs="Calibri"/>
          <w:sz w:val="22"/>
        </w:rPr>
      </w:pPr>
    </w:p>
    <w:p w14:paraId="10607D2A" w14:textId="431EA17F" w:rsidR="001D5C0B" w:rsidRPr="001D5C0B" w:rsidRDefault="00591C31" w:rsidP="001D5C0B">
      <w:pPr>
        <w:pStyle w:val="a3"/>
        <w:numPr>
          <w:ilvl w:val="1"/>
          <w:numId w:val="1"/>
        </w:numPr>
        <w:ind w:firstLineChars="0"/>
        <w:rPr>
          <w:rFonts w:ascii="Calibri" w:hAnsi="Calibri" w:cs="Calibri"/>
          <w:sz w:val="22"/>
        </w:rPr>
      </w:pPr>
      <w:r>
        <w:rPr>
          <w:rFonts w:ascii="Calibri" w:hAnsi="Calibri" w:cs="Calibri" w:hint="eastAsia"/>
          <w:sz w:val="22"/>
        </w:rPr>
        <w:t>C</w:t>
      </w:r>
      <w:r>
        <w:rPr>
          <w:rFonts w:ascii="Calibri" w:hAnsi="Calibri" w:cs="Calibri"/>
          <w:sz w:val="22"/>
        </w:rPr>
        <w:t xml:space="preserve">lass 2, type V system is mainly represented by a single RNA – guided dsDNA targeting effector proteins known as Cas12 (Cas12a or Cpf1 and Cas12b) </w:t>
      </w:r>
    </w:p>
    <w:p w14:paraId="20ABE7C5" w14:textId="77777777" w:rsidR="001D5C0B" w:rsidRDefault="00591C31" w:rsidP="002F7098">
      <w:pPr>
        <w:pStyle w:val="a3"/>
        <w:numPr>
          <w:ilvl w:val="1"/>
          <w:numId w:val="1"/>
        </w:numPr>
        <w:ind w:firstLineChars="0"/>
        <w:rPr>
          <w:rFonts w:ascii="Calibri" w:hAnsi="Calibri" w:cs="Calibri"/>
          <w:sz w:val="22"/>
        </w:rPr>
      </w:pPr>
      <w:r>
        <w:rPr>
          <w:rFonts w:ascii="Calibri" w:hAnsi="Calibri" w:cs="Calibri"/>
          <w:sz w:val="22"/>
        </w:rPr>
        <w:t xml:space="preserve">Upon Cas12-crRNA complex formation, the recognition of a T-rich 5’tend-located PAM enables crRNA pairing with a dsDNA target. </w:t>
      </w:r>
    </w:p>
    <w:p w14:paraId="7C0E01EB" w14:textId="092662E0" w:rsidR="00591C31" w:rsidRDefault="00591C31" w:rsidP="002F7098">
      <w:pPr>
        <w:pStyle w:val="a3"/>
        <w:numPr>
          <w:ilvl w:val="1"/>
          <w:numId w:val="1"/>
        </w:numPr>
        <w:ind w:firstLineChars="0"/>
        <w:rPr>
          <w:rFonts w:ascii="Calibri" w:hAnsi="Calibri" w:cs="Calibri"/>
          <w:sz w:val="22"/>
        </w:rPr>
      </w:pPr>
      <w:r>
        <w:rPr>
          <w:rFonts w:ascii="Calibri" w:hAnsi="Calibri" w:cs="Calibri"/>
          <w:sz w:val="22"/>
        </w:rPr>
        <w:t>Active Cas12 produces a site-specific dsDNA cleavage (cis-cleavage activity) and generates a DSB with staggered ends.</w:t>
      </w:r>
      <w:r w:rsidR="00B9606D">
        <w:rPr>
          <w:rFonts w:ascii="Calibri" w:hAnsi="Calibri" w:cs="Calibri"/>
          <w:sz w:val="22"/>
        </w:rPr>
        <w:t xml:space="preserve"> Furthermore, Cas12-crRNA binding to the target strand triggers multiple-turnover non-specific single-stranded DNA (ssDNA) trans-cleavage.</w:t>
      </w:r>
    </w:p>
    <w:p w14:paraId="252B2999" w14:textId="6171E877" w:rsidR="00B9606D" w:rsidRPr="00B9606D" w:rsidRDefault="00B9606D" w:rsidP="00B9606D">
      <w:pPr>
        <w:rPr>
          <w:rFonts w:ascii="Calibri" w:hAnsi="Calibri" w:cs="Calibri"/>
          <w:sz w:val="22"/>
        </w:rPr>
      </w:pPr>
    </w:p>
    <w:p w14:paraId="48C8ED1F" w14:textId="3D63EEE9" w:rsidR="00B9606D" w:rsidRDefault="00B9606D" w:rsidP="00B9606D">
      <w:pPr>
        <w:pStyle w:val="a3"/>
        <w:numPr>
          <w:ilvl w:val="0"/>
          <w:numId w:val="1"/>
        </w:numPr>
        <w:ind w:firstLineChars="0"/>
        <w:rPr>
          <w:rFonts w:ascii="Calibri" w:hAnsi="Calibri" w:cs="Calibri"/>
          <w:sz w:val="22"/>
        </w:rPr>
      </w:pPr>
      <w:r>
        <w:rPr>
          <w:rFonts w:ascii="Calibri" w:hAnsi="Calibri" w:cs="Calibri" w:hint="eastAsia"/>
          <w:sz w:val="22"/>
        </w:rPr>
        <w:t>C</w:t>
      </w:r>
      <w:r>
        <w:rPr>
          <w:rFonts w:ascii="Calibri" w:hAnsi="Calibri" w:cs="Calibri"/>
          <w:sz w:val="22"/>
        </w:rPr>
        <w:t>as9 and Cas12-induced DSBs can be repaired by the cells through 2 different pathways:</w:t>
      </w:r>
    </w:p>
    <w:p w14:paraId="3DD12B80" w14:textId="63A8699E" w:rsidR="00B9606D" w:rsidRDefault="00884684" w:rsidP="00B9606D">
      <w:pPr>
        <w:pStyle w:val="a3"/>
        <w:numPr>
          <w:ilvl w:val="1"/>
          <w:numId w:val="1"/>
        </w:numPr>
        <w:ind w:firstLineChars="0"/>
        <w:rPr>
          <w:rFonts w:ascii="Calibri" w:hAnsi="Calibri" w:cs="Calibri"/>
          <w:sz w:val="22"/>
        </w:rPr>
      </w:pPr>
      <w:r>
        <w:rPr>
          <w:rFonts w:ascii="Calibri" w:hAnsi="Calibri" w:cs="Calibri" w:hint="eastAsia"/>
          <w:sz w:val="22"/>
        </w:rPr>
        <w:t>1</w:t>
      </w:r>
      <w:r>
        <w:rPr>
          <w:rFonts w:ascii="Calibri" w:hAnsi="Calibri" w:cs="Calibri"/>
          <w:sz w:val="22"/>
        </w:rPr>
        <w:t xml:space="preserve">. </w:t>
      </w:r>
      <w:r w:rsidR="00452B67">
        <w:rPr>
          <w:rFonts w:ascii="Calibri" w:hAnsi="Calibri" w:cs="Calibri"/>
          <w:sz w:val="22"/>
        </w:rPr>
        <w:t>non-homologous</w:t>
      </w:r>
      <w:r>
        <w:rPr>
          <w:rFonts w:ascii="Calibri" w:hAnsi="Calibri" w:cs="Calibri"/>
          <w:sz w:val="22"/>
        </w:rPr>
        <w:t xml:space="preserve"> lend joining (NHEJ)</w:t>
      </w:r>
    </w:p>
    <w:p w14:paraId="631F7DB1" w14:textId="00851E4A" w:rsidR="00884684" w:rsidRDefault="00884684" w:rsidP="00884684">
      <w:pPr>
        <w:pStyle w:val="a3"/>
        <w:numPr>
          <w:ilvl w:val="1"/>
          <w:numId w:val="1"/>
        </w:numPr>
        <w:ind w:firstLineChars="0"/>
        <w:rPr>
          <w:rFonts w:ascii="Calibri" w:hAnsi="Calibri" w:cs="Calibri"/>
          <w:sz w:val="22"/>
        </w:rPr>
      </w:pPr>
      <w:r>
        <w:rPr>
          <w:rFonts w:ascii="Calibri" w:hAnsi="Calibri" w:cs="Calibri" w:hint="eastAsia"/>
          <w:sz w:val="22"/>
        </w:rPr>
        <w:t>2</w:t>
      </w:r>
      <w:r>
        <w:rPr>
          <w:rFonts w:ascii="Calibri" w:hAnsi="Calibri" w:cs="Calibri"/>
          <w:sz w:val="22"/>
        </w:rPr>
        <w:t>. Homology directed repair (HDR)</w:t>
      </w:r>
    </w:p>
    <w:p w14:paraId="0DE7AC04" w14:textId="4D479B69" w:rsidR="00884684" w:rsidRDefault="00884684" w:rsidP="00884684">
      <w:pPr>
        <w:rPr>
          <w:rFonts w:ascii="Calibri" w:hAnsi="Calibri" w:cs="Calibri"/>
          <w:sz w:val="22"/>
        </w:rPr>
      </w:pPr>
    </w:p>
    <w:p w14:paraId="4F21F9AA" w14:textId="0EE89D1C" w:rsidR="00884684" w:rsidRDefault="00AF1EF6" w:rsidP="00884684">
      <w:pPr>
        <w:pStyle w:val="a3"/>
        <w:numPr>
          <w:ilvl w:val="0"/>
          <w:numId w:val="1"/>
        </w:numPr>
        <w:ind w:firstLineChars="0"/>
        <w:rPr>
          <w:rFonts w:ascii="Calibri" w:hAnsi="Calibri" w:cs="Calibri"/>
          <w:sz w:val="22"/>
        </w:rPr>
      </w:pPr>
      <w:r>
        <w:rPr>
          <w:rFonts w:ascii="Calibri" w:hAnsi="Calibri" w:cs="Calibri" w:hint="eastAsia"/>
          <w:sz w:val="22"/>
        </w:rPr>
        <w:t>Cl</w:t>
      </w:r>
      <w:r>
        <w:rPr>
          <w:rFonts w:ascii="Calibri" w:hAnsi="Calibri" w:cs="Calibri"/>
          <w:sz w:val="22"/>
        </w:rPr>
        <w:t>ass 2 type VI CRISPR/Cas system:</w:t>
      </w:r>
    </w:p>
    <w:p w14:paraId="40DBA3B8" w14:textId="0A94BEC7" w:rsidR="00884684" w:rsidRDefault="00AF1EF6" w:rsidP="00884684">
      <w:pPr>
        <w:pStyle w:val="a3"/>
        <w:numPr>
          <w:ilvl w:val="1"/>
          <w:numId w:val="1"/>
        </w:numPr>
        <w:ind w:firstLineChars="0"/>
        <w:rPr>
          <w:rFonts w:ascii="Calibri" w:hAnsi="Calibri" w:cs="Calibri"/>
          <w:sz w:val="22"/>
        </w:rPr>
      </w:pPr>
      <w:r>
        <w:rPr>
          <w:rFonts w:ascii="Calibri" w:hAnsi="Calibri" w:cs="Calibri" w:hint="eastAsia"/>
          <w:sz w:val="22"/>
        </w:rPr>
        <w:t>I</w:t>
      </w:r>
      <w:r>
        <w:rPr>
          <w:rFonts w:ascii="Calibri" w:hAnsi="Calibri" w:cs="Calibri"/>
          <w:sz w:val="22"/>
        </w:rPr>
        <w:t>ncludes a group of single RNA guided nucleases known as Cas13</w:t>
      </w:r>
      <w:r w:rsidR="00452B67">
        <w:rPr>
          <w:rFonts w:ascii="Calibri" w:hAnsi="Calibri" w:cs="Calibri"/>
          <w:sz w:val="22"/>
        </w:rPr>
        <w:t xml:space="preserve"> (Cas13a, Cas13b, Cas13c, and Cas13d)</w:t>
      </w:r>
    </w:p>
    <w:p w14:paraId="07677EA9" w14:textId="73F98AC3" w:rsidR="00452B67" w:rsidRDefault="00452B67" w:rsidP="00884684">
      <w:pPr>
        <w:pStyle w:val="a3"/>
        <w:numPr>
          <w:ilvl w:val="1"/>
          <w:numId w:val="1"/>
        </w:numPr>
        <w:ind w:firstLineChars="0"/>
        <w:rPr>
          <w:rFonts w:ascii="Calibri" w:hAnsi="Calibri" w:cs="Calibri"/>
          <w:sz w:val="22"/>
        </w:rPr>
      </w:pPr>
      <w:r>
        <w:rPr>
          <w:rFonts w:ascii="Calibri" w:hAnsi="Calibri" w:cs="Calibri" w:hint="eastAsia"/>
          <w:sz w:val="22"/>
        </w:rPr>
        <w:t>T</w:t>
      </w:r>
      <w:r>
        <w:rPr>
          <w:rFonts w:ascii="Calibri" w:hAnsi="Calibri" w:cs="Calibri"/>
          <w:sz w:val="22"/>
        </w:rPr>
        <w:t>hey target single-stranded RNA (ssRNA). Although</w:t>
      </w:r>
      <w:r w:rsidR="00D40C62">
        <w:rPr>
          <w:rFonts w:ascii="Calibri" w:hAnsi="Calibri" w:cs="Calibri"/>
          <w:sz w:val="22"/>
        </w:rPr>
        <w:t xml:space="preserve"> Cas13 lacks PAM requirements, some orthologs are activated upon protospacer flanking sites (PFS) recognition. </w:t>
      </w:r>
    </w:p>
    <w:p w14:paraId="474D4218" w14:textId="3681239D" w:rsidR="00D40C62" w:rsidRDefault="00D40C62" w:rsidP="00884684">
      <w:pPr>
        <w:pStyle w:val="a3"/>
        <w:numPr>
          <w:ilvl w:val="1"/>
          <w:numId w:val="1"/>
        </w:numPr>
        <w:ind w:firstLineChars="0"/>
        <w:rPr>
          <w:rFonts w:ascii="Calibri" w:hAnsi="Calibri" w:cs="Calibri"/>
          <w:sz w:val="22"/>
        </w:rPr>
      </w:pPr>
      <w:r>
        <w:rPr>
          <w:rFonts w:ascii="Calibri" w:hAnsi="Calibri" w:cs="Calibri" w:hint="eastAsia"/>
          <w:sz w:val="22"/>
        </w:rPr>
        <w:t>F</w:t>
      </w:r>
      <w:r>
        <w:rPr>
          <w:rFonts w:ascii="Calibri" w:hAnsi="Calibri" w:cs="Calibri"/>
          <w:sz w:val="22"/>
        </w:rPr>
        <w:t>ollowing PFS (when required) and ssRNA target recognition, the Cas13-nrRNA complex becomes active, cleaving not only guide-complementary ssRNA (cis-cleavage activity), but also other surrounding ssRNAs (trans-cleavage activity)</w:t>
      </w:r>
      <w:r w:rsidR="00173122">
        <w:rPr>
          <w:rFonts w:ascii="Calibri" w:hAnsi="Calibri" w:cs="Calibri"/>
          <w:sz w:val="22"/>
        </w:rPr>
        <w:t>.</w:t>
      </w:r>
    </w:p>
    <w:p w14:paraId="1340194D" w14:textId="450DE95E" w:rsidR="00173122" w:rsidRPr="00452B67" w:rsidRDefault="00173122" w:rsidP="00884684">
      <w:pPr>
        <w:pStyle w:val="a3"/>
        <w:numPr>
          <w:ilvl w:val="1"/>
          <w:numId w:val="1"/>
        </w:numPr>
        <w:ind w:firstLineChars="0"/>
        <w:rPr>
          <w:rFonts w:ascii="Calibri" w:hAnsi="Calibri" w:cs="Calibri"/>
          <w:sz w:val="22"/>
        </w:rPr>
      </w:pPr>
      <w:r>
        <w:rPr>
          <w:rFonts w:ascii="Calibri" w:hAnsi="Calibri" w:cs="Calibri" w:hint="eastAsia"/>
          <w:sz w:val="22"/>
        </w:rPr>
        <w:t>C</w:t>
      </w:r>
      <w:r>
        <w:rPr>
          <w:rFonts w:ascii="Calibri" w:hAnsi="Calibri" w:cs="Calibri"/>
          <w:sz w:val="22"/>
        </w:rPr>
        <w:t>RISPR-Cas13 can be programmed to mediate efficient and specific RNA knock-down and also RNA editing by using catalytically inactive Cas13 (dCas13)</w:t>
      </w:r>
    </w:p>
    <w:p w14:paraId="1BF8A0E0" w14:textId="446F4FE2" w:rsidR="00884684" w:rsidRPr="00884684" w:rsidRDefault="00040997" w:rsidP="00040997">
      <w:pPr>
        <w:pStyle w:val="a3"/>
        <w:ind w:left="360" w:firstLineChars="0" w:firstLine="0"/>
        <w:rPr>
          <w:rFonts w:ascii="Calibri" w:hAnsi="Calibri" w:cs="Calibri"/>
          <w:sz w:val="22"/>
        </w:rPr>
      </w:pPr>
      <w:r>
        <w:rPr>
          <w:rFonts w:ascii="Calibri" w:hAnsi="Calibri" w:cs="Calibri" w:hint="eastAsia"/>
          <w:sz w:val="22"/>
        </w:rPr>
        <w:lastRenderedPageBreak/>
        <w:t>M</w:t>
      </w:r>
      <w:r>
        <w:rPr>
          <w:rFonts w:ascii="Calibri" w:hAnsi="Calibri" w:cs="Calibri"/>
          <w:sz w:val="22"/>
        </w:rPr>
        <w:t>ain featural summary of main Class 2 CRISPR/Cas effector proteins.</w:t>
      </w:r>
    </w:p>
    <w:p w14:paraId="0D019A72" w14:textId="4971FDCD" w:rsidR="00B9606D" w:rsidRDefault="00B9606D" w:rsidP="00B9606D">
      <w:pPr>
        <w:rPr>
          <w:rFonts w:ascii="Calibri" w:hAnsi="Calibri" w:cs="Calibri"/>
          <w:sz w:val="22"/>
        </w:rPr>
      </w:pPr>
    </w:p>
    <w:p w14:paraId="10747AD7" w14:textId="375F0B1E" w:rsidR="00B9606D" w:rsidRPr="00B9606D" w:rsidRDefault="007D5A1C" w:rsidP="00B9606D">
      <w:pPr>
        <w:rPr>
          <w:rFonts w:ascii="Calibri" w:hAnsi="Calibri" w:cs="Calibri"/>
          <w:sz w:val="22"/>
        </w:rPr>
      </w:pPr>
      <w:r w:rsidRPr="00040997">
        <w:rPr>
          <w:rFonts w:ascii="Calibri" w:hAnsi="Calibri" w:cs="Calibri"/>
          <w:noProof/>
          <w:sz w:val="22"/>
        </w:rPr>
        <w:drawing>
          <wp:anchor distT="0" distB="0" distL="114300" distR="114300" simplePos="0" relativeHeight="251659264" behindDoc="0" locked="0" layoutInCell="1" allowOverlap="1" wp14:anchorId="0577C2D5" wp14:editId="4759644A">
            <wp:simplePos x="0" y="0"/>
            <wp:positionH relativeFrom="column">
              <wp:posOffset>215578</wp:posOffset>
            </wp:positionH>
            <wp:positionV relativeFrom="paragraph">
              <wp:posOffset>15883</wp:posOffset>
            </wp:positionV>
            <wp:extent cx="3183890" cy="170116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83890" cy="1701165"/>
                    </a:xfrm>
                    <a:prstGeom prst="rect">
                      <a:avLst/>
                    </a:prstGeom>
                  </pic:spPr>
                </pic:pic>
              </a:graphicData>
            </a:graphic>
            <wp14:sizeRelH relativeFrom="margin">
              <wp14:pctWidth>0</wp14:pctWidth>
            </wp14:sizeRelH>
            <wp14:sizeRelV relativeFrom="margin">
              <wp14:pctHeight>0</wp14:pctHeight>
            </wp14:sizeRelV>
          </wp:anchor>
        </w:drawing>
      </w:r>
    </w:p>
    <w:p w14:paraId="6E886910" w14:textId="0C4E80E1" w:rsidR="00B9606D" w:rsidRPr="002F7098" w:rsidRDefault="00B9606D" w:rsidP="00B9606D">
      <w:pPr>
        <w:pStyle w:val="a3"/>
        <w:ind w:left="420" w:firstLineChars="0" w:firstLine="0"/>
        <w:rPr>
          <w:rFonts w:ascii="Calibri" w:hAnsi="Calibri" w:cs="Calibri"/>
          <w:sz w:val="22"/>
        </w:rPr>
      </w:pPr>
    </w:p>
    <w:p w14:paraId="4A238D41" w14:textId="5EA28023" w:rsidR="002F7098" w:rsidRDefault="002F7098"/>
    <w:p w14:paraId="48FE9846" w14:textId="15178356" w:rsidR="007D5A1C" w:rsidRDefault="007D5A1C"/>
    <w:p w14:paraId="1A64DB8A" w14:textId="4C409576" w:rsidR="007D5A1C" w:rsidRDefault="007D5A1C"/>
    <w:p w14:paraId="7FEAF26F" w14:textId="6B2F788E" w:rsidR="007D5A1C" w:rsidRDefault="007D5A1C"/>
    <w:p w14:paraId="4BC85796" w14:textId="39EF3888" w:rsidR="007D5A1C" w:rsidRDefault="007D5A1C"/>
    <w:p w14:paraId="08E84ACB" w14:textId="2D8197F8" w:rsidR="007D5A1C" w:rsidRDefault="007D5A1C"/>
    <w:p w14:paraId="13D673F3" w14:textId="275E9193" w:rsidR="007D5A1C" w:rsidRDefault="007D5A1C"/>
    <w:p w14:paraId="7C53F23A" w14:textId="5FF2C0B9" w:rsidR="007D5A1C" w:rsidRDefault="007D5A1C"/>
    <w:p w14:paraId="4E89ECEB" w14:textId="73132BF1" w:rsidR="007D5A1C" w:rsidRDefault="007D5A1C">
      <w:r w:rsidRPr="00884684">
        <w:rPr>
          <w:rFonts w:ascii="Calibri" w:hAnsi="Calibri" w:cs="Calibri"/>
          <w:noProof/>
          <w:sz w:val="22"/>
        </w:rPr>
        <w:drawing>
          <wp:anchor distT="0" distB="0" distL="114300" distR="114300" simplePos="0" relativeHeight="251658240" behindDoc="0" locked="0" layoutInCell="1" allowOverlap="1" wp14:anchorId="17982DFD" wp14:editId="0647323D">
            <wp:simplePos x="0" y="0"/>
            <wp:positionH relativeFrom="margin">
              <wp:posOffset>-1002665</wp:posOffset>
            </wp:positionH>
            <wp:positionV relativeFrom="paragraph">
              <wp:posOffset>-184785</wp:posOffset>
            </wp:positionV>
            <wp:extent cx="5248910" cy="6665595"/>
            <wp:effectExtent l="0" t="0" r="889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8910" cy="6665595"/>
                    </a:xfrm>
                    <a:prstGeom prst="rect">
                      <a:avLst/>
                    </a:prstGeom>
                  </pic:spPr>
                </pic:pic>
              </a:graphicData>
            </a:graphic>
            <wp14:sizeRelH relativeFrom="margin">
              <wp14:pctWidth>0</wp14:pctWidth>
            </wp14:sizeRelH>
            <wp14:sizeRelV relativeFrom="margin">
              <wp14:pctHeight>0</wp14:pctHeight>
            </wp14:sizeRelV>
          </wp:anchor>
        </w:drawing>
      </w:r>
    </w:p>
    <w:p w14:paraId="31FBA6BE" w14:textId="049F6C87" w:rsidR="007D5A1C" w:rsidRDefault="007D5A1C"/>
    <w:p w14:paraId="7E1E28D7" w14:textId="77777777" w:rsidR="007D5A1C" w:rsidRDefault="007D5A1C"/>
    <w:p w14:paraId="52814311" w14:textId="55339864" w:rsidR="007D5A1C" w:rsidRDefault="007D5A1C"/>
    <w:p w14:paraId="6F198D74" w14:textId="41899F88" w:rsidR="007D5A1C" w:rsidRDefault="007D5A1C"/>
    <w:p w14:paraId="57B9FC4C" w14:textId="3782598A" w:rsidR="007D5A1C" w:rsidRDefault="007D5A1C"/>
    <w:p w14:paraId="1EB1CDC4" w14:textId="262F8862" w:rsidR="007D5A1C" w:rsidRDefault="007D5A1C"/>
    <w:p w14:paraId="088FE994" w14:textId="14007B4E" w:rsidR="007D5A1C" w:rsidRDefault="007D5A1C"/>
    <w:p w14:paraId="71871D13" w14:textId="67735584" w:rsidR="007D5A1C" w:rsidRDefault="007D5A1C"/>
    <w:p w14:paraId="4EA48D48" w14:textId="19CCE551" w:rsidR="007D5A1C" w:rsidRDefault="007D5A1C"/>
    <w:p w14:paraId="648605F4" w14:textId="049F3DF5" w:rsidR="007D5A1C" w:rsidRDefault="007D5A1C"/>
    <w:p w14:paraId="6C188B16" w14:textId="049CB5D8" w:rsidR="007D5A1C" w:rsidRDefault="007D5A1C"/>
    <w:p w14:paraId="0AF8D3D9" w14:textId="06E3DE0A" w:rsidR="007D5A1C" w:rsidRDefault="007D5A1C"/>
    <w:p w14:paraId="6EC9CD91" w14:textId="4EE02CC2" w:rsidR="007D5A1C" w:rsidRDefault="007D5A1C"/>
    <w:p w14:paraId="0921FCB3" w14:textId="77E819EB" w:rsidR="007D5A1C" w:rsidRDefault="007D5A1C"/>
    <w:p w14:paraId="1E3743BC" w14:textId="492E4469" w:rsidR="007D5A1C" w:rsidRDefault="007D5A1C"/>
    <w:p w14:paraId="0F034411" w14:textId="0B570470" w:rsidR="007D5A1C" w:rsidRDefault="007D5A1C"/>
    <w:p w14:paraId="2452025F" w14:textId="7931CD80" w:rsidR="007D5A1C" w:rsidRDefault="007D5A1C"/>
    <w:p w14:paraId="06A5A349" w14:textId="1B75DDB2" w:rsidR="007D5A1C" w:rsidRDefault="007D5A1C"/>
    <w:p w14:paraId="13C6B5A8" w14:textId="4933A627" w:rsidR="007D5A1C" w:rsidRDefault="007D5A1C"/>
    <w:p w14:paraId="5D7A01E1" w14:textId="2CA6FB2B" w:rsidR="007D5A1C" w:rsidRDefault="007D5A1C"/>
    <w:p w14:paraId="1CFE5FB7" w14:textId="65AAA0B5" w:rsidR="007D5A1C" w:rsidRDefault="007D5A1C"/>
    <w:p w14:paraId="5DE4268E" w14:textId="14A7F785" w:rsidR="007D5A1C" w:rsidRDefault="007D5A1C"/>
    <w:p w14:paraId="0ACF6C4E" w14:textId="527AAEA6" w:rsidR="007D5A1C" w:rsidRDefault="007D5A1C"/>
    <w:p w14:paraId="478AE6A1" w14:textId="36BE7D8A" w:rsidR="007D5A1C" w:rsidRDefault="007D5A1C"/>
    <w:p w14:paraId="44E2E2CF" w14:textId="4F240A92" w:rsidR="007D5A1C" w:rsidRDefault="007D5A1C"/>
    <w:p w14:paraId="34B6680B" w14:textId="54C24224" w:rsidR="007D5A1C" w:rsidRDefault="007D5A1C"/>
    <w:p w14:paraId="3B70383E" w14:textId="5B2A8235" w:rsidR="007D5A1C" w:rsidRDefault="007D5A1C"/>
    <w:p w14:paraId="08D20360" w14:textId="7BD81E5D" w:rsidR="007D5A1C" w:rsidRDefault="007D5A1C"/>
    <w:p w14:paraId="2D11C13C" w14:textId="77777777" w:rsidR="007D5A1C" w:rsidRDefault="007D5A1C"/>
    <w:p w14:paraId="4217B94E" w14:textId="49B0F185" w:rsidR="007D5A1C" w:rsidRDefault="007D5A1C"/>
    <w:p w14:paraId="07C006BD" w14:textId="2A0465AE" w:rsidR="007D5A1C" w:rsidRDefault="007D5A1C"/>
    <w:p w14:paraId="62D0E2BD" w14:textId="0B14C30D" w:rsidR="007D5A1C" w:rsidRDefault="002A0250">
      <w:pPr>
        <w:rPr>
          <w:color w:val="FF0000"/>
        </w:rPr>
      </w:pPr>
      <w:r>
        <w:lastRenderedPageBreak/>
        <w:t>The CRISPR</w:t>
      </w:r>
      <w:r w:rsidR="00350361">
        <w:t>-Cas</w:t>
      </w:r>
      <w:r>
        <w:t xml:space="preserve"> system would have potential in treating both acute and chronic infections. Many clinically relevant viral diseases often become chronic due to viral latency, a phase in which viral activity is minimal. Current treatments frequently lack efficacy in those cases. E.g. </w:t>
      </w:r>
      <w:r w:rsidR="002561D9">
        <w:t>highly active antiretroviral therapy, the treatment of choice against HIV-induced acquired immunodeficiency syndrome, fails to target</w:t>
      </w:r>
      <w:r w:rsidR="002561D9" w:rsidRPr="002561D9">
        <w:rPr>
          <w:color w:val="FF0000"/>
        </w:rPr>
        <w:t xml:space="preserve"> latent</w:t>
      </w:r>
      <w:r w:rsidR="002561D9">
        <w:t xml:space="preserve"> </w:t>
      </w:r>
      <w:r w:rsidR="002561D9" w:rsidRPr="002561D9">
        <w:rPr>
          <w:color w:val="FF0000"/>
        </w:rPr>
        <w:t>virus reservoirs</w:t>
      </w:r>
    </w:p>
    <w:p w14:paraId="1680D2BB" w14:textId="76225D2B" w:rsidR="002561D9" w:rsidRDefault="002561D9" w:rsidP="002561D9">
      <w:pPr>
        <w:pStyle w:val="a3"/>
        <w:numPr>
          <w:ilvl w:val="1"/>
          <w:numId w:val="1"/>
        </w:numPr>
        <w:ind w:firstLineChars="0"/>
        <w:rPr>
          <w:color w:val="FF0000"/>
        </w:rPr>
      </w:pPr>
      <w:r>
        <w:rPr>
          <w:color w:val="FF0000"/>
        </w:rPr>
        <w:t>Latent virus reservoirs: Cells infected by a virus that have low viral activity and are not actively reproducing viruses. When a latently infected cell is reactivated, it will start to produce viruses again.</w:t>
      </w:r>
    </w:p>
    <w:p w14:paraId="1F5D4192" w14:textId="60939922" w:rsidR="00CB1046" w:rsidRDefault="00CB1046" w:rsidP="00CB1046">
      <w:pPr>
        <w:rPr>
          <w:color w:val="000000" w:themeColor="text1"/>
        </w:rPr>
      </w:pPr>
    </w:p>
    <w:p w14:paraId="19669AE6" w14:textId="00FE8DFD" w:rsidR="00AF67F5" w:rsidRDefault="00AF67F5" w:rsidP="00AF67F5">
      <w:pPr>
        <w:pStyle w:val="a3"/>
        <w:numPr>
          <w:ilvl w:val="0"/>
          <w:numId w:val="1"/>
        </w:numPr>
        <w:ind w:firstLineChars="0"/>
        <w:rPr>
          <w:color w:val="000000" w:themeColor="text1"/>
        </w:rPr>
      </w:pPr>
      <w:r>
        <w:rPr>
          <w:color w:val="000000" w:themeColor="text1"/>
        </w:rPr>
        <w:t>CRISPR/Cas technology has shown potential to tackle the following viruses</w:t>
      </w:r>
      <w:r w:rsidR="008E2740">
        <w:rPr>
          <w:color w:val="000000" w:themeColor="text1"/>
        </w:rPr>
        <w:t>:</w:t>
      </w:r>
    </w:p>
    <w:p w14:paraId="4099E1A0" w14:textId="11BEEE1D" w:rsidR="002B78F3" w:rsidRDefault="002B78F3" w:rsidP="002B78F3">
      <w:pPr>
        <w:pStyle w:val="a3"/>
        <w:numPr>
          <w:ilvl w:val="1"/>
          <w:numId w:val="1"/>
        </w:numPr>
        <w:ind w:firstLineChars="0"/>
        <w:rPr>
          <w:color w:val="000000" w:themeColor="text1"/>
        </w:rPr>
      </w:pPr>
      <w:r>
        <w:rPr>
          <w:rFonts w:hint="eastAsia"/>
          <w:color w:val="000000" w:themeColor="text1"/>
        </w:rPr>
        <w:t>1</w:t>
      </w:r>
      <w:r>
        <w:rPr>
          <w:color w:val="000000" w:themeColor="text1"/>
        </w:rPr>
        <w:t>. Hepatitis B virus</w:t>
      </w:r>
    </w:p>
    <w:p w14:paraId="64C1987D" w14:textId="1C38EFBA" w:rsidR="002B78F3" w:rsidRDefault="002B78F3" w:rsidP="002B78F3">
      <w:pPr>
        <w:pStyle w:val="a3"/>
        <w:numPr>
          <w:ilvl w:val="1"/>
          <w:numId w:val="1"/>
        </w:numPr>
        <w:ind w:firstLineChars="0"/>
        <w:rPr>
          <w:color w:val="000000" w:themeColor="text1"/>
        </w:rPr>
      </w:pPr>
      <w:r>
        <w:rPr>
          <w:rFonts w:hint="eastAsia"/>
          <w:color w:val="000000" w:themeColor="text1"/>
        </w:rPr>
        <w:t>2</w:t>
      </w:r>
      <w:r>
        <w:rPr>
          <w:color w:val="000000" w:themeColor="text1"/>
        </w:rPr>
        <w:t>. Herpes virus</w:t>
      </w:r>
    </w:p>
    <w:p w14:paraId="4F51679E" w14:textId="18676310" w:rsidR="002B78F3" w:rsidRDefault="002B78F3" w:rsidP="002B78F3">
      <w:pPr>
        <w:pStyle w:val="a3"/>
        <w:numPr>
          <w:ilvl w:val="1"/>
          <w:numId w:val="1"/>
        </w:numPr>
        <w:ind w:firstLineChars="0"/>
        <w:rPr>
          <w:color w:val="000000" w:themeColor="text1"/>
        </w:rPr>
      </w:pPr>
      <w:r>
        <w:rPr>
          <w:rFonts w:hint="eastAsia"/>
          <w:color w:val="000000" w:themeColor="text1"/>
        </w:rPr>
        <w:t>3</w:t>
      </w:r>
      <w:r>
        <w:rPr>
          <w:color w:val="000000" w:themeColor="text1"/>
        </w:rPr>
        <w:t>. Human papilloma virus (HPV)</w:t>
      </w:r>
    </w:p>
    <w:p w14:paraId="51502604" w14:textId="5291BA07" w:rsidR="002B78F3" w:rsidRDefault="002B78F3" w:rsidP="002B78F3">
      <w:pPr>
        <w:pStyle w:val="a3"/>
        <w:numPr>
          <w:ilvl w:val="1"/>
          <w:numId w:val="1"/>
        </w:numPr>
        <w:ind w:firstLineChars="0"/>
        <w:rPr>
          <w:color w:val="000000" w:themeColor="text1"/>
        </w:rPr>
      </w:pPr>
      <w:r>
        <w:rPr>
          <w:rFonts w:hint="eastAsia"/>
          <w:color w:val="000000" w:themeColor="text1"/>
        </w:rPr>
        <w:t>4</w:t>
      </w:r>
      <w:r>
        <w:rPr>
          <w:color w:val="000000" w:themeColor="text1"/>
        </w:rPr>
        <w:t>. Dengue virus</w:t>
      </w:r>
    </w:p>
    <w:p w14:paraId="3B9A753C" w14:textId="2A61E4AD" w:rsidR="002B78F3" w:rsidRDefault="002B78F3" w:rsidP="002B78F3">
      <w:pPr>
        <w:pStyle w:val="a3"/>
        <w:numPr>
          <w:ilvl w:val="1"/>
          <w:numId w:val="1"/>
        </w:numPr>
        <w:ind w:firstLineChars="0"/>
        <w:rPr>
          <w:color w:val="000000" w:themeColor="text1"/>
        </w:rPr>
      </w:pPr>
      <w:r>
        <w:rPr>
          <w:rFonts w:hint="eastAsia"/>
          <w:color w:val="000000" w:themeColor="text1"/>
        </w:rPr>
        <w:t>5</w:t>
      </w:r>
      <w:r>
        <w:rPr>
          <w:color w:val="000000" w:themeColor="text1"/>
        </w:rPr>
        <w:t>. Corona virus</w:t>
      </w:r>
    </w:p>
    <w:p w14:paraId="088E8DA7" w14:textId="506BD445" w:rsidR="002B78F3" w:rsidRDefault="002B78F3" w:rsidP="002B78F3">
      <w:pPr>
        <w:pStyle w:val="a3"/>
        <w:numPr>
          <w:ilvl w:val="1"/>
          <w:numId w:val="1"/>
        </w:numPr>
        <w:ind w:firstLineChars="0"/>
        <w:rPr>
          <w:color w:val="000000" w:themeColor="text1"/>
        </w:rPr>
      </w:pPr>
      <w:r>
        <w:rPr>
          <w:rFonts w:hint="eastAsia"/>
          <w:color w:val="000000" w:themeColor="text1"/>
        </w:rPr>
        <w:t>6</w:t>
      </w:r>
      <w:r>
        <w:rPr>
          <w:color w:val="000000" w:themeColor="text1"/>
        </w:rPr>
        <w:t>. Influenza A virus</w:t>
      </w:r>
    </w:p>
    <w:p w14:paraId="53BB331B" w14:textId="49F847DD" w:rsidR="002B78F3" w:rsidRDefault="002B78F3" w:rsidP="002B78F3">
      <w:pPr>
        <w:pStyle w:val="a3"/>
        <w:numPr>
          <w:ilvl w:val="1"/>
          <w:numId w:val="1"/>
        </w:numPr>
        <w:ind w:firstLineChars="0"/>
        <w:rPr>
          <w:color w:val="000000" w:themeColor="text1"/>
        </w:rPr>
      </w:pPr>
      <w:r>
        <w:rPr>
          <w:rFonts w:hint="eastAsia"/>
          <w:color w:val="000000" w:themeColor="text1"/>
        </w:rPr>
        <w:t>7</w:t>
      </w:r>
      <w:r>
        <w:rPr>
          <w:color w:val="000000" w:themeColor="text1"/>
        </w:rPr>
        <w:t>. Lymphocyte choriomeningitis virus</w:t>
      </w:r>
    </w:p>
    <w:p w14:paraId="54E9CE83" w14:textId="321D7807" w:rsidR="002B78F3" w:rsidRDefault="002B78F3" w:rsidP="002B78F3">
      <w:pPr>
        <w:pStyle w:val="a3"/>
        <w:numPr>
          <w:ilvl w:val="1"/>
          <w:numId w:val="1"/>
        </w:numPr>
        <w:ind w:firstLineChars="0"/>
        <w:rPr>
          <w:color w:val="000000" w:themeColor="text1"/>
        </w:rPr>
      </w:pPr>
      <w:r>
        <w:rPr>
          <w:color w:val="000000" w:themeColor="text1"/>
        </w:rPr>
        <w:t>8. Vesicular stomatitis virus</w:t>
      </w:r>
    </w:p>
    <w:p w14:paraId="2F927D7C" w14:textId="53C1FDF6" w:rsidR="00D0568A" w:rsidRDefault="00D0568A" w:rsidP="00D0568A">
      <w:pPr>
        <w:rPr>
          <w:color w:val="000000" w:themeColor="text1"/>
        </w:rPr>
      </w:pPr>
    </w:p>
    <w:p w14:paraId="2D406D6C" w14:textId="6FFD2B6C" w:rsidR="00441D59" w:rsidRDefault="00D0568A" w:rsidP="00441D59">
      <w:pPr>
        <w:pStyle w:val="a3"/>
        <w:numPr>
          <w:ilvl w:val="0"/>
          <w:numId w:val="1"/>
        </w:numPr>
        <w:ind w:firstLineChars="0"/>
        <w:rPr>
          <w:color w:val="000000" w:themeColor="text1"/>
        </w:rPr>
      </w:pPr>
      <w:r>
        <w:rPr>
          <w:color w:val="000000" w:themeColor="text1"/>
        </w:rPr>
        <w:t>Cas 12a and Cas9 are great against DNA viruses and RNA viruses with dsDNA intermediates inside cell</w:t>
      </w:r>
      <w:r w:rsidR="00441D59">
        <w:rPr>
          <w:color w:val="000000" w:themeColor="text1"/>
        </w:rPr>
        <w:t>s. While Cas13 can directly target RNA viruses. It is arguably true that Cas13 would be much safer in terms of in vivo applications as it cannot induce permanent genetic alterations in host cells. Thus off-target activity would not be a severs problem when using Cas13.</w:t>
      </w:r>
    </w:p>
    <w:p w14:paraId="5E77D015" w14:textId="258D8557" w:rsidR="00441D59" w:rsidRDefault="00441D59" w:rsidP="00441D59">
      <w:pPr>
        <w:rPr>
          <w:color w:val="000000" w:themeColor="text1"/>
        </w:rPr>
      </w:pPr>
    </w:p>
    <w:p w14:paraId="4141199F" w14:textId="397D0737" w:rsidR="00441D59" w:rsidRDefault="00441D59" w:rsidP="00441D59">
      <w:pPr>
        <w:pStyle w:val="a3"/>
        <w:numPr>
          <w:ilvl w:val="0"/>
          <w:numId w:val="1"/>
        </w:numPr>
        <w:ind w:firstLineChars="0"/>
        <w:rPr>
          <w:color w:val="000000" w:themeColor="text1"/>
        </w:rPr>
      </w:pPr>
      <w:r>
        <w:rPr>
          <w:rFonts w:hint="eastAsia"/>
          <w:color w:val="000000" w:themeColor="text1"/>
        </w:rPr>
        <w:t>M</w:t>
      </w:r>
      <w:r>
        <w:rPr>
          <w:color w:val="000000" w:themeColor="text1"/>
        </w:rPr>
        <w:t>ost experiments on CRISPR anti-viral potential is limited in vitro. However, exhaustive  in vivo studies are required.</w:t>
      </w:r>
    </w:p>
    <w:p w14:paraId="39C3CFEF" w14:textId="77777777" w:rsidR="00441D59" w:rsidRPr="00441D59" w:rsidRDefault="00441D59" w:rsidP="00441D59">
      <w:pPr>
        <w:pStyle w:val="a3"/>
        <w:rPr>
          <w:color w:val="000000" w:themeColor="text1"/>
        </w:rPr>
      </w:pPr>
    </w:p>
    <w:p w14:paraId="0C8A8959" w14:textId="38C69DAC" w:rsidR="00441D59" w:rsidRDefault="00441D59" w:rsidP="00441D59">
      <w:pPr>
        <w:rPr>
          <w:color w:val="000000" w:themeColor="text1"/>
        </w:rPr>
      </w:pPr>
      <w:r>
        <w:rPr>
          <w:rFonts w:hint="eastAsia"/>
          <w:color w:val="000000" w:themeColor="text1"/>
        </w:rPr>
        <w:t>T</w:t>
      </w:r>
      <w:r>
        <w:rPr>
          <w:color w:val="000000" w:themeColor="text1"/>
        </w:rPr>
        <w:t>arget Genes: Viral genome versus host factors</w:t>
      </w:r>
    </w:p>
    <w:p w14:paraId="369BB2EA" w14:textId="0E2B9646" w:rsidR="00441D59" w:rsidRDefault="00441D59" w:rsidP="00441D59">
      <w:pPr>
        <w:rPr>
          <w:color w:val="000000" w:themeColor="text1"/>
        </w:rPr>
      </w:pPr>
    </w:p>
    <w:p w14:paraId="3930B80C" w14:textId="5572F8A6" w:rsidR="00441D59" w:rsidRDefault="00441D59" w:rsidP="00441D59">
      <w:pPr>
        <w:pStyle w:val="a3"/>
        <w:numPr>
          <w:ilvl w:val="0"/>
          <w:numId w:val="1"/>
        </w:numPr>
        <w:ind w:firstLineChars="0"/>
        <w:rPr>
          <w:color w:val="000000" w:themeColor="text1"/>
        </w:rPr>
      </w:pPr>
      <w:r>
        <w:rPr>
          <w:rFonts w:hint="eastAsia"/>
          <w:color w:val="000000" w:themeColor="text1"/>
        </w:rPr>
        <w:t>T</w:t>
      </w:r>
      <w:r>
        <w:rPr>
          <w:color w:val="000000" w:themeColor="text1"/>
        </w:rPr>
        <w:t>he success of antiviral CRISPR therapy strongly relies on the choice of optimal target genes.</w:t>
      </w:r>
    </w:p>
    <w:p w14:paraId="3C4378B5" w14:textId="77777777" w:rsidR="00F70853" w:rsidRDefault="00441D59" w:rsidP="00441D59">
      <w:pPr>
        <w:pStyle w:val="a3"/>
        <w:numPr>
          <w:ilvl w:val="0"/>
          <w:numId w:val="1"/>
        </w:numPr>
        <w:ind w:firstLineChars="0"/>
        <w:rPr>
          <w:color w:val="000000" w:themeColor="text1"/>
        </w:rPr>
      </w:pPr>
      <w:r>
        <w:rPr>
          <w:rFonts w:hint="eastAsia"/>
          <w:color w:val="000000" w:themeColor="text1"/>
        </w:rPr>
        <w:t>T</w:t>
      </w:r>
      <w:r>
        <w:rPr>
          <w:color w:val="000000" w:themeColor="text1"/>
        </w:rPr>
        <w:t>he targeting of host factors can also constitute a valuable approach.</w:t>
      </w:r>
    </w:p>
    <w:p w14:paraId="1B3666D3" w14:textId="77777777" w:rsidR="00F70853" w:rsidRDefault="00F70853" w:rsidP="00F70853">
      <w:pPr>
        <w:pStyle w:val="a3"/>
        <w:numPr>
          <w:ilvl w:val="1"/>
          <w:numId w:val="1"/>
        </w:numPr>
        <w:ind w:firstLineChars="0"/>
        <w:rPr>
          <w:color w:val="000000" w:themeColor="text1"/>
        </w:rPr>
      </w:pPr>
      <w:r>
        <w:rPr>
          <w:color w:val="000000" w:themeColor="text1"/>
        </w:rPr>
        <w:t xml:space="preserve">Targeting host factors against HIV virus: </w:t>
      </w:r>
    </w:p>
    <w:p w14:paraId="36B9D8AA" w14:textId="5E2F4E4A" w:rsidR="00441D59" w:rsidRDefault="00F70853" w:rsidP="00F70853">
      <w:pPr>
        <w:pStyle w:val="a3"/>
        <w:numPr>
          <w:ilvl w:val="1"/>
          <w:numId w:val="1"/>
        </w:numPr>
        <w:ind w:firstLineChars="0"/>
        <w:rPr>
          <w:color w:val="000000" w:themeColor="text1"/>
        </w:rPr>
      </w:pPr>
      <w:r>
        <w:rPr>
          <w:color w:val="000000" w:themeColor="text1"/>
        </w:rPr>
        <w:t>Elimination of CCR5 and CXCR4 co-receptors block HIV direct entry and recognition of immune cells.</w:t>
      </w:r>
      <w:r w:rsidR="00F75A01">
        <w:rPr>
          <w:color w:val="000000" w:themeColor="text1"/>
        </w:rPr>
        <w:t xml:space="preserve"> HIV viruses recognize the CD-4</w:t>
      </w:r>
      <w:r w:rsidR="00CD680F">
        <w:rPr>
          <w:color w:val="000000" w:themeColor="text1"/>
        </w:rPr>
        <w:t xml:space="preserve"> main</w:t>
      </w:r>
      <w:r w:rsidR="00F75A01">
        <w:rPr>
          <w:color w:val="000000" w:themeColor="text1"/>
        </w:rPr>
        <w:t xml:space="preserve"> receptor on immune cells, however it is too big of a risk to alter the CD-4 </w:t>
      </w:r>
      <w:r w:rsidR="00CD680F">
        <w:rPr>
          <w:color w:val="000000" w:themeColor="text1"/>
        </w:rPr>
        <w:t>therefore co-receptors are targeted.</w:t>
      </w:r>
    </w:p>
    <w:p w14:paraId="1796D8EF" w14:textId="1BDEC064" w:rsidR="00CD680F" w:rsidRDefault="00CD680F" w:rsidP="00CD680F">
      <w:pPr>
        <w:pStyle w:val="a3"/>
        <w:ind w:left="360" w:firstLineChars="0" w:firstLine="0"/>
        <w:rPr>
          <w:color w:val="000000" w:themeColor="text1"/>
        </w:rPr>
      </w:pPr>
    </w:p>
    <w:p w14:paraId="4B876AA2" w14:textId="2512B7EF" w:rsidR="00CD680F" w:rsidRDefault="00CD680F" w:rsidP="00CD680F">
      <w:pPr>
        <w:pStyle w:val="a3"/>
        <w:ind w:left="360" w:firstLineChars="0" w:firstLine="0"/>
        <w:rPr>
          <w:color w:val="000000" w:themeColor="text1"/>
        </w:rPr>
      </w:pPr>
    </w:p>
    <w:p w14:paraId="35443FB9" w14:textId="16563D8E" w:rsidR="00CD680F" w:rsidRDefault="00CD680F" w:rsidP="00CD680F">
      <w:pPr>
        <w:pStyle w:val="a3"/>
        <w:numPr>
          <w:ilvl w:val="1"/>
          <w:numId w:val="1"/>
        </w:numPr>
        <w:ind w:firstLineChars="0"/>
        <w:rPr>
          <w:color w:val="000000" w:themeColor="text1"/>
        </w:rPr>
      </w:pPr>
      <w:r>
        <w:rPr>
          <w:rFonts w:hint="eastAsia"/>
          <w:color w:val="000000" w:themeColor="text1"/>
        </w:rPr>
        <w:t>M</w:t>
      </w:r>
      <w:r>
        <w:rPr>
          <w:color w:val="000000" w:themeColor="text1"/>
        </w:rPr>
        <w:t>ost others target the long terminal repeat (LTR) promoter regions. LTRs flank retroviruses integrated genetic material and regulate pro-viral transcription, constituting thus a specially suited target for therapy.</w:t>
      </w:r>
    </w:p>
    <w:p w14:paraId="058429FC" w14:textId="6AF2EF0E" w:rsidR="00685012" w:rsidRDefault="00685012" w:rsidP="00CD680F">
      <w:pPr>
        <w:pStyle w:val="a3"/>
        <w:numPr>
          <w:ilvl w:val="1"/>
          <w:numId w:val="1"/>
        </w:numPr>
        <w:ind w:firstLineChars="0"/>
        <w:rPr>
          <w:color w:val="000000" w:themeColor="text1"/>
        </w:rPr>
      </w:pPr>
      <w:r>
        <w:rPr>
          <w:rFonts w:hint="eastAsia"/>
          <w:color w:val="000000" w:themeColor="text1"/>
        </w:rPr>
        <w:t>I</w:t>
      </w:r>
      <w:r>
        <w:rPr>
          <w:color w:val="000000" w:themeColor="text1"/>
        </w:rPr>
        <w:t xml:space="preserve">n the case of latent infections, CRISPR Cas technology allows to reserve viral quiescence by specifically activating viral promoters using catalytically dead versions </w:t>
      </w:r>
      <w:r>
        <w:rPr>
          <w:color w:val="000000" w:themeColor="text1"/>
        </w:rPr>
        <w:lastRenderedPageBreak/>
        <w:t>of Cas nucleases.</w:t>
      </w:r>
    </w:p>
    <w:p w14:paraId="04C9E972" w14:textId="359F030E" w:rsidR="00685012" w:rsidRDefault="00685012" w:rsidP="00CD680F">
      <w:pPr>
        <w:pStyle w:val="a3"/>
        <w:numPr>
          <w:ilvl w:val="1"/>
          <w:numId w:val="1"/>
        </w:numPr>
        <w:ind w:firstLineChars="0"/>
        <w:rPr>
          <w:color w:val="000000" w:themeColor="text1"/>
        </w:rPr>
      </w:pPr>
      <w:r>
        <w:rPr>
          <w:rFonts w:hint="eastAsia"/>
          <w:color w:val="000000" w:themeColor="text1"/>
        </w:rPr>
        <w:t>L</w:t>
      </w:r>
      <w:r>
        <w:rPr>
          <w:color w:val="000000" w:themeColor="text1"/>
        </w:rPr>
        <w:t>atency reversal can boost host’s immune response and improve the efficacy of antiviral treatments.</w:t>
      </w:r>
    </w:p>
    <w:p w14:paraId="6DADC91B" w14:textId="589B03D3" w:rsidR="00685012" w:rsidRDefault="00685012" w:rsidP="00CA54B1">
      <w:pPr>
        <w:rPr>
          <w:color w:val="000000" w:themeColor="text1"/>
        </w:rPr>
      </w:pPr>
    </w:p>
    <w:p w14:paraId="7D5D571F" w14:textId="77777777" w:rsidR="00CA54B1" w:rsidRDefault="00CA54B1" w:rsidP="00CA54B1">
      <w:pPr>
        <w:pStyle w:val="a3"/>
        <w:numPr>
          <w:ilvl w:val="0"/>
          <w:numId w:val="1"/>
        </w:numPr>
        <w:ind w:firstLineChars="0"/>
        <w:rPr>
          <w:color w:val="000000" w:themeColor="text1"/>
        </w:rPr>
      </w:pPr>
      <w:r>
        <w:rPr>
          <w:rFonts w:hint="eastAsia"/>
          <w:color w:val="000000" w:themeColor="text1"/>
        </w:rPr>
        <w:t>G</w:t>
      </w:r>
      <w:r>
        <w:rPr>
          <w:color w:val="000000" w:themeColor="text1"/>
        </w:rPr>
        <w:t>enetic modifications are irreversible, host targets must be carefully selected to avoid deleterious side effects</w:t>
      </w:r>
    </w:p>
    <w:p w14:paraId="4DEE9470" w14:textId="6AE564EA" w:rsidR="00CA54B1" w:rsidRDefault="00CA54B1" w:rsidP="00CA54B1">
      <w:pPr>
        <w:pStyle w:val="a3"/>
        <w:ind w:left="360" w:firstLineChars="0" w:firstLine="0"/>
        <w:rPr>
          <w:color w:val="000000" w:themeColor="text1"/>
        </w:rPr>
      </w:pPr>
      <w:r>
        <w:rPr>
          <w:color w:val="000000" w:themeColor="text1"/>
        </w:rPr>
        <w:t>.</w:t>
      </w:r>
    </w:p>
    <w:p w14:paraId="09F2706E" w14:textId="0EC0EA5C" w:rsidR="00CA54B1" w:rsidRDefault="00CA54B1" w:rsidP="00CA54B1">
      <w:pPr>
        <w:pStyle w:val="a3"/>
        <w:numPr>
          <w:ilvl w:val="0"/>
          <w:numId w:val="1"/>
        </w:numPr>
        <w:ind w:firstLineChars="0"/>
        <w:rPr>
          <w:color w:val="000000" w:themeColor="text1"/>
        </w:rPr>
      </w:pPr>
      <w:r>
        <w:rPr>
          <w:rFonts w:hint="eastAsia"/>
          <w:color w:val="000000" w:themeColor="text1"/>
        </w:rPr>
        <w:t>G</w:t>
      </w:r>
      <w:r>
        <w:rPr>
          <w:color w:val="000000" w:themeColor="text1"/>
        </w:rPr>
        <w:t>enerally targeting the viral genome is a much more straight forward, simple, safer and preferred way.</w:t>
      </w:r>
    </w:p>
    <w:p w14:paraId="19EB7E9A" w14:textId="45AB062F" w:rsidR="00CA54B1" w:rsidRDefault="00CA54B1" w:rsidP="00CA54B1">
      <w:pPr>
        <w:rPr>
          <w:color w:val="000000" w:themeColor="text1"/>
        </w:rPr>
      </w:pPr>
    </w:p>
    <w:p w14:paraId="4D190427" w14:textId="6B3BACFD" w:rsidR="00CA54B1" w:rsidRDefault="00CA54B1" w:rsidP="00CA54B1">
      <w:pPr>
        <w:rPr>
          <w:color w:val="000000" w:themeColor="text1"/>
        </w:rPr>
      </w:pPr>
      <w:r>
        <w:rPr>
          <w:rFonts w:hint="eastAsia"/>
          <w:color w:val="000000" w:themeColor="text1"/>
        </w:rPr>
        <w:t>G</w:t>
      </w:r>
      <w:r>
        <w:rPr>
          <w:color w:val="000000" w:themeColor="text1"/>
        </w:rPr>
        <w:t>UIDE RNA DESIGN: VIRAL ESCAPE MUTANTS AND THE IMPORTANCE OF MULTIFLEX APPROACHES</w:t>
      </w:r>
    </w:p>
    <w:p w14:paraId="6B6843F1" w14:textId="1A037342" w:rsidR="00CA54B1" w:rsidRDefault="00CA54B1" w:rsidP="00CA54B1">
      <w:pPr>
        <w:rPr>
          <w:color w:val="000000" w:themeColor="text1"/>
        </w:rPr>
      </w:pPr>
    </w:p>
    <w:p w14:paraId="11696473" w14:textId="635E3E27" w:rsidR="00CA54B1" w:rsidRDefault="00CA54B1" w:rsidP="00CA54B1">
      <w:pPr>
        <w:pStyle w:val="a3"/>
        <w:numPr>
          <w:ilvl w:val="0"/>
          <w:numId w:val="1"/>
        </w:numPr>
        <w:ind w:firstLineChars="0"/>
        <w:rPr>
          <w:color w:val="000000" w:themeColor="text1"/>
        </w:rPr>
      </w:pPr>
      <w:r>
        <w:rPr>
          <w:color w:val="000000" w:themeColor="text1"/>
        </w:rPr>
        <w:t xml:space="preserve">Guide RNA’s must simultaneously display high on-target activity and minimize off-target </w:t>
      </w:r>
      <w:r w:rsidR="008A3A83">
        <w:rPr>
          <w:color w:val="000000" w:themeColor="text1"/>
        </w:rPr>
        <w:t>recognition.</w:t>
      </w:r>
    </w:p>
    <w:p w14:paraId="5461979F" w14:textId="77777777" w:rsidR="008A3A83" w:rsidRPr="00CA54B1" w:rsidRDefault="008A3A83" w:rsidP="008A3A83">
      <w:pPr>
        <w:pStyle w:val="a3"/>
        <w:numPr>
          <w:ilvl w:val="1"/>
          <w:numId w:val="1"/>
        </w:numPr>
        <w:ind w:firstLineChars="0"/>
        <w:rPr>
          <w:color w:val="000000" w:themeColor="text1"/>
        </w:rPr>
      </w:pPr>
    </w:p>
    <w:p w14:paraId="14B07452" w14:textId="77777777" w:rsidR="00F70853" w:rsidRPr="00441D59" w:rsidRDefault="00F70853" w:rsidP="00F70853">
      <w:pPr>
        <w:pStyle w:val="a3"/>
        <w:ind w:left="360" w:firstLineChars="0" w:firstLine="0"/>
        <w:rPr>
          <w:color w:val="000000" w:themeColor="text1"/>
        </w:rPr>
      </w:pPr>
    </w:p>
    <w:p w14:paraId="70EC8494" w14:textId="77777777" w:rsidR="002B78F3" w:rsidRPr="002B78F3" w:rsidRDefault="002B78F3" w:rsidP="002B78F3">
      <w:pPr>
        <w:rPr>
          <w:color w:val="000000" w:themeColor="text1"/>
        </w:rPr>
      </w:pPr>
    </w:p>
    <w:p w14:paraId="05B9B1A7" w14:textId="1BFCABD8" w:rsidR="007D5A1C" w:rsidRDefault="007D5A1C"/>
    <w:p w14:paraId="353851FD" w14:textId="36514BD4" w:rsidR="007D5A1C" w:rsidRDefault="007D5A1C"/>
    <w:p w14:paraId="51C7A4F7" w14:textId="31A5785F" w:rsidR="007D5A1C" w:rsidRDefault="007D5A1C"/>
    <w:p w14:paraId="58942334" w14:textId="558795B1" w:rsidR="007D5A1C" w:rsidRDefault="007D5A1C"/>
    <w:p w14:paraId="778E637A" w14:textId="63B343D5" w:rsidR="002F7098" w:rsidRDefault="002F7098"/>
    <w:sectPr w:rsidR="002F70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B023D" w14:textId="77777777" w:rsidR="00350361" w:rsidRDefault="00350361" w:rsidP="00350361">
      <w:r>
        <w:separator/>
      </w:r>
    </w:p>
  </w:endnote>
  <w:endnote w:type="continuationSeparator" w:id="0">
    <w:p w14:paraId="429CF0BA" w14:textId="77777777" w:rsidR="00350361" w:rsidRDefault="00350361" w:rsidP="00350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82952" w14:textId="77777777" w:rsidR="00350361" w:rsidRDefault="00350361" w:rsidP="00350361">
      <w:r>
        <w:separator/>
      </w:r>
    </w:p>
  </w:footnote>
  <w:footnote w:type="continuationSeparator" w:id="0">
    <w:p w14:paraId="540B0F34" w14:textId="77777777" w:rsidR="00350361" w:rsidRDefault="00350361" w:rsidP="00350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81652"/>
    <w:multiLevelType w:val="hybridMultilevel"/>
    <w:tmpl w:val="BA2E26D8"/>
    <w:lvl w:ilvl="0" w:tplc="66F2D9DE">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04"/>
    <w:rsid w:val="00040997"/>
    <w:rsid w:val="00173122"/>
    <w:rsid w:val="001D5C0B"/>
    <w:rsid w:val="002561D9"/>
    <w:rsid w:val="002A0250"/>
    <w:rsid w:val="002A07A0"/>
    <w:rsid w:val="002B78F3"/>
    <w:rsid w:val="002F7098"/>
    <w:rsid w:val="00350361"/>
    <w:rsid w:val="00441D59"/>
    <w:rsid w:val="00452B67"/>
    <w:rsid w:val="004D1D45"/>
    <w:rsid w:val="00591C31"/>
    <w:rsid w:val="00685012"/>
    <w:rsid w:val="007D5A1C"/>
    <w:rsid w:val="00884684"/>
    <w:rsid w:val="008A3A83"/>
    <w:rsid w:val="008E2740"/>
    <w:rsid w:val="00AF1EF6"/>
    <w:rsid w:val="00AF67F5"/>
    <w:rsid w:val="00B9606D"/>
    <w:rsid w:val="00CA54B1"/>
    <w:rsid w:val="00CB1046"/>
    <w:rsid w:val="00CD680F"/>
    <w:rsid w:val="00D0568A"/>
    <w:rsid w:val="00D40C62"/>
    <w:rsid w:val="00F24304"/>
    <w:rsid w:val="00F70853"/>
    <w:rsid w:val="00F75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26061"/>
  <w15:chartTrackingRefBased/>
  <w15:docId w15:val="{FBC8EE3D-958A-4CD6-AB42-3E390582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7098"/>
    <w:pPr>
      <w:ind w:firstLineChars="200" w:firstLine="420"/>
    </w:pPr>
  </w:style>
  <w:style w:type="paragraph" w:styleId="a4">
    <w:name w:val="header"/>
    <w:basedOn w:val="a"/>
    <w:link w:val="a5"/>
    <w:uiPriority w:val="99"/>
    <w:unhideWhenUsed/>
    <w:rsid w:val="003503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0361"/>
    <w:rPr>
      <w:sz w:val="18"/>
      <w:szCs w:val="18"/>
      <w:lang w:val="en-GB"/>
    </w:rPr>
  </w:style>
  <w:style w:type="paragraph" w:styleId="a6">
    <w:name w:val="footer"/>
    <w:basedOn w:val="a"/>
    <w:link w:val="a7"/>
    <w:uiPriority w:val="99"/>
    <w:unhideWhenUsed/>
    <w:rsid w:val="00350361"/>
    <w:pPr>
      <w:tabs>
        <w:tab w:val="center" w:pos="4153"/>
        <w:tab w:val="right" w:pos="8306"/>
      </w:tabs>
      <w:snapToGrid w:val="0"/>
      <w:jc w:val="left"/>
    </w:pPr>
    <w:rPr>
      <w:sz w:val="18"/>
      <w:szCs w:val="18"/>
    </w:rPr>
  </w:style>
  <w:style w:type="character" w:customStyle="1" w:styleId="a7">
    <w:name w:val="页脚 字符"/>
    <w:basedOn w:val="a0"/>
    <w:link w:val="a6"/>
    <w:uiPriority w:val="99"/>
    <w:rsid w:val="00350361"/>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Luqi</dc:creator>
  <cp:keywords/>
  <dc:description/>
  <cp:lastModifiedBy>Wang Luqi</cp:lastModifiedBy>
  <cp:revision>10</cp:revision>
  <dcterms:created xsi:type="dcterms:W3CDTF">2021-11-18T12:10:00Z</dcterms:created>
  <dcterms:modified xsi:type="dcterms:W3CDTF">2021-11-25T12:46:00Z</dcterms:modified>
</cp:coreProperties>
</file>