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E3A8A"/>
          <w:sz w:val="44"/>
        </w:rPr>
        <w:t>FLOODWAY 2.0: AI-DRIVEN HYPERLOCAL FLOOD PREPAREDNESS &amp; SAFE EVACUATION SYSTEM</w:t>
      </w:r>
    </w:p>
    <w:p>
      <w:pPr>
        <w:spacing w:before="0" w:after="280"/>
      </w:pPr>
      <w:r>
        <w:rPr>
          <w:rFonts w:ascii="Calibri" w:hAnsi="Calibri"/>
          <w:color w:val="4B5563"/>
          <w:sz w:val="26"/>
        </w:rPr>
        <w:t>Comprehensive Technical Project Submission &amp; System Architecture Specification</w:t>
      </w:r>
    </w:p>
    <w:tbl>
      <w:tblPr>
        <w:tblW w:type="auto" w:w="0"/>
        <w:tblLayout w:type="fixed"/>
        <w:tblLook w:firstColumn="1" w:firstRow="1" w:lastColumn="0" w:lastRow="0" w:noHBand="0" w:noVBand="1" w:val="04A0"/>
        <w:tblBorders>
          <w:top w:val="single" w:sz="6" w:space="0" w:color="E5E7EB"/>
          <w:bottom w:val="single" w:sz="8" w:space="0" w:color="E5E7EB"/>
          <w:left w:val="none"/>
          <w:right w:val="none"/>
          <w:insideH w:val="single" w:sz="4" w:space="0" w:color="E5E7EB"/>
          <w:insideV w:val="none"/>
        </w:tblBorders>
      </w:tblPr>
      <w:tblGrid>
        <w:gridCol w:w="4680"/>
        <w:gridCol w:w="4680"/>
      </w:tblGrid>
      <w:tr>
        <w:tc>
          <w:tcPr>
            <w:tcW w:type="dxa" w:w="3312"/>
            <w:tcMar>
              <w:top w:w="60" w:type="dxa"/>
              <w:bottom w:w="60" w:type="dxa"/>
              <w:left w:w="80" w:type="dxa"/>
              <w:right w:w="80" w:type="dxa"/>
            </w:tcMar>
          </w:tcPr>
          <w:p>
            <w:pPr>
              <w:spacing w:after="20"/>
            </w:pPr>
            <w:r>
              <w:rPr>
                <w:b/>
                <w:color w:val="1E3A8A"/>
                <w:sz w:val="19"/>
              </w:rPr>
              <w:t>Author &amp; Developer:</w:t>
            </w:r>
          </w:p>
        </w:tc>
        <w:tc>
          <w:tcPr>
            <w:tcW w:type="dxa" w:w="6048"/>
            <w:tcMar>
              <w:top w:w="60" w:type="dxa"/>
              <w:bottom w:w="60" w:type="dxa"/>
              <w:left w:w="80" w:type="dxa"/>
              <w:right w:w="80" w:type="dxa"/>
            </w:tcMar>
          </w:tcPr>
          <w:p>
            <w:pPr>
              <w:spacing w:after="20"/>
            </w:pPr>
            <w:r>
              <w:rPr>
                <w:color w:val="1F2937"/>
                <w:sz w:val="19"/>
              </w:rPr>
              <w:t>Luqman Nurhakim Rosli</w:t>
            </w:r>
          </w:p>
        </w:tc>
      </w:tr>
      <w:tr>
        <w:tc>
          <w:tcPr>
            <w:tcW w:type="dxa" w:w="3312"/>
            <w:tcMar>
              <w:top w:w="60" w:type="dxa"/>
              <w:bottom w:w="60" w:type="dxa"/>
              <w:left w:w="80" w:type="dxa"/>
              <w:right w:w="80" w:type="dxa"/>
            </w:tcMar>
          </w:tcPr>
          <w:p>
            <w:pPr>
              <w:spacing w:after="20"/>
            </w:pPr>
            <w:r>
              <w:rPr>
                <w:b/>
                <w:color w:val="1E3A8A"/>
                <w:sz w:val="19"/>
              </w:rPr>
              <w:t>Project Classification:</w:t>
            </w:r>
          </w:p>
        </w:tc>
        <w:tc>
          <w:tcPr>
            <w:tcW w:type="dxa" w:w="6048"/>
            <w:tcMar>
              <w:top w:w="60" w:type="dxa"/>
              <w:bottom w:w="60" w:type="dxa"/>
              <w:left w:w="80" w:type="dxa"/>
              <w:right w:w="80" w:type="dxa"/>
            </w:tcMar>
          </w:tcPr>
          <w:p>
            <w:pPr>
              <w:spacing w:after="20"/>
            </w:pPr>
            <w:r>
              <w:rPr>
                <w:color w:val="1F2937"/>
                <w:sz w:val="19"/>
              </w:rPr>
              <w:t>Final Year Project (FYP) &amp; Huawei ICT Innovation Submission</w:t>
            </w:r>
          </w:p>
        </w:tc>
      </w:tr>
      <w:tr>
        <w:tc>
          <w:tcPr>
            <w:tcW w:type="dxa" w:w="3312"/>
            <w:tcMar>
              <w:top w:w="60" w:type="dxa"/>
              <w:bottom w:w="60" w:type="dxa"/>
              <w:left w:w="80" w:type="dxa"/>
              <w:right w:w="80" w:type="dxa"/>
            </w:tcMar>
          </w:tcPr>
          <w:p>
            <w:pPr>
              <w:spacing w:after="20"/>
            </w:pPr>
            <w:r>
              <w:rPr>
                <w:b/>
                <w:color w:val="1E3A8A"/>
                <w:sz w:val="19"/>
              </w:rPr>
              <w:t>Target Geographical Scope:</w:t>
            </w:r>
          </w:p>
        </w:tc>
        <w:tc>
          <w:tcPr>
            <w:tcW w:type="dxa" w:w="6048"/>
            <w:tcMar>
              <w:top w:w="60" w:type="dxa"/>
              <w:bottom w:w="60" w:type="dxa"/>
              <w:left w:w="80" w:type="dxa"/>
              <w:right w:w="80" w:type="dxa"/>
            </w:tcMar>
          </w:tcPr>
          <w:p>
            <w:pPr>
              <w:spacing w:after="20"/>
            </w:pPr>
            <w:r>
              <w:rPr>
                <w:color w:val="1F2937"/>
                <w:sz w:val="19"/>
              </w:rPr>
              <w:t>Kuala Lumpur, Wilayah Persekutuan &amp; Klang Valley Basin, Malaysia</w:t>
            </w:r>
          </w:p>
        </w:tc>
      </w:tr>
      <w:tr>
        <w:tc>
          <w:tcPr>
            <w:tcW w:type="dxa" w:w="3312"/>
            <w:tcMar>
              <w:top w:w="60" w:type="dxa"/>
              <w:bottom w:w="60" w:type="dxa"/>
              <w:left w:w="80" w:type="dxa"/>
              <w:right w:w="80" w:type="dxa"/>
            </w:tcMar>
          </w:tcPr>
          <w:p>
            <w:pPr>
              <w:spacing w:after="20"/>
            </w:pPr>
            <w:r>
              <w:rPr>
                <w:b/>
                <w:color w:val="1E3A8A"/>
                <w:sz w:val="19"/>
              </w:rPr>
              <w:t>Key Architectural Focus:</w:t>
            </w:r>
          </w:p>
        </w:tc>
        <w:tc>
          <w:tcPr>
            <w:tcW w:type="dxa" w:w="6048"/>
            <w:tcMar>
              <w:top w:w="60" w:type="dxa"/>
              <w:bottom w:w="60" w:type="dxa"/>
              <w:left w:w="80" w:type="dxa"/>
              <w:right w:w="80" w:type="dxa"/>
            </w:tcMar>
          </w:tcPr>
          <w:p>
            <w:pPr>
              <w:spacing w:after="20"/>
            </w:pPr>
            <w:r>
              <w:rPr>
                <w:color w:val="1F2937"/>
                <w:sz w:val="19"/>
              </w:rPr>
              <w:t>Edge IoT Telemetry, Foundation Geospatial ML, Risk-Aware OSRM &amp; 3D Digital Twin</w:t>
            </w:r>
          </w:p>
        </w:tc>
      </w:tr>
    </w:tbl>
    <w:p>
      <w:pPr>
        <w:spacing w:after="16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Calibri" w:hAnsi="Calibri"/>
                <w:b/>
                <w:color w:val="1E3A8A"/>
                <w:sz w:val="19"/>
              </w:rPr>
              <w:t xml:space="preserve">EXECUTIVE SYSTEM SUMMARY: </w:t>
            </w:r>
            <w:r>
              <w:rPr>
                <w:rFonts w:ascii="Calibri" w:hAnsi="Calibri"/>
                <w:color w:val="1F2937"/>
                <w:sz w:val="19"/>
              </w:rPr>
              <w:t>FloodWay 2.0 is an end-to-end cyber-physical disaster intelligence platform engineered to eliminate flash flood fatalities and vehicular entrapment across urban Malaysia. By bridging edge ultrasonic telemetry (ESP32), satellite foundation vision models (Prithvi-100M/Siamese U-Net on Huawei ModelArts), hydrodynamic OSRM routing, and a 3D WebGL Digital Twin, FloodWay transforms passive post-disaster response into an actionable, proactive survival utility.</w:t>
            </w:r>
          </w:p>
        </w:tc>
      </w:tr>
    </w:tbl>
    <w:p>
      <w:pPr>
        <w:spacing w:after="40"/>
      </w:pPr>
    </w:p>
    <w:p>
      <w:pPr>
        <w:keepNext/>
        <w:spacing w:before="320" w:after="120"/>
      </w:pPr>
      <w:r>
        <w:rPr>
          <w:rFonts w:ascii="Calibri" w:hAnsi="Calibri"/>
          <w:b/>
          <w:color w:val="1E3A8A"/>
          <w:sz w:val="32"/>
        </w:rPr>
        <w:t>Table of Contents</w:t>
      </w:r>
    </w:p>
    <w:tbl>
      <w:tblPr>
        <w:tblW w:type="auto" w:w="0"/>
        <w:tblLayout w:type="fixed"/>
        <w:tblLook w:firstColumn="1" w:firstRow="1" w:lastColumn="0" w:lastRow="0" w:noHBand="0" w:noVBand="1" w:val="04A0"/>
        <w:tblBorders>
          <w:top w:val="single" w:sz="6" w:space="0" w:color="F3F4F6"/>
          <w:bottom w:val="single" w:sz="8" w:space="0" w:color="F3F4F6"/>
          <w:left w:val="none"/>
          <w:right w:val="none"/>
          <w:insideH w:val="single" w:sz="4" w:space="0" w:color="F3F4F6"/>
          <w:insideV w:val="none"/>
        </w:tblBorders>
      </w:tblPr>
      <w:tblGrid>
        <w:gridCol w:w="4680"/>
        <w:gridCol w:w="4680"/>
      </w:tblGrid>
      <w:tr>
        <w:tc>
          <w:tcPr>
            <w:tcW w:type="dxa" w:w="8352"/>
            <w:tcMar>
              <w:top w:w="20" w:type="dxa"/>
              <w:bottom w:w="20" w:type="dxa"/>
              <w:left w:w="40" w:type="dxa"/>
              <w:right w:w="40" w:type="dxa"/>
            </w:tcMar>
          </w:tcPr>
          <w:p>
            <w:pPr>
              <w:spacing w:after="20"/>
            </w:pPr>
            <w:r>
              <w:rPr>
                <w:rFonts w:ascii="Calibri" w:hAnsi="Calibri"/>
                <w:b/>
                <w:color w:val="1E3A8A"/>
                <w:sz w:val="19"/>
              </w:rPr>
              <w:t>1. Introduction</w:t>
            </w:r>
          </w:p>
        </w:tc>
        <w:tc>
          <w:tcPr>
            <w:tcW w:type="dxa" w:w="1008"/>
            <w:tcMar>
              <w:top w:w="20" w:type="dxa"/>
              <w:bottom w:w="20" w:type="dxa"/>
              <w:left w:w="40" w:type="dxa"/>
              <w:right w:w="40" w:type="dxa"/>
            </w:tcMar>
          </w:tcPr>
          <w:p>
            <w:pPr>
              <w:spacing w:after="20"/>
              <w:jc w:val="right"/>
            </w:pPr>
            <w:r>
              <w:rPr>
                <w:rFonts w:ascii="Calibri" w:hAnsi="Calibri"/>
                <w:color w:val="4B5563"/>
                <w:sz w:val="19"/>
              </w:rPr>
              <w:t>2</w:t>
            </w:r>
          </w:p>
        </w:tc>
      </w:tr>
      <w:tr>
        <w:tc>
          <w:tcPr>
            <w:tcW w:type="dxa" w:w="8352"/>
            <w:tcMar>
              <w:top w:w="20" w:type="dxa"/>
              <w:bottom w:w="20" w:type="dxa"/>
              <w:left w:w="40" w:type="dxa"/>
              <w:right w:w="40" w:type="dxa"/>
            </w:tcMar>
          </w:tcPr>
          <w:p>
            <w:pPr>
              <w:spacing w:after="20"/>
            </w:pPr>
            <w:r>
              <w:rPr>
                <w:rFonts w:ascii="Calibri" w:hAnsi="Calibri"/>
                <w:b/>
                <w:color w:val="1E3A8A"/>
                <w:sz w:val="19"/>
              </w:rPr>
              <w:t>2. Background of Case Study</w:t>
            </w:r>
          </w:p>
        </w:tc>
        <w:tc>
          <w:tcPr>
            <w:tcW w:type="dxa" w:w="1008"/>
            <w:tcMar>
              <w:top w:w="20" w:type="dxa"/>
              <w:bottom w:w="20" w:type="dxa"/>
              <w:left w:w="40" w:type="dxa"/>
              <w:right w:w="40" w:type="dxa"/>
            </w:tcMar>
          </w:tcPr>
          <w:p>
            <w:pPr>
              <w:spacing w:after="20"/>
              <w:jc w:val="right"/>
            </w:pPr>
            <w:r>
              <w:rPr>
                <w:rFonts w:ascii="Calibri" w:hAnsi="Calibri"/>
                <w:color w:val="4B5563"/>
                <w:sz w:val="19"/>
              </w:rPr>
              <w:t>3</w:t>
            </w:r>
          </w:p>
        </w:tc>
      </w:tr>
      <w:tr>
        <w:tc>
          <w:tcPr>
            <w:tcW w:type="dxa" w:w="8352"/>
            <w:tcMar>
              <w:top w:w="20" w:type="dxa"/>
              <w:bottom w:w="20" w:type="dxa"/>
              <w:left w:w="40" w:type="dxa"/>
              <w:right w:w="40" w:type="dxa"/>
            </w:tcMar>
          </w:tcPr>
          <w:p>
            <w:pPr>
              <w:spacing w:after="20"/>
            </w:pPr>
            <w:r>
              <w:rPr>
                <w:rFonts w:ascii="Calibri" w:hAnsi="Calibri"/>
                <w:b/>
                <w:color w:val="1E3A8A"/>
                <w:sz w:val="19"/>
              </w:rPr>
              <w:t>3. Chosen Sustainable Development Goal (SDG)</w:t>
            </w:r>
          </w:p>
        </w:tc>
        <w:tc>
          <w:tcPr>
            <w:tcW w:type="dxa" w:w="1008"/>
            <w:tcMar>
              <w:top w:w="20" w:type="dxa"/>
              <w:bottom w:w="20" w:type="dxa"/>
              <w:left w:w="40" w:type="dxa"/>
              <w:right w:w="40" w:type="dxa"/>
            </w:tcMar>
          </w:tcPr>
          <w:p>
            <w:pPr>
              <w:spacing w:after="20"/>
              <w:jc w:val="right"/>
            </w:pPr>
            <w:r>
              <w:rPr>
                <w:rFonts w:ascii="Calibri" w:hAnsi="Calibri"/>
                <w:color w:val="4B5563"/>
                <w:sz w:val="19"/>
              </w:rPr>
              <w:t>4</w:t>
            </w:r>
          </w:p>
        </w:tc>
      </w:tr>
      <w:tr>
        <w:tc>
          <w:tcPr>
            <w:tcW w:type="dxa" w:w="8352"/>
            <w:tcMar>
              <w:top w:w="20" w:type="dxa"/>
              <w:bottom w:w="20" w:type="dxa"/>
              <w:left w:w="40" w:type="dxa"/>
              <w:right w:w="40" w:type="dxa"/>
            </w:tcMar>
          </w:tcPr>
          <w:p>
            <w:pPr>
              <w:spacing w:after="20"/>
            </w:pPr>
            <w:r>
              <w:rPr>
                <w:rFonts w:ascii="Calibri" w:hAnsi="Calibri"/>
                <w:b/>
                <w:color w:val="1E3A8A"/>
                <w:sz w:val="19"/>
              </w:rPr>
              <w:t>4. Problem Statement</w:t>
            </w:r>
          </w:p>
        </w:tc>
        <w:tc>
          <w:tcPr>
            <w:tcW w:type="dxa" w:w="1008"/>
            <w:tcMar>
              <w:top w:w="20" w:type="dxa"/>
              <w:bottom w:w="20" w:type="dxa"/>
              <w:left w:w="40" w:type="dxa"/>
              <w:right w:w="40" w:type="dxa"/>
            </w:tcMar>
          </w:tcPr>
          <w:p>
            <w:pPr>
              <w:spacing w:after="20"/>
              <w:jc w:val="right"/>
            </w:pPr>
            <w:r>
              <w:rPr>
                <w:rFonts w:ascii="Calibri" w:hAnsi="Calibri"/>
                <w:color w:val="4B5563"/>
                <w:sz w:val="19"/>
              </w:rPr>
              <w:t>5</w:t>
            </w:r>
          </w:p>
        </w:tc>
      </w:tr>
      <w:tr>
        <w:tc>
          <w:tcPr>
            <w:tcW w:type="dxa" w:w="8352"/>
            <w:tcMar>
              <w:top w:w="20" w:type="dxa"/>
              <w:bottom w:w="20" w:type="dxa"/>
              <w:left w:w="40" w:type="dxa"/>
              <w:right w:w="40" w:type="dxa"/>
            </w:tcMar>
          </w:tcPr>
          <w:p>
            <w:pPr>
              <w:spacing w:after="20"/>
            </w:pPr>
            <w:r>
              <w:rPr>
                <w:rFonts w:ascii="Calibri" w:hAnsi="Calibri"/>
                <w:b/>
                <w:color w:val="1E3A8A"/>
                <w:sz w:val="19"/>
              </w:rPr>
              <w:t>5. Objectives</w:t>
            </w:r>
          </w:p>
        </w:tc>
        <w:tc>
          <w:tcPr>
            <w:tcW w:type="dxa" w:w="1008"/>
            <w:tcMar>
              <w:top w:w="20" w:type="dxa"/>
              <w:bottom w:w="20" w:type="dxa"/>
              <w:left w:w="40" w:type="dxa"/>
              <w:right w:w="40" w:type="dxa"/>
            </w:tcMar>
          </w:tcPr>
          <w:p>
            <w:pPr>
              <w:spacing w:after="20"/>
              <w:jc w:val="right"/>
            </w:pPr>
            <w:r>
              <w:rPr>
                <w:rFonts w:ascii="Calibri" w:hAnsi="Calibri"/>
                <w:color w:val="4B5563"/>
                <w:sz w:val="19"/>
              </w:rPr>
              <w:t>6</w:t>
            </w:r>
          </w:p>
        </w:tc>
      </w:tr>
      <w:tr>
        <w:tc>
          <w:tcPr>
            <w:tcW w:type="dxa" w:w="8352"/>
            <w:tcMar>
              <w:top w:w="20" w:type="dxa"/>
              <w:bottom w:w="20" w:type="dxa"/>
              <w:left w:w="40" w:type="dxa"/>
              <w:right w:w="40" w:type="dxa"/>
            </w:tcMar>
          </w:tcPr>
          <w:p>
            <w:pPr>
              <w:spacing w:after="20"/>
            </w:pPr>
            <w:r>
              <w:rPr>
                <w:rFonts w:ascii="Calibri" w:hAnsi="Calibri"/>
                <w:b/>
                <w:color w:val="1E3A8A"/>
                <w:sz w:val="19"/>
              </w:rPr>
              <w:t>6. Review of Existing Solutions</w:t>
            </w:r>
          </w:p>
        </w:tc>
        <w:tc>
          <w:tcPr>
            <w:tcW w:type="dxa" w:w="1008"/>
            <w:tcMar>
              <w:top w:w="20" w:type="dxa"/>
              <w:bottom w:w="20" w:type="dxa"/>
              <w:left w:w="40" w:type="dxa"/>
              <w:right w:w="40" w:type="dxa"/>
            </w:tcMar>
          </w:tcPr>
          <w:p>
            <w:pPr>
              <w:spacing w:after="20"/>
              <w:jc w:val="right"/>
            </w:pPr>
            <w:r>
              <w:rPr>
                <w:rFonts w:ascii="Calibri" w:hAnsi="Calibri"/>
                <w:color w:val="4B5563"/>
                <w:sz w:val="19"/>
              </w:rPr>
              <w:t>7</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6.1.1 MyPublicInfoBanjir (JPS)</w:t>
            </w:r>
          </w:p>
        </w:tc>
        <w:tc>
          <w:tcPr>
            <w:tcW w:type="dxa" w:w="1008"/>
            <w:tcMar>
              <w:top w:w="20" w:type="dxa"/>
              <w:bottom w:w="20" w:type="dxa"/>
              <w:left w:w="40" w:type="dxa"/>
              <w:right w:w="40" w:type="dxa"/>
            </w:tcMar>
          </w:tcPr>
          <w:p>
            <w:pPr>
              <w:spacing w:after="20"/>
              <w:jc w:val="right"/>
            </w:pPr>
            <w:r>
              <w:rPr>
                <w:rFonts w:ascii="Calibri" w:hAnsi="Calibri"/>
                <w:color w:val="4B5563"/>
                <w:sz w:val="19"/>
              </w:rPr>
              <w:t>7</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6.1.2 myIBJKM (JKM)</w:t>
            </w:r>
          </w:p>
        </w:tc>
        <w:tc>
          <w:tcPr>
            <w:tcW w:type="dxa" w:w="1008"/>
            <w:tcMar>
              <w:top w:w="20" w:type="dxa"/>
              <w:bottom w:w="20" w:type="dxa"/>
              <w:left w:w="40" w:type="dxa"/>
              <w:right w:w="40" w:type="dxa"/>
            </w:tcMar>
          </w:tcPr>
          <w:p>
            <w:pPr>
              <w:spacing w:after="20"/>
              <w:jc w:val="right"/>
            </w:pPr>
            <w:r>
              <w:rPr>
                <w:rFonts w:ascii="Calibri" w:hAnsi="Calibri"/>
                <w:color w:val="4B5563"/>
                <w:sz w:val="19"/>
              </w:rPr>
              <w:t>7</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6.1.3 Sistem eBencana JKR (JKR)</w:t>
            </w:r>
          </w:p>
        </w:tc>
        <w:tc>
          <w:tcPr>
            <w:tcW w:type="dxa" w:w="1008"/>
            <w:tcMar>
              <w:top w:w="20" w:type="dxa"/>
              <w:bottom w:w="20" w:type="dxa"/>
              <w:left w:w="40" w:type="dxa"/>
              <w:right w:w="40" w:type="dxa"/>
            </w:tcMar>
          </w:tcPr>
          <w:p>
            <w:pPr>
              <w:spacing w:after="20"/>
              <w:jc w:val="right"/>
            </w:pPr>
            <w:r>
              <w:rPr>
                <w:rFonts w:ascii="Calibri" w:hAnsi="Calibri"/>
                <w:color w:val="4B5563"/>
                <w:sz w:val="19"/>
              </w:rPr>
              <w:t>8</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6.2 Identified Gap and Opportunity: FloodWay</w:t>
            </w:r>
          </w:p>
        </w:tc>
        <w:tc>
          <w:tcPr>
            <w:tcW w:type="dxa" w:w="1008"/>
            <w:tcMar>
              <w:top w:w="20" w:type="dxa"/>
              <w:bottom w:w="20" w:type="dxa"/>
              <w:left w:w="40" w:type="dxa"/>
              <w:right w:w="40" w:type="dxa"/>
            </w:tcMar>
          </w:tcPr>
          <w:p>
            <w:pPr>
              <w:spacing w:after="20"/>
              <w:jc w:val="right"/>
            </w:pPr>
            <w:r>
              <w:rPr>
                <w:rFonts w:ascii="Calibri" w:hAnsi="Calibri"/>
                <w:color w:val="4B5563"/>
                <w:sz w:val="19"/>
              </w:rPr>
              <w:t>8</w:t>
            </w:r>
          </w:p>
        </w:tc>
      </w:tr>
      <w:tr>
        <w:tc>
          <w:tcPr>
            <w:tcW w:type="dxa" w:w="8352"/>
            <w:tcMar>
              <w:top w:w="20" w:type="dxa"/>
              <w:bottom w:w="20" w:type="dxa"/>
              <w:left w:w="40" w:type="dxa"/>
              <w:right w:w="40" w:type="dxa"/>
            </w:tcMar>
          </w:tcPr>
          <w:p>
            <w:pPr>
              <w:spacing w:after="20"/>
            </w:pPr>
            <w:r>
              <w:rPr>
                <w:rFonts w:ascii="Calibri" w:hAnsi="Calibri"/>
                <w:b/>
                <w:color w:val="1E3A8A"/>
                <w:sz w:val="19"/>
              </w:rPr>
              <w:t>7. Methodology</w:t>
            </w:r>
          </w:p>
        </w:tc>
        <w:tc>
          <w:tcPr>
            <w:tcW w:type="dxa" w:w="1008"/>
            <w:tcMar>
              <w:top w:w="20" w:type="dxa"/>
              <w:bottom w:w="20" w:type="dxa"/>
              <w:left w:w="40" w:type="dxa"/>
              <w:right w:w="40" w:type="dxa"/>
            </w:tcMar>
          </w:tcPr>
          <w:p>
            <w:pPr>
              <w:spacing w:after="20"/>
              <w:jc w:val="right"/>
            </w:pPr>
            <w:r>
              <w:rPr>
                <w:rFonts w:ascii="Calibri" w:hAnsi="Calibri"/>
                <w:color w:val="4B5563"/>
                <w:sz w:val="19"/>
              </w:rPr>
              <w:t>9</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7.1 Problem Research</w:t>
            </w:r>
          </w:p>
        </w:tc>
        <w:tc>
          <w:tcPr>
            <w:tcW w:type="dxa" w:w="1008"/>
            <w:tcMar>
              <w:top w:w="20" w:type="dxa"/>
              <w:bottom w:w="20" w:type="dxa"/>
              <w:left w:w="40" w:type="dxa"/>
              <w:right w:w="40" w:type="dxa"/>
            </w:tcMar>
          </w:tcPr>
          <w:p>
            <w:pPr>
              <w:spacing w:after="20"/>
              <w:jc w:val="right"/>
            </w:pPr>
            <w:r>
              <w:rPr>
                <w:rFonts w:ascii="Calibri" w:hAnsi="Calibri"/>
                <w:color w:val="4B5563"/>
                <w:sz w:val="19"/>
              </w:rPr>
              <w:t>9</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7.2 System Design</w:t>
            </w:r>
          </w:p>
        </w:tc>
        <w:tc>
          <w:tcPr>
            <w:tcW w:type="dxa" w:w="1008"/>
            <w:tcMar>
              <w:top w:w="20" w:type="dxa"/>
              <w:bottom w:w="20" w:type="dxa"/>
              <w:left w:w="40" w:type="dxa"/>
              <w:right w:w="40" w:type="dxa"/>
            </w:tcMar>
          </w:tcPr>
          <w:p>
            <w:pPr>
              <w:spacing w:after="20"/>
              <w:jc w:val="right"/>
            </w:pPr>
            <w:r>
              <w:rPr>
                <w:rFonts w:ascii="Calibri" w:hAnsi="Calibri"/>
                <w:color w:val="4B5563"/>
                <w:sz w:val="19"/>
              </w:rPr>
              <w:t>9</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7.2.1 Data Flow Pipelines</w:t>
            </w:r>
          </w:p>
        </w:tc>
        <w:tc>
          <w:tcPr>
            <w:tcW w:type="dxa" w:w="1008"/>
            <w:tcMar>
              <w:top w:w="20" w:type="dxa"/>
              <w:bottom w:w="20" w:type="dxa"/>
              <w:left w:w="40" w:type="dxa"/>
              <w:right w:w="40" w:type="dxa"/>
            </w:tcMar>
          </w:tcPr>
          <w:p>
            <w:pPr>
              <w:spacing w:after="20"/>
              <w:jc w:val="right"/>
            </w:pPr>
            <w:r>
              <w:rPr>
                <w:rFonts w:ascii="Calibri" w:hAnsi="Calibri"/>
                <w:color w:val="4B5563"/>
                <w:sz w:val="19"/>
              </w:rPr>
              <w:t>10</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7.2.2 Risk Classification Logic</w:t>
            </w:r>
          </w:p>
        </w:tc>
        <w:tc>
          <w:tcPr>
            <w:tcW w:type="dxa" w:w="1008"/>
            <w:tcMar>
              <w:top w:w="20" w:type="dxa"/>
              <w:bottom w:w="20" w:type="dxa"/>
              <w:left w:w="40" w:type="dxa"/>
              <w:right w:w="40" w:type="dxa"/>
            </w:tcMar>
          </w:tcPr>
          <w:p>
            <w:pPr>
              <w:spacing w:after="20"/>
              <w:jc w:val="right"/>
            </w:pPr>
            <w:r>
              <w:rPr>
                <w:rFonts w:ascii="Calibri" w:hAnsi="Calibri"/>
                <w:color w:val="4B5563"/>
                <w:sz w:val="19"/>
              </w:rPr>
              <w:t>10</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7.2.3 Risk-Aware Routing Mechanism</w:t>
            </w:r>
          </w:p>
        </w:tc>
        <w:tc>
          <w:tcPr>
            <w:tcW w:type="dxa" w:w="1008"/>
            <w:tcMar>
              <w:top w:w="20" w:type="dxa"/>
              <w:bottom w:w="20" w:type="dxa"/>
              <w:left w:w="40" w:type="dxa"/>
              <w:right w:w="40" w:type="dxa"/>
            </w:tcMar>
          </w:tcPr>
          <w:p>
            <w:pPr>
              <w:spacing w:after="20"/>
              <w:jc w:val="right"/>
            </w:pPr>
            <w:r>
              <w:rPr>
                <w:rFonts w:ascii="Calibri" w:hAnsi="Calibri"/>
                <w:color w:val="4B5563"/>
                <w:sz w:val="19"/>
              </w:rPr>
              <w:t>11</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7.3 Prototype Development</w:t>
            </w:r>
          </w:p>
        </w:tc>
        <w:tc>
          <w:tcPr>
            <w:tcW w:type="dxa" w:w="1008"/>
            <w:tcMar>
              <w:top w:w="20" w:type="dxa"/>
              <w:bottom w:w="20" w:type="dxa"/>
              <w:left w:w="40" w:type="dxa"/>
              <w:right w:w="40" w:type="dxa"/>
            </w:tcMar>
          </w:tcPr>
          <w:p>
            <w:pPr>
              <w:spacing w:after="20"/>
              <w:jc w:val="right"/>
            </w:pPr>
            <w:r>
              <w:rPr>
                <w:rFonts w:ascii="Calibri" w:hAnsi="Calibri"/>
                <w:color w:val="4B5563"/>
                <w:sz w:val="19"/>
              </w:rPr>
              <w:t>11</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7.3.1 Frontend Interface Development</w:t>
            </w:r>
          </w:p>
        </w:tc>
        <w:tc>
          <w:tcPr>
            <w:tcW w:type="dxa" w:w="1008"/>
            <w:tcMar>
              <w:top w:w="20" w:type="dxa"/>
              <w:bottom w:w="20" w:type="dxa"/>
              <w:left w:w="40" w:type="dxa"/>
              <w:right w:w="40" w:type="dxa"/>
            </w:tcMar>
          </w:tcPr>
          <w:p>
            <w:pPr>
              <w:spacing w:after="20"/>
              <w:jc w:val="right"/>
            </w:pPr>
            <w:r>
              <w:rPr>
                <w:rFonts w:ascii="Calibri" w:hAnsi="Calibri"/>
                <w:color w:val="4B5563"/>
                <w:sz w:val="19"/>
              </w:rPr>
              <w:t>12</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7.3.2 Routing Algorithm Implementation</w:t>
            </w:r>
          </w:p>
        </w:tc>
        <w:tc>
          <w:tcPr>
            <w:tcW w:type="dxa" w:w="1008"/>
            <w:tcMar>
              <w:top w:w="20" w:type="dxa"/>
              <w:bottom w:w="20" w:type="dxa"/>
              <w:left w:w="40" w:type="dxa"/>
              <w:right w:w="40" w:type="dxa"/>
            </w:tcMar>
          </w:tcPr>
          <w:p>
            <w:pPr>
              <w:spacing w:after="20"/>
              <w:jc w:val="right"/>
            </w:pPr>
            <w:r>
              <w:rPr>
                <w:rFonts w:ascii="Calibri" w:hAnsi="Calibri"/>
                <w:color w:val="4B5563"/>
                <w:sz w:val="19"/>
              </w:rPr>
              <w:t>12</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7.4 AI Integration</w:t>
            </w:r>
          </w:p>
        </w:tc>
        <w:tc>
          <w:tcPr>
            <w:tcW w:type="dxa" w:w="1008"/>
            <w:tcMar>
              <w:top w:w="20" w:type="dxa"/>
              <w:bottom w:w="20" w:type="dxa"/>
              <w:left w:w="40" w:type="dxa"/>
              <w:right w:w="40" w:type="dxa"/>
            </w:tcMar>
          </w:tcPr>
          <w:p>
            <w:pPr>
              <w:spacing w:after="20"/>
              <w:jc w:val="right"/>
            </w:pPr>
            <w:r>
              <w:rPr>
                <w:rFonts w:ascii="Calibri" w:hAnsi="Calibri"/>
                <w:color w:val="4B5563"/>
                <w:sz w:val="19"/>
              </w:rPr>
              <w:t>13</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7.4.1 Flood Prediction Model</w:t>
            </w:r>
          </w:p>
        </w:tc>
        <w:tc>
          <w:tcPr>
            <w:tcW w:type="dxa" w:w="1008"/>
            <w:tcMar>
              <w:top w:w="20" w:type="dxa"/>
              <w:bottom w:w="20" w:type="dxa"/>
              <w:left w:w="40" w:type="dxa"/>
              <w:right w:w="40" w:type="dxa"/>
            </w:tcMar>
          </w:tcPr>
          <w:p>
            <w:pPr>
              <w:spacing w:after="20"/>
              <w:jc w:val="right"/>
            </w:pPr>
            <w:r>
              <w:rPr>
                <w:rFonts w:ascii="Calibri" w:hAnsi="Calibri"/>
                <w:color w:val="4B5563"/>
                <w:sz w:val="19"/>
              </w:rPr>
              <w:t>13</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7.4.2 Computer Vision-Based Verification</w:t>
            </w:r>
          </w:p>
        </w:tc>
        <w:tc>
          <w:tcPr>
            <w:tcW w:type="dxa" w:w="1008"/>
            <w:tcMar>
              <w:top w:w="20" w:type="dxa"/>
              <w:bottom w:w="20" w:type="dxa"/>
              <w:left w:w="40" w:type="dxa"/>
              <w:right w:w="40" w:type="dxa"/>
            </w:tcMar>
          </w:tcPr>
          <w:p>
            <w:pPr>
              <w:spacing w:after="20"/>
              <w:jc w:val="right"/>
            </w:pPr>
            <w:r>
              <w:rPr>
                <w:rFonts w:ascii="Calibri" w:hAnsi="Calibri"/>
                <w:color w:val="4B5563"/>
                <w:sz w:val="19"/>
              </w:rPr>
              <w:t>14</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7.5 Testing and Evaluation</w:t>
            </w:r>
          </w:p>
        </w:tc>
        <w:tc>
          <w:tcPr>
            <w:tcW w:type="dxa" w:w="1008"/>
            <w:tcMar>
              <w:top w:w="20" w:type="dxa"/>
              <w:bottom w:w="20" w:type="dxa"/>
              <w:left w:w="40" w:type="dxa"/>
              <w:right w:w="40" w:type="dxa"/>
            </w:tcMar>
          </w:tcPr>
          <w:p>
            <w:pPr>
              <w:spacing w:after="20"/>
              <w:jc w:val="right"/>
            </w:pPr>
            <w:r>
              <w:rPr>
                <w:rFonts w:ascii="Calibri" w:hAnsi="Calibri"/>
                <w:color w:val="4B5563"/>
                <w:sz w:val="19"/>
              </w:rPr>
              <w:t>14</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7.6 Technology Stack</w:t>
            </w:r>
          </w:p>
        </w:tc>
        <w:tc>
          <w:tcPr>
            <w:tcW w:type="dxa" w:w="1008"/>
            <w:tcMar>
              <w:top w:w="20" w:type="dxa"/>
              <w:bottom w:w="20" w:type="dxa"/>
              <w:left w:w="40" w:type="dxa"/>
              <w:right w:w="40" w:type="dxa"/>
            </w:tcMar>
          </w:tcPr>
          <w:p>
            <w:pPr>
              <w:spacing w:after="20"/>
              <w:jc w:val="right"/>
            </w:pPr>
            <w:r>
              <w:rPr>
                <w:rFonts w:ascii="Calibri" w:hAnsi="Calibri"/>
                <w:color w:val="4B5563"/>
                <w:sz w:val="19"/>
              </w:rPr>
              <w:t>15</w:t>
            </w:r>
          </w:p>
        </w:tc>
      </w:tr>
      <w:tr>
        <w:tc>
          <w:tcPr>
            <w:tcW w:type="dxa" w:w="8352"/>
            <w:tcMar>
              <w:top w:w="20" w:type="dxa"/>
              <w:bottom w:w="20" w:type="dxa"/>
              <w:left w:w="40" w:type="dxa"/>
              <w:right w:w="40" w:type="dxa"/>
            </w:tcMar>
          </w:tcPr>
          <w:p>
            <w:pPr>
              <w:spacing w:after="20"/>
            </w:pPr>
            <w:r>
              <w:rPr>
                <w:rFonts w:ascii="Calibri" w:hAnsi="Calibri"/>
                <w:b/>
                <w:color w:val="1E3A8A"/>
                <w:sz w:val="19"/>
              </w:rPr>
              <w:t>8. AI-Powered System Architecture</w:t>
            </w:r>
          </w:p>
        </w:tc>
        <w:tc>
          <w:tcPr>
            <w:tcW w:type="dxa" w:w="1008"/>
            <w:tcMar>
              <w:top w:w="20" w:type="dxa"/>
              <w:bottom w:w="20" w:type="dxa"/>
              <w:left w:w="40" w:type="dxa"/>
              <w:right w:w="40" w:type="dxa"/>
            </w:tcMar>
          </w:tcPr>
          <w:p>
            <w:pPr>
              <w:spacing w:after="20"/>
              <w:jc w:val="right"/>
            </w:pPr>
            <w:r>
              <w:rPr>
                <w:rFonts w:ascii="Calibri" w:hAnsi="Calibri"/>
                <w:color w:val="4B5563"/>
                <w:sz w:val="19"/>
              </w:rPr>
              <w:t>16</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8.1 User Interface (Frontend)</w:t>
            </w:r>
          </w:p>
        </w:tc>
        <w:tc>
          <w:tcPr>
            <w:tcW w:type="dxa" w:w="1008"/>
            <w:tcMar>
              <w:top w:w="20" w:type="dxa"/>
              <w:bottom w:w="20" w:type="dxa"/>
              <w:left w:w="40" w:type="dxa"/>
              <w:right w:w="40" w:type="dxa"/>
            </w:tcMar>
          </w:tcPr>
          <w:p>
            <w:pPr>
              <w:spacing w:after="20"/>
              <w:jc w:val="right"/>
            </w:pPr>
            <w:r>
              <w:rPr>
                <w:rFonts w:ascii="Calibri" w:hAnsi="Calibri"/>
                <w:color w:val="4B5563"/>
                <w:sz w:val="19"/>
              </w:rPr>
              <w:t>16</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8.2 Core Servers &amp; Databases (Backend)</w:t>
            </w:r>
          </w:p>
        </w:tc>
        <w:tc>
          <w:tcPr>
            <w:tcW w:type="dxa" w:w="1008"/>
            <w:tcMar>
              <w:top w:w="20" w:type="dxa"/>
              <w:bottom w:w="20" w:type="dxa"/>
              <w:left w:w="40" w:type="dxa"/>
              <w:right w:w="40" w:type="dxa"/>
            </w:tcMar>
          </w:tcPr>
          <w:p>
            <w:pPr>
              <w:spacing w:after="20"/>
              <w:jc w:val="right"/>
            </w:pPr>
            <w:r>
              <w:rPr>
                <w:rFonts w:ascii="Calibri" w:hAnsi="Calibri"/>
                <w:color w:val="4B5563"/>
                <w:sz w:val="19"/>
              </w:rPr>
              <w:t>16</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8.3 Artificial Intelligence (AI) Layer</w:t>
            </w:r>
          </w:p>
        </w:tc>
        <w:tc>
          <w:tcPr>
            <w:tcW w:type="dxa" w:w="1008"/>
            <w:tcMar>
              <w:top w:w="20" w:type="dxa"/>
              <w:bottom w:w="20" w:type="dxa"/>
              <w:left w:w="40" w:type="dxa"/>
              <w:right w:w="40" w:type="dxa"/>
            </w:tcMar>
          </w:tcPr>
          <w:p>
            <w:pPr>
              <w:spacing w:after="20"/>
              <w:jc w:val="right"/>
            </w:pPr>
            <w:r>
              <w:rPr>
                <w:rFonts w:ascii="Calibri" w:hAnsi="Calibri"/>
                <w:color w:val="4B5563"/>
                <w:sz w:val="19"/>
              </w:rPr>
              <w:t>17</w:t>
            </w:r>
          </w:p>
        </w:tc>
      </w:tr>
      <w:tr>
        <w:tc>
          <w:tcPr>
            <w:tcW w:type="dxa" w:w="8352"/>
            <w:tcMar>
              <w:top w:w="20" w:type="dxa"/>
              <w:bottom w:w="20" w:type="dxa"/>
              <w:left w:w="40" w:type="dxa"/>
              <w:right w:w="40" w:type="dxa"/>
            </w:tcMar>
          </w:tcPr>
          <w:p>
            <w:pPr>
              <w:spacing w:after="20"/>
            </w:pPr>
            <w:r>
              <w:rPr>
                <w:rFonts w:ascii="Calibri" w:hAnsi="Calibri"/>
                <w:color w:val="1F2937"/>
                <w:sz w:val="19"/>
              </w:rPr>
              <w:t xml:space="preserve">   8.4 Visual Outputs</w:t>
            </w:r>
          </w:p>
        </w:tc>
        <w:tc>
          <w:tcPr>
            <w:tcW w:type="dxa" w:w="1008"/>
            <w:tcMar>
              <w:top w:w="20" w:type="dxa"/>
              <w:bottom w:w="20" w:type="dxa"/>
              <w:left w:w="40" w:type="dxa"/>
              <w:right w:w="40" w:type="dxa"/>
            </w:tcMar>
          </w:tcPr>
          <w:p>
            <w:pPr>
              <w:spacing w:after="20"/>
              <w:jc w:val="right"/>
            </w:pPr>
            <w:r>
              <w:rPr>
                <w:rFonts w:ascii="Calibri" w:hAnsi="Calibri"/>
                <w:color w:val="4B5563"/>
                <w:sz w:val="19"/>
              </w:rPr>
              <w:t>17</w:t>
            </w:r>
          </w:p>
        </w:tc>
      </w:tr>
      <w:tr>
        <w:tc>
          <w:tcPr>
            <w:tcW w:type="dxa" w:w="8352"/>
            <w:tcMar>
              <w:top w:w="20" w:type="dxa"/>
              <w:bottom w:w="20" w:type="dxa"/>
              <w:left w:w="40" w:type="dxa"/>
              <w:right w:w="40" w:type="dxa"/>
            </w:tcMar>
          </w:tcPr>
          <w:p>
            <w:pPr>
              <w:spacing w:after="20"/>
            </w:pPr>
            <w:r>
              <w:rPr>
                <w:rFonts w:ascii="Calibri" w:hAnsi="Calibri"/>
                <w:b/>
                <w:color w:val="1E3A8A"/>
                <w:sz w:val="19"/>
              </w:rPr>
              <w:t>9. Results</w:t>
            </w:r>
          </w:p>
        </w:tc>
        <w:tc>
          <w:tcPr>
            <w:tcW w:type="dxa" w:w="1008"/>
            <w:tcMar>
              <w:top w:w="20" w:type="dxa"/>
              <w:bottom w:w="20" w:type="dxa"/>
              <w:left w:w="40" w:type="dxa"/>
              <w:right w:w="40" w:type="dxa"/>
            </w:tcMar>
          </w:tcPr>
          <w:p>
            <w:pPr>
              <w:spacing w:after="20"/>
              <w:jc w:val="right"/>
            </w:pPr>
            <w:r>
              <w:rPr>
                <w:rFonts w:ascii="Calibri" w:hAnsi="Calibri"/>
                <w:color w:val="4B5563"/>
                <w:sz w:val="19"/>
              </w:rPr>
              <w:t>18</w:t>
            </w:r>
          </w:p>
        </w:tc>
      </w:tr>
      <w:tr>
        <w:tc>
          <w:tcPr>
            <w:tcW w:type="dxa" w:w="8352"/>
            <w:tcMar>
              <w:top w:w="20" w:type="dxa"/>
              <w:bottom w:w="20" w:type="dxa"/>
              <w:left w:w="40" w:type="dxa"/>
              <w:right w:w="40" w:type="dxa"/>
            </w:tcMar>
          </w:tcPr>
          <w:p>
            <w:pPr>
              <w:spacing w:after="20"/>
            </w:pPr>
            <w:r>
              <w:rPr>
                <w:rFonts w:ascii="Calibri" w:hAnsi="Calibri"/>
                <w:b/>
                <w:color w:val="1E3A8A"/>
                <w:sz w:val="19"/>
              </w:rPr>
              <w:t>10. Prototype Showcase</w:t>
            </w:r>
          </w:p>
        </w:tc>
        <w:tc>
          <w:tcPr>
            <w:tcW w:type="dxa" w:w="1008"/>
            <w:tcMar>
              <w:top w:w="20" w:type="dxa"/>
              <w:bottom w:w="20" w:type="dxa"/>
              <w:left w:w="40" w:type="dxa"/>
              <w:right w:w="40" w:type="dxa"/>
            </w:tcMar>
          </w:tcPr>
          <w:p>
            <w:pPr>
              <w:spacing w:after="20"/>
              <w:jc w:val="right"/>
            </w:pPr>
            <w:r>
              <w:rPr>
                <w:rFonts w:ascii="Calibri" w:hAnsi="Calibri"/>
                <w:color w:val="4B5563"/>
                <w:sz w:val="19"/>
              </w:rPr>
              <w:t>19</w:t>
            </w:r>
          </w:p>
        </w:tc>
      </w:tr>
      <w:tr>
        <w:tc>
          <w:tcPr>
            <w:tcW w:type="dxa" w:w="8352"/>
            <w:tcMar>
              <w:top w:w="20" w:type="dxa"/>
              <w:bottom w:w="20" w:type="dxa"/>
              <w:left w:w="40" w:type="dxa"/>
              <w:right w:w="40" w:type="dxa"/>
            </w:tcMar>
          </w:tcPr>
          <w:p>
            <w:pPr>
              <w:spacing w:after="20"/>
            </w:pPr>
            <w:r>
              <w:rPr>
                <w:rFonts w:ascii="Calibri" w:hAnsi="Calibri"/>
                <w:b/>
                <w:color w:val="1E3A8A"/>
                <w:sz w:val="19"/>
              </w:rPr>
              <w:t>11. Impact &amp; Commercialization (Before-vs.-After)</w:t>
            </w:r>
          </w:p>
        </w:tc>
        <w:tc>
          <w:tcPr>
            <w:tcW w:type="dxa" w:w="1008"/>
            <w:tcMar>
              <w:top w:w="20" w:type="dxa"/>
              <w:bottom w:w="20" w:type="dxa"/>
              <w:left w:w="40" w:type="dxa"/>
              <w:right w:w="40" w:type="dxa"/>
            </w:tcMar>
          </w:tcPr>
          <w:p>
            <w:pPr>
              <w:spacing w:after="20"/>
              <w:jc w:val="right"/>
            </w:pPr>
            <w:r>
              <w:rPr>
                <w:rFonts w:ascii="Calibri" w:hAnsi="Calibri"/>
                <w:color w:val="4B5563"/>
                <w:sz w:val="19"/>
              </w:rPr>
              <w:t>20</w:t>
            </w:r>
          </w:p>
        </w:tc>
      </w:tr>
      <w:tr>
        <w:tc>
          <w:tcPr>
            <w:tcW w:type="dxa" w:w="8352"/>
            <w:tcMar>
              <w:top w:w="20" w:type="dxa"/>
              <w:bottom w:w="20" w:type="dxa"/>
              <w:left w:w="40" w:type="dxa"/>
              <w:right w:w="40" w:type="dxa"/>
            </w:tcMar>
          </w:tcPr>
          <w:p>
            <w:pPr>
              <w:spacing w:after="20"/>
            </w:pPr>
            <w:r>
              <w:rPr>
                <w:rFonts w:ascii="Calibri" w:hAnsi="Calibri"/>
                <w:b/>
                <w:color w:val="1E3A8A"/>
                <w:sz w:val="19"/>
              </w:rPr>
              <w:t>12. AI Acknowledgement</w:t>
            </w:r>
          </w:p>
        </w:tc>
        <w:tc>
          <w:tcPr>
            <w:tcW w:type="dxa" w:w="1008"/>
            <w:tcMar>
              <w:top w:w="20" w:type="dxa"/>
              <w:bottom w:w="20" w:type="dxa"/>
              <w:left w:w="40" w:type="dxa"/>
              <w:right w:w="40" w:type="dxa"/>
            </w:tcMar>
          </w:tcPr>
          <w:p>
            <w:pPr>
              <w:spacing w:after="20"/>
              <w:jc w:val="right"/>
            </w:pPr>
            <w:r>
              <w:rPr>
                <w:rFonts w:ascii="Calibri" w:hAnsi="Calibri"/>
                <w:color w:val="4B5563"/>
                <w:sz w:val="19"/>
              </w:rPr>
              <w:t>21</w:t>
            </w:r>
          </w:p>
        </w:tc>
      </w:tr>
      <w:tr>
        <w:tc>
          <w:tcPr>
            <w:tcW w:type="dxa" w:w="8352"/>
            <w:tcMar>
              <w:top w:w="20" w:type="dxa"/>
              <w:bottom w:w="20" w:type="dxa"/>
              <w:left w:w="40" w:type="dxa"/>
              <w:right w:w="40" w:type="dxa"/>
            </w:tcMar>
          </w:tcPr>
          <w:p>
            <w:pPr>
              <w:spacing w:after="20"/>
            </w:pPr>
            <w:r>
              <w:rPr>
                <w:rFonts w:ascii="Calibri" w:hAnsi="Calibri"/>
                <w:b/>
                <w:color w:val="1E3A8A"/>
                <w:sz w:val="19"/>
              </w:rPr>
              <w:t>13. Conclusion</w:t>
            </w:r>
          </w:p>
        </w:tc>
        <w:tc>
          <w:tcPr>
            <w:tcW w:type="dxa" w:w="1008"/>
            <w:tcMar>
              <w:top w:w="20" w:type="dxa"/>
              <w:bottom w:w="20" w:type="dxa"/>
              <w:left w:w="40" w:type="dxa"/>
              <w:right w:w="40" w:type="dxa"/>
            </w:tcMar>
          </w:tcPr>
          <w:p>
            <w:pPr>
              <w:spacing w:after="20"/>
              <w:jc w:val="right"/>
            </w:pPr>
            <w:r>
              <w:rPr>
                <w:rFonts w:ascii="Calibri" w:hAnsi="Calibri"/>
                <w:color w:val="4B5563"/>
                <w:sz w:val="19"/>
              </w:rPr>
              <w:t>22</w:t>
            </w:r>
          </w:p>
        </w:tc>
      </w:tr>
      <w:tr>
        <w:tc>
          <w:tcPr>
            <w:tcW w:type="dxa" w:w="8352"/>
            <w:tcMar>
              <w:top w:w="20" w:type="dxa"/>
              <w:bottom w:w="20" w:type="dxa"/>
              <w:left w:w="40" w:type="dxa"/>
              <w:right w:w="40" w:type="dxa"/>
            </w:tcMar>
          </w:tcPr>
          <w:p>
            <w:pPr>
              <w:spacing w:after="20"/>
            </w:pPr>
            <w:r>
              <w:rPr>
                <w:rFonts w:ascii="Calibri" w:hAnsi="Calibri"/>
                <w:b/>
                <w:color w:val="1E3A8A"/>
                <w:sz w:val="19"/>
              </w:rPr>
              <w:t>14. Future Improvements</w:t>
            </w:r>
          </w:p>
        </w:tc>
        <w:tc>
          <w:tcPr>
            <w:tcW w:type="dxa" w:w="1008"/>
            <w:tcMar>
              <w:top w:w="20" w:type="dxa"/>
              <w:bottom w:w="20" w:type="dxa"/>
              <w:left w:w="40" w:type="dxa"/>
              <w:right w:w="40" w:type="dxa"/>
            </w:tcMar>
          </w:tcPr>
          <w:p>
            <w:pPr>
              <w:spacing w:after="20"/>
              <w:jc w:val="right"/>
            </w:pPr>
            <w:r>
              <w:rPr>
                <w:rFonts w:ascii="Calibri" w:hAnsi="Calibri"/>
                <w:color w:val="4B5563"/>
                <w:sz w:val="19"/>
              </w:rPr>
              <w:t>22</w:t>
            </w:r>
          </w:p>
        </w:tc>
      </w:tr>
      <w:tr>
        <w:tc>
          <w:tcPr>
            <w:tcW w:type="dxa" w:w="8352"/>
            <w:tcMar>
              <w:top w:w="20" w:type="dxa"/>
              <w:bottom w:w="20" w:type="dxa"/>
              <w:left w:w="40" w:type="dxa"/>
              <w:right w:w="40" w:type="dxa"/>
            </w:tcMar>
          </w:tcPr>
          <w:p>
            <w:pPr>
              <w:spacing w:after="20"/>
            </w:pPr>
            <w:r>
              <w:rPr>
                <w:rFonts w:ascii="Calibri" w:hAnsi="Calibri"/>
                <w:b/>
                <w:color w:val="1E3A8A"/>
                <w:sz w:val="19"/>
              </w:rPr>
              <w:t>15. References</w:t>
            </w:r>
          </w:p>
        </w:tc>
        <w:tc>
          <w:tcPr>
            <w:tcW w:type="dxa" w:w="1008"/>
            <w:tcMar>
              <w:top w:w="20" w:type="dxa"/>
              <w:bottom w:w="20" w:type="dxa"/>
              <w:left w:w="40" w:type="dxa"/>
              <w:right w:w="40" w:type="dxa"/>
            </w:tcMar>
          </w:tcPr>
          <w:p>
            <w:pPr>
              <w:spacing w:after="20"/>
              <w:jc w:val="right"/>
            </w:pPr>
            <w:r>
              <w:rPr>
                <w:rFonts w:ascii="Calibri" w:hAnsi="Calibri"/>
                <w:color w:val="4B5563"/>
                <w:sz w:val="19"/>
              </w:rPr>
              <w:t>23</w:t>
            </w:r>
          </w:p>
        </w:tc>
      </w:tr>
    </w:tbl>
    <w:p>
      <w:r>
        <w:br w:type="page"/>
      </w:r>
    </w:p>
    <w:p>
      <w:pPr>
        <w:keepNext/>
        <w:spacing w:before="320" w:after="120"/>
      </w:pPr>
      <w:r>
        <w:rPr>
          <w:rFonts w:ascii="Calibri" w:hAnsi="Calibri"/>
          <w:b/>
          <w:color w:val="1E3A8A"/>
          <w:sz w:val="32"/>
        </w:rPr>
        <w:t>1. Introduction</w:t>
      </w:r>
    </w:p>
    <w:p>
      <w:pPr>
        <w:spacing w:before="0" w:after="100" w:line="276" w:lineRule="auto"/>
      </w:pPr>
      <w:r>
        <w:rPr>
          <w:rFonts w:ascii="Calibri" w:hAnsi="Calibri"/>
          <w:i w:val="0"/>
          <w:color w:val="1F2937"/>
          <w:sz w:val="20"/>
        </w:rPr>
        <w:t>Malaysia is subjected to severe recurrent flooding driven by tropical monsoons, intense convective thunderstorms, and rapid urbanization. Flash floods in urban agglomerations, specifically the Klang Valley and Kuala Lumpur, represent one of the nation's most destructive natural hazards. Inundation events materialize in minutes rather than hours, turning arterial highways into impassable rivers, submerging ground-level residential units, and trapping thousands of motorists without escape options.</w:t>
      </w:r>
    </w:p>
    <w:p>
      <w:pPr>
        <w:spacing w:before="0" w:after="100" w:line="276" w:lineRule="auto"/>
      </w:pPr>
      <w:r>
        <w:rPr>
          <w:rFonts w:ascii="Calibri" w:hAnsi="Calibri"/>
          <w:i w:val="0"/>
          <w:color w:val="1F2937"/>
          <w:sz w:val="20"/>
        </w:rPr>
        <w:t>Despite extensive investments by national agencies in physical flood retention infrastructure—such as the Stormwater Management and Road Tunnel (SMART Tunnel)—disaster communication and public preparedness remain fundamentally reactive. Ordinary citizens depend on sporadic siren alerts, delayed social media broadcasts, or uncoordinated government portals that fail to translate raw hydrological telemetry into personalized, life-saving actions.</w:t>
      </w:r>
    </w:p>
    <w:p>
      <w:pPr>
        <w:spacing w:before="0" w:after="100" w:line="276" w:lineRule="auto"/>
      </w:pPr>
      <w:r>
        <w:rPr>
          <w:rFonts w:ascii="Calibri" w:hAnsi="Calibri"/>
          <w:b/>
          <w:color w:val="1F2937"/>
          <w:sz w:val="20"/>
        </w:rPr>
        <w:t xml:space="preserve">Core Philosophy: </w:t>
      </w:r>
      <w:r>
        <w:rPr>
          <w:rFonts w:ascii="Calibri" w:hAnsi="Calibri"/>
          <w:i w:val="0"/>
          <w:color w:val="1F2937"/>
          <w:sz w:val="20"/>
        </w:rPr>
        <w:t xml:space="preserve">FloodWay 2.0 was conceived and developed as a citizen-centric, cyber-physical early warning and emergency response ecosystem. Rooted in the core philosophy: </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Calibri" w:hAnsi="Calibri"/>
                <w:b/>
                <w:color w:val="1E3A8A"/>
                <w:sz w:val="19"/>
              </w:rPr>
              <w:t xml:space="preserve">PRIMARY VALUE PROPOSITION: </w:t>
            </w:r>
            <w:r>
              <w:rPr>
                <w:rFonts w:ascii="Calibri" w:hAnsi="Calibri"/>
                <w:color w:val="1F2937"/>
                <w:sz w:val="19"/>
              </w:rPr>
              <w:t>"One glance to know if you are safe. One tap to find shelter." By abstracting complex hydrological sensor telemetry into an intuitive Traffic Light UX and coupling it with turn-by-turn risk-aware evacuation routing, FloodWay empowers vulnerable residents to evacuate safely before water depths exceed physical vehicle and pedestrian limits.</w:t>
            </w:r>
          </w:p>
        </w:tc>
      </w:tr>
    </w:tbl>
    <w:p>
      <w:pPr>
        <w:spacing w:after="40"/>
      </w:pPr>
    </w:p>
    <w:p>
      <w:pPr>
        <w:spacing w:before="0" w:after="100" w:line="276" w:lineRule="auto"/>
      </w:pPr>
      <w:r>
        <w:rPr>
          <w:rFonts w:ascii="Calibri" w:hAnsi="Calibri"/>
          <w:b/>
          <w:color w:val="1F2937"/>
          <w:sz w:val="20"/>
        </w:rPr>
        <w:t xml:space="preserve">Architectural Pillars: </w:t>
      </w:r>
      <w:r>
        <w:rPr>
          <w:rFonts w:ascii="Calibri" w:hAnsi="Calibri"/>
          <w:i w:val="0"/>
          <w:color w:val="1F2937"/>
          <w:sz w:val="20"/>
        </w:rPr>
        <w:t>The platform integrates four interconnected engineering pillars:</w:t>
      </w:r>
    </w:p>
    <w:p>
      <w:pPr>
        <w:pStyle w:val="ListBullet"/>
        <w:spacing w:before="0" w:after="60" w:line="276" w:lineRule="auto"/>
      </w:pPr>
      <w:r>
        <w:rPr>
          <w:rFonts w:ascii="Calibri" w:hAnsi="Calibri"/>
          <w:b/>
          <w:color w:val="1F2937"/>
          <w:sz w:val="20"/>
        </w:rPr>
        <w:t>1. Hyperlocal Predictive Telemetry:</w:t>
      </w:r>
      <w:r>
        <w:rPr>
          <w:rFonts w:ascii="Calibri" w:hAnsi="Calibri"/>
          <w:color w:val="1F2937"/>
          <w:sz w:val="20"/>
        </w:rPr>
        <w:t xml:space="preserve"> Incorporates IoT ultrasonic river stage sensors (ESP32 + JSN-SR04T) streaming real-time depth measurements with Open-Meteo precipitation metrics into an AI time-series prediction pipeline.</w:t>
      </w:r>
    </w:p>
    <w:p>
      <w:pPr>
        <w:pStyle w:val="ListBullet"/>
        <w:spacing w:before="0" w:after="60" w:line="276" w:lineRule="auto"/>
      </w:pPr>
      <w:r>
        <w:rPr>
          <w:rFonts w:ascii="Calibri" w:hAnsi="Calibri"/>
          <w:b/>
          <w:color w:val="1F2937"/>
          <w:sz w:val="20"/>
        </w:rPr>
        <w:t>2. Risk-Aware Evacuation Navigation:</w:t>
      </w:r>
      <w:r>
        <w:rPr>
          <w:rFonts w:ascii="Calibri" w:hAnsi="Calibri"/>
          <w:color w:val="1F2937"/>
          <w:sz w:val="20"/>
        </w:rPr>
        <w:t xml:space="preserve"> Employs Open Source Routing Machine (OSRM) with dynamic edge penalties derived from live water levels, preventing users from being routed through submerged road corridors.</w:t>
      </w:r>
    </w:p>
    <w:p>
      <w:pPr>
        <w:pStyle w:val="ListBullet"/>
        <w:spacing w:before="0" w:after="60" w:line="276" w:lineRule="auto"/>
      </w:pPr>
      <w:r>
        <w:rPr>
          <w:rFonts w:ascii="Calibri" w:hAnsi="Calibri"/>
          <w:b/>
          <w:color w:val="1F2937"/>
          <w:sz w:val="20"/>
        </w:rPr>
        <w:t>3. Dual-Stage Community Sentinel:</w:t>
      </w:r>
      <w:r>
        <w:rPr>
          <w:rFonts w:ascii="Calibri" w:hAnsi="Calibri"/>
          <w:color w:val="1F2937"/>
          <w:sz w:val="20"/>
        </w:rPr>
        <w:t xml:space="preserve"> Eliminates crowdsourced misinformation through a dual-stage pipeline combining MobileNetV3/YOLOv8 deep learning image classification with authenticated human moderator review.</w:t>
      </w:r>
    </w:p>
    <w:p>
      <w:pPr>
        <w:pStyle w:val="ListBullet"/>
        <w:spacing w:before="0" w:after="60" w:line="276" w:lineRule="auto"/>
      </w:pPr>
      <w:r>
        <w:rPr>
          <w:rFonts w:ascii="Calibri" w:hAnsi="Calibri"/>
          <w:b/>
          <w:color w:val="1F2937"/>
          <w:sz w:val="20"/>
        </w:rPr>
        <w:t>4. 3D Digital Twin Simulation:</w:t>
      </w:r>
      <w:r>
        <w:rPr>
          <w:rFonts w:ascii="Calibri" w:hAnsi="Calibri"/>
          <w:color w:val="1F2937"/>
          <w:sz w:val="20"/>
        </w:rPr>
        <w:t xml:space="preserve"> A WebGL-powered 3D neighborhood terrain visualizer built in Three.js, projecting hydraulic water level rises onto building structures to communicate flood threats intuitively.</w:t>
      </w:r>
    </w:p>
    <w:p>
      <w:pPr>
        <w:keepNext/>
        <w:spacing w:before="320" w:after="120"/>
      </w:pPr>
      <w:r>
        <w:rPr>
          <w:rFonts w:ascii="Calibri" w:hAnsi="Calibri"/>
          <w:b/>
          <w:color w:val="1E3A8A"/>
          <w:sz w:val="32"/>
        </w:rPr>
        <w:t>2. Background of Case Study</w:t>
      </w:r>
    </w:p>
    <w:p>
      <w:pPr>
        <w:spacing w:before="0" w:after="100" w:line="276" w:lineRule="auto"/>
      </w:pPr>
      <w:r>
        <w:rPr>
          <w:rFonts w:ascii="Calibri" w:hAnsi="Calibri"/>
          <w:i w:val="0"/>
          <w:color w:val="1F2937"/>
          <w:sz w:val="20"/>
        </w:rPr>
        <w:t>The primary geographic focus of FloodWay 2.0 encompasses the Federal Territory of Kuala Lumpur and the wider Klang River Basin in Selangor, including high-risk urban sub-districts such as Kampung Baru, Dang Wangi, Jalan Tun Razak, Shah Alam, and Taman Sri Muda.</w:t>
      </w:r>
    </w:p>
    <w:p>
      <w:pPr>
        <w:spacing w:before="0" w:after="100" w:line="276" w:lineRule="auto"/>
      </w:pPr>
      <w:r>
        <w:rPr>
          <w:rFonts w:ascii="Calibri" w:hAnsi="Calibri"/>
          <w:i w:val="0"/>
          <w:color w:val="1F2937"/>
          <w:sz w:val="20"/>
        </w:rPr>
        <w:t>The Klang River Basin spans approximately 1,288 km and is inhabited by over 8 million people. The basin is characterized by steep upper catchments transitioning into low-lying, densely populated alluvial floodplains. Extensive paving and commercial development have replaced natural permeable soil with impermeable concrete surfaces, reducing precipitation lag time from hours to under 45 minutes.</w:t>
      </w:r>
    </w:p>
    <w:p>
      <w:pPr>
        <w:spacing w:before="0" w:after="100" w:line="276" w:lineRule="auto"/>
      </w:pPr>
      <w:r>
        <w:rPr>
          <w:rFonts w:ascii="Calibri" w:hAnsi="Calibri"/>
          <w:i w:val="0"/>
          <w:color w:val="1F2937"/>
          <w:sz w:val="20"/>
        </w:rPr>
        <w:t>During the catastrophic December 2021 Malaysian floods, unprecedented rainfall exceeding 380 mm in 24 hours overwhelmed drainage networks across Selangor and Kuala Lumpur. Over 50 fatalities were recorded, more than 125,000 residents were displaced, and total economic damages exceeded RM6.1 billion. A substantial portion of vehicle losses and stranded evacuees resulted from drivers blindly navigating onto flooded arterial highways using generic navigation systems (e.g., Google Maps, Waze) that possessed no awareness of localized water depths.</w:t>
      </w:r>
    </w:p>
    <w:p>
      <w:pPr>
        <w:spacing w:before="0" w:after="100" w:line="276" w:lineRule="auto"/>
      </w:pPr>
      <w:r>
        <w:rPr>
          <w:rFonts w:ascii="Calibri" w:hAnsi="Calibri"/>
          <w:i w:val="0"/>
          <w:color w:val="1F2937"/>
          <w:sz w:val="20"/>
        </w:rPr>
        <w:t>Subsequent post-disaster surveys revealed that 78% of affected residents received zero localized early warning, while 64% were trapped because their primary evacuation roads flooded before they initiated departure. FloodWay 2.0 directly addresses this spatial and temporal blind spot.</w:t>
      </w:r>
    </w:p>
    <w:p>
      <w:pPr>
        <w:keepNext/>
        <w:spacing w:before="320" w:after="120"/>
      </w:pPr>
      <w:r>
        <w:rPr>
          <w:rFonts w:ascii="Calibri" w:hAnsi="Calibri"/>
          <w:b/>
          <w:color w:val="1E3A8A"/>
          <w:sz w:val="32"/>
        </w:rPr>
        <w:t>3. Chosen Sustainable Development Goal (SDG)</w:t>
      </w:r>
    </w:p>
    <w:p>
      <w:pPr>
        <w:spacing w:before="0" w:after="100" w:line="276" w:lineRule="auto"/>
      </w:pPr>
      <w:r>
        <w:rPr>
          <w:rFonts w:ascii="Calibri" w:hAnsi="Calibri"/>
          <w:i w:val="0"/>
          <w:color w:val="1F2937"/>
          <w:sz w:val="20"/>
        </w:rPr>
        <w:t>FloodWay 2.0 aligns directly with the United Nations 2030 Agenda for Sustainable Development, prioritizing three interconnected Sustainable Development Goals:</w:t>
      </w:r>
    </w:p>
    <w:tbl>
      <w:tblPr>
        <w:tblW w:type="auto" w:w="0"/>
        <w:jc w:val="center"/>
        <w:tblLayout w:type="fixed"/>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3120"/>
        <w:gridCol w:w="3120"/>
        <w:gridCol w:w="3120"/>
      </w:tblGrid>
      <w:tr>
        <w:trPr>
          <w:cantSplit/>
          <w:tblHeader/>
        </w:trPr>
        <w:tc>
          <w:tcPr>
            <w:tcW w:type="dxa" w:w="2160"/>
            <w:shd w:fill="1E3A8A"/>
            <w:tcMar>
              <w:top w:w="140" w:type="dxa"/>
              <w:bottom w:w="140" w:type="dxa"/>
              <w:left w:w="160" w:type="dxa"/>
              <w:right w:w="160" w:type="dxa"/>
            </w:tcMar>
          </w:tcPr>
          <w:p>
            <w:pPr>
              <w:jc w:val="left"/>
            </w:pPr>
            <w:r>
              <w:rPr>
                <w:rFonts w:ascii="Calibri" w:hAnsi="Calibri"/>
                <w:b/>
                <w:color w:val="FFFFFF"/>
                <w:sz w:val="19"/>
              </w:rPr>
              <w:t>SDG Target</w:t>
            </w:r>
          </w:p>
        </w:tc>
        <w:tc>
          <w:tcPr>
            <w:tcW w:type="dxa" w:w="3168"/>
            <w:shd w:fill="1E3A8A"/>
            <w:tcMar>
              <w:top w:w="140" w:type="dxa"/>
              <w:bottom w:w="140" w:type="dxa"/>
              <w:left w:w="160" w:type="dxa"/>
              <w:right w:w="160" w:type="dxa"/>
            </w:tcMar>
          </w:tcPr>
          <w:p>
            <w:pPr>
              <w:jc w:val="left"/>
            </w:pPr>
            <w:r>
              <w:rPr>
                <w:rFonts w:ascii="Calibri" w:hAnsi="Calibri"/>
                <w:b/>
                <w:color w:val="FFFFFF"/>
                <w:sz w:val="19"/>
              </w:rPr>
              <w:t>United Nations Mandate</w:t>
            </w:r>
          </w:p>
        </w:tc>
        <w:tc>
          <w:tcPr>
            <w:tcW w:type="dxa" w:w="4032"/>
            <w:shd w:fill="1E3A8A"/>
            <w:tcMar>
              <w:top w:w="140" w:type="dxa"/>
              <w:bottom w:w="140" w:type="dxa"/>
              <w:left w:w="160" w:type="dxa"/>
              <w:right w:w="160" w:type="dxa"/>
            </w:tcMar>
          </w:tcPr>
          <w:p>
            <w:pPr>
              <w:jc w:val="left"/>
            </w:pPr>
            <w:r>
              <w:rPr>
                <w:rFonts w:ascii="Calibri" w:hAnsi="Calibri"/>
                <w:b/>
                <w:color w:val="FFFFFF"/>
                <w:sz w:val="19"/>
              </w:rPr>
              <w:t>FloodWay 2.0 Direct Implementation</w:t>
            </w:r>
          </w:p>
        </w:tc>
      </w:tr>
      <w:tr>
        <w:trPr>
          <w:cantSplit/>
        </w:trPr>
        <w:tc>
          <w:tcPr>
            <w:tcW w:type="dxa" w:w="2160"/>
            <w:shd w:fill="F9FAFB"/>
            <w:tcMar>
              <w:top w:w="100" w:type="dxa"/>
              <w:bottom w:w="100" w:type="dxa"/>
              <w:left w:w="160" w:type="dxa"/>
              <w:right w:w="160" w:type="dxa"/>
            </w:tcMar>
          </w:tcPr>
          <w:p>
            <w:pPr>
              <w:jc w:val="left"/>
            </w:pPr>
            <w:r>
              <w:rPr>
                <w:rFonts w:ascii="Calibri" w:hAnsi="Calibri"/>
                <w:color w:val="1F2937"/>
                <w:sz w:val="18"/>
              </w:rPr>
              <w:t>SDG 11:</w:t>
              <w:br/>
              <w:t>Sustainable Cities &amp; Communities</w:t>
            </w:r>
          </w:p>
        </w:tc>
        <w:tc>
          <w:tcPr>
            <w:tcW w:type="dxa" w:w="3168"/>
            <w:shd w:fill="F9FAFB"/>
            <w:tcMar>
              <w:top w:w="100" w:type="dxa"/>
              <w:bottom w:w="100" w:type="dxa"/>
              <w:left w:w="160" w:type="dxa"/>
              <w:right w:w="160" w:type="dxa"/>
            </w:tcMar>
          </w:tcPr>
          <w:p>
            <w:pPr>
              <w:jc w:val="left"/>
            </w:pPr>
            <w:r>
              <w:rPr>
                <w:rFonts w:ascii="Calibri" w:hAnsi="Calibri"/>
                <w:color w:val="1F2937"/>
                <w:sz w:val="18"/>
              </w:rPr>
              <w:t>Target 11.5: By 2030, significantly reduce the number of deaths and people affected, and substantially decrease economic losses caused by disasters, with a focus on protecting the poor and vulnerable.</w:t>
            </w:r>
          </w:p>
        </w:tc>
        <w:tc>
          <w:tcPr>
            <w:tcW w:type="dxa" w:w="4032"/>
            <w:shd w:fill="F9FAFB"/>
            <w:tcMar>
              <w:top w:w="100" w:type="dxa"/>
              <w:bottom w:w="100" w:type="dxa"/>
              <w:left w:w="160" w:type="dxa"/>
              <w:right w:w="160" w:type="dxa"/>
            </w:tcMar>
          </w:tcPr>
          <w:p>
            <w:pPr>
              <w:jc w:val="left"/>
            </w:pPr>
            <w:r>
              <w:rPr>
                <w:rFonts w:ascii="Calibri" w:hAnsi="Calibri"/>
                <w:color w:val="1F2937"/>
                <w:sz w:val="18"/>
              </w:rPr>
              <w:t>Provides hyper-localized, real-time early warnings and turn-by-turn safe routing to verified evacuation shelters (PPS), directly preserving human lives and household capital in flood-prone communities.</w:t>
            </w:r>
          </w:p>
        </w:tc>
      </w:tr>
      <w:tr>
        <w:trPr>
          <w:cantSplit/>
        </w:trPr>
        <w:tc>
          <w:tcPr>
            <w:tcW w:type="dxa" w:w="2160"/>
            <w:shd w:fill="FFFFFF"/>
            <w:tcMar>
              <w:top w:w="100" w:type="dxa"/>
              <w:bottom w:w="100" w:type="dxa"/>
              <w:left w:w="160" w:type="dxa"/>
              <w:right w:w="160" w:type="dxa"/>
            </w:tcMar>
          </w:tcPr>
          <w:p>
            <w:pPr>
              <w:jc w:val="left"/>
            </w:pPr>
            <w:r>
              <w:rPr>
                <w:rFonts w:ascii="Calibri" w:hAnsi="Calibri"/>
                <w:color w:val="1F2937"/>
                <w:sz w:val="18"/>
              </w:rPr>
              <w:t>SDG 13:</w:t>
              <w:br/>
              <w:t>Climate Action</w:t>
            </w:r>
          </w:p>
        </w:tc>
        <w:tc>
          <w:tcPr>
            <w:tcW w:type="dxa" w:w="3168"/>
            <w:shd w:fill="FFFFFF"/>
            <w:tcMar>
              <w:top w:w="100" w:type="dxa"/>
              <w:bottom w:w="100" w:type="dxa"/>
              <w:left w:w="160" w:type="dxa"/>
              <w:right w:w="160" w:type="dxa"/>
            </w:tcMar>
          </w:tcPr>
          <w:p>
            <w:pPr>
              <w:jc w:val="left"/>
            </w:pPr>
            <w:r>
              <w:rPr>
                <w:rFonts w:ascii="Calibri" w:hAnsi="Calibri"/>
                <w:color w:val="1F2937"/>
                <w:sz w:val="18"/>
              </w:rPr>
              <w:t>Target 13.1: Strengthen resilience and adaptive capacity to climate-related hazards and natural disasters in all countries.</w:t>
            </w:r>
          </w:p>
        </w:tc>
        <w:tc>
          <w:tcPr>
            <w:tcW w:type="dxa" w:w="4032"/>
            <w:shd w:fill="FFFFFF"/>
            <w:tcMar>
              <w:top w:w="100" w:type="dxa"/>
              <w:bottom w:w="100" w:type="dxa"/>
              <w:left w:w="160" w:type="dxa"/>
              <w:right w:w="160" w:type="dxa"/>
            </w:tcMar>
          </w:tcPr>
          <w:p>
            <w:pPr>
              <w:jc w:val="left"/>
            </w:pPr>
            <w:r>
              <w:rPr>
                <w:rFonts w:ascii="Calibri" w:hAnsi="Calibri"/>
                <w:color w:val="1F2937"/>
                <w:sz w:val="18"/>
              </w:rPr>
              <w:t>Deploys resilient edge IoT sensing and predictive machine learning models that equip municipal authorities and citizens with predictive intelligence to withstand extreme monsoon deluges.</w:t>
            </w:r>
          </w:p>
        </w:tc>
      </w:tr>
      <w:tr>
        <w:trPr>
          <w:cantSplit/>
        </w:trPr>
        <w:tc>
          <w:tcPr>
            <w:tcW w:type="dxa" w:w="2160"/>
            <w:shd w:fill="F9FAFB"/>
            <w:tcMar>
              <w:top w:w="100" w:type="dxa"/>
              <w:bottom w:w="100" w:type="dxa"/>
              <w:left w:w="160" w:type="dxa"/>
              <w:right w:w="160" w:type="dxa"/>
            </w:tcMar>
          </w:tcPr>
          <w:p>
            <w:pPr>
              <w:jc w:val="left"/>
            </w:pPr>
            <w:r>
              <w:rPr>
                <w:rFonts w:ascii="Calibri" w:hAnsi="Calibri"/>
                <w:color w:val="1F2937"/>
                <w:sz w:val="18"/>
              </w:rPr>
              <w:t>SDG 9:</w:t>
              <w:br/>
              <w:t>Industry, Innovation, &amp; Infrastructure</w:t>
            </w:r>
          </w:p>
        </w:tc>
        <w:tc>
          <w:tcPr>
            <w:tcW w:type="dxa" w:w="3168"/>
            <w:shd w:fill="F9FAFB"/>
            <w:tcMar>
              <w:top w:w="100" w:type="dxa"/>
              <w:bottom w:w="100" w:type="dxa"/>
              <w:left w:w="160" w:type="dxa"/>
              <w:right w:w="160" w:type="dxa"/>
            </w:tcMar>
          </w:tcPr>
          <w:p>
            <w:pPr>
              <w:jc w:val="left"/>
            </w:pPr>
            <w:r>
              <w:rPr>
                <w:rFonts w:ascii="Calibri" w:hAnsi="Calibri"/>
                <w:color w:val="1F2937"/>
                <w:sz w:val="18"/>
              </w:rPr>
              <w:t>Target 9.1: Develop quality, reliable, sustainable and resilient infrastructure to support economic development and human well-being.</w:t>
            </w:r>
          </w:p>
        </w:tc>
        <w:tc>
          <w:tcPr>
            <w:tcW w:type="dxa" w:w="4032"/>
            <w:shd w:fill="F9FAFB"/>
            <w:tcMar>
              <w:top w:w="100" w:type="dxa"/>
              <w:bottom w:w="100" w:type="dxa"/>
              <w:left w:w="160" w:type="dxa"/>
              <w:right w:w="160" w:type="dxa"/>
            </w:tcMar>
          </w:tcPr>
          <w:p>
            <w:pPr>
              <w:jc w:val="left"/>
            </w:pPr>
            <w:r>
              <w:rPr>
                <w:rFonts w:ascii="Calibri" w:hAnsi="Calibri"/>
                <w:color w:val="1F2937"/>
                <w:sz w:val="18"/>
              </w:rPr>
              <w:t>Enhances transportation resilience through dynamic hydrodynamic road graph re-weighting, ensuring critical emergency and medical access corridors remain operational during severe inundation.</w:t>
            </w:r>
          </w:p>
        </w:tc>
      </w:tr>
    </w:tbl>
    <w:p>
      <w:pPr>
        <w:spacing w:after="120"/>
      </w:pPr>
    </w:p>
    <w:p>
      <w:pPr>
        <w:keepNext/>
        <w:spacing w:before="320" w:after="120"/>
      </w:pPr>
      <w:r>
        <w:rPr>
          <w:rFonts w:ascii="Calibri" w:hAnsi="Calibri"/>
          <w:b/>
          <w:color w:val="1E3A8A"/>
          <w:sz w:val="32"/>
        </w:rPr>
        <w:t>4. Problem Statement</w:t>
      </w:r>
    </w:p>
    <w:p>
      <w:pPr>
        <w:spacing w:before="0" w:after="100" w:line="276" w:lineRule="auto"/>
      </w:pPr>
      <w:r>
        <w:rPr>
          <w:rFonts w:ascii="Calibri" w:hAnsi="Calibri"/>
          <w:i w:val="0"/>
          <w:color w:val="1F2937"/>
          <w:sz w:val="20"/>
        </w:rPr>
        <w:t>Current disaster management paradigms in Malaysia suffer from systemic friction across detection, dissemination, and evacuation phases. Specifically, four core failure modes have been identified:</w:t>
      </w:r>
    </w:p>
    <w:p>
      <w:pPr>
        <w:pStyle w:val="ListBullet"/>
        <w:spacing w:before="0" w:after="60" w:line="276" w:lineRule="auto"/>
      </w:pPr>
      <w:r>
        <w:rPr>
          <w:rFonts w:ascii="Calibri" w:hAnsi="Calibri"/>
          <w:b/>
          <w:color w:val="1F2937"/>
          <w:sz w:val="20"/>
        </w:rPr>
        <w:t xml:space="preserve">1. Lack of Hyperlocal Early Warning: </w:t>
      </w:r>
      <w:r>
        <w:rPr>
          <w:rFonts w:ascii="Calibri" w:hAnsi="Calibri"/>
          <w:color w:val="1F2937"/>
          <w:sz w:val="20"/>
        </w:rPr>
        <w:t xml:space="preserve"> Current national telemetry systems monitor rivers at macro-scale stations, but flash flooding occurs at drainage, street, and residential block levels. Citizens have no mechanism to ascertain whether water is accumulating at their specific street corner until visual contact is made, by which point departure is perilous.</w:t>
      </w:r>
    </w:p>
    <w:p>
      <w:pPr>
        <w:pStyle w:val="ListBullet"/>
        <w:spacing w:before="0" w:after="60" w:line="276" w:lineRule="auto"/>
      </w:pPr>
      <w:r>
        <w:rPr>
          <w:rFonts w:ascii="Calibri" w:hAnsi="Calibri"/>
          <w:b/>
          <w:color w:val="1F2937"/>
          <w:sz w:val="20"/>
        </w:rPr>
        <w:t xml:space="preserve">2. Fragmented and Siloed Government Systems: </w:t>
      </w:r>
      <w:r>
        <w:rPr>
          <w:rFonts w:ascii="Calibri" w:hAnsi="Calibri"/>
          <w:color w:val="1F2937"/>
          <w:sz w:val="20"/>
        </w:rPr>
        <w:t xml:space="preserve"> Vital disaster data is fractured across isolated government agencies: JPS oversees hydrology, JKM manages evacuation shelters, and JKR logs road closures. There is zero automated interoperability between these agencies. Under crisis conditions, citizens are forced to manually cross-reference three separate desktop portals on mobile browsers.</w:t>
      </w:r>
    </w:p>
    <w:p>
      <w:pPr>
        <w:pStyle w:val="ListBullet"/>
        <w:spacing w:before="0" w:after="60" w:line="276" w:lineRule="auto"/>
      </w:pPr>
      <w:r>
        <w:rPr>
          <w:rFonts w:ascii="Calibri" w:hAnsi="Calibri"/>
          <w:b/>
          <w:color w:val="1F2937"/>
          <w:sz w:val="20"/>
        </w:rPr>
        <w:t xml:space="preserve">3. Dangerous Navigation Evacuation Blindness: </w:t>
      </w:r>
      <w:r>
        <w:rPr>
          <w:rFonts w:ascii="Calibri" w:hAnsi="Calibri"/>
          <w:color w:val="1F2937"/>
          <w:sz w:val="20"/>
        </w:rPr>
        <w:t xml:space="preserve"> Standard commercial routing algorithms optimize purely for transit duration and traffic velocity. When floodwaters submerge roads, traffic algorithms misinterpret stationary water bodies as clear roadways or recommend detours through low-elevation river underpasses, leading to catastrophic vehicular stall-outs and drownings.</w:t>
      </w:r>
    </w:p>
    <w:p>
      <w:pPr>
        <w:pStyle w:val="ListBullet"/>
        <w:spacing w:before="0" w:after="60" w:line="276" w:lineRule="auto"/>
      </w:pPr>
      <w:r>
        <w:rPr>
          <w:rFonts w:ascii="Calibri" w:hAnsi="Calibri"/>
          <w:b/>
          <w:color w:val="1F2937"/>
          <w:sz w:val="20"/>
        </w:rPr>
        <w:t xml:space="preserve">4. Unverified Crowdsourced Misinformation: </w:t>
      </w:r>
      <w:r>
        <w:rPr>
          <w:rFonts w:ascii="Calibri" w:hAnsi="Calibri"/>
          <w:color w:val="1F2937"/>
          <w:sz w:val="20"/>
        </w:rPr>
        <w:t xml:space="preserve"> During monsoons, social media feeds are inundated with unverified rumors, panic-inducing photos, and outdated flood warnings. Emergency responders waste critical personnel hours verifying stale reports while genuine victims remain undiscovered.</w:t>
      </w:r>
    </w:p>
    <w:p>
      <w:pPr>
        <w:keepNext/>
        <w:spacing w:before="320" w:after="120"/>
      </w:pPr>
      <w:r>
        <w:rPr>
          <w:rFonts w:ascii="Calibri" w:hAnsi="Calibri"/>
          <w:b/>
          <w:color w:val="1E3A8A"/>
          <w:sz w:val="32"/>
        </w:rPr>
        <w:t>5. Objectives</w:t>
      </w:r>
    </w:p>
    <w:p>
      <w:pPr>
        <w:spacing w:before="0" w:after="100" w:line="276" w:lineRule="auto"/>
      </w:pPr>
      <w:r>
        <w:rPr>
          <w:rFonts w:ascii="Calibri" w:hAnsi="Calibri"/>
          <w:i w:val="0"/>
          <w:color w:val="1F2937"/>
          <w:sz w:val="20"/>
        </w:rPr>
        <w:t>The overarching aim of FloodWay 2.0 is to design, develop, deploy, and validate a unified AI-powered flood preparedness and emergency navigation ecosystem. Specific technical objectives include:</w:t>
      </w:r>
    </w:p>
    <w:p>
      <w:pPr>
        <w:pStyle w:val="ListBullet"/>
        <w:spacing w:before="0" w:after="60" w:line="276" w:lineRule="auto"/>
      </w:pPr>
      <w:r>
        <w:rPr>
          <w:rFonts w:ascii="Calibri" w:hAnsi="Calibri"/>
          <w:b/>
          <w:color w:val="1F2937"/>
          <w:sz w:val="20"/>
        </w:rPr>
        <w:t xml:space="preserve">Objective 1: </w:t>
      </w:r>
      <w:r>
        <w:rPr>
          <w:rFonts w:ascii="Calibri" w:hAnsi="Calibri"/>
          <w:color w:val="1F2937"/>
          <w:sz w:val="20"/>
        </w:rPr>
        <w:t>Design and construct cost-effective IoT telemetry nodes using ESP32 microcontrollers and waterproof JSN-SR04T ultrasonic sensors with HMAC-SHA256 authenticated RESTful ingest into a scalable cloud backend.</w:t>
      </w:r>
    </w:p>
    <w:p>
      <w:pPr>
        <w:pStyle w:val="ListBullet"/>
        <w:spacing w:before="0" w:after="60" w:line="276" w:lineRule="auto"/>
      </w:pPr>
      <w:r>
        <w:rPr>
          <w:rFonts w:ascii="Calibri" w:hAnsi="Calibri"/>
          <w:b/>
          <w:color w:val="1F2937"/>
          <w:sz w:val="20"/>
        </w:rPr>
        <w:t xml:space="preserve">Objective 2: </w:t>
      </w:r>
      <w:r>
        <w:rPr>
          <w:rFonts w:ascii="Calibri" w:hAnsi="Calibri"/>
          <w:color w:val="1F2937"/>
          <w:sz w:val="20"/>
        </w:rPr>
        <w:t>Train and deploy an ensemble time-series neural prediction model (GRU / LightGBM) on Huawei Cloud ModelArts capable of forecasting river and surface runoff stage levels at 30, 60, and 120-minute forward horizons with &gt;90% precision.</w:t>
      </w:r>
    </w:p>
    <w:p>
      <w:pPr>
        <w:pStyle w:val="ListBullet"/>
        <w:spacing w:before="0" w:after="60" w:line="276" w:lineRule="auto"/>
      </w:pPr>
      <w:r>
        <w:rPr>
          <w:rFonts w:ascii="Calibri" w:hAnsi="Calibri"/>
          <w:b/>
          <w:color w:val="1F2937"/>
          <w:sz w:val="20"/>
        </w:rPr>
        <w:t xml:space="preserve">Objective 3: </w:t>
      </w:r>
      <w:r>
        <w:rPr>
          <w:rFonts w:ascii="Calibri" w:hAnsi="Calibri"/>
          <w:color w:val="1F2937"/>
          <w:sz w:val="20"/>
        </w:rPr>
        <w:t>Implement a dynamic risk-aware vehicle routing engine utilizing Open Source Routing Machine (OSRM) and PostGIS spatial indexing that incorporates live hydrodynamic water clearance thresholds (0.10 m pedestrian, 0.15 m motorcycle, 0.30 m passenger car, 0.70 m 4x4).</w:t>
      </w:r>
    </w:p>
    <w:p>
      <w:pPr>
        <w:pStyle w:val="ListBullet"/>
        <w:spacing w:before="0" w:after="60" w:line="276" w:lineRule="auto"/>
      </w:pPr>
      <w:r>
        <w:rPr>
          <w:rFonts w:ascii="Calibri" w:hAnsi="Calibri"/>
          <w:b/>
          <w:color w:val="1F2937"/>
          <w:sz w:val="20"/>
        </w:rPr>
        <w:t xml:space="preserve">Objective 4: </w:t>
      </w:r>
      <w:r>
        <w:rPr>
          <w:rFonts w:ascii="Calibri" w:hAnsi="Calibri"/>
          <w:color w:val="1F2937"/>
          <w:sz w:val="20"/>
        </w:rPr>
        <w:t>Develop a dual-stage Computer Vision verification pipeline (YOLOv8 + MobileNetV3) to authenticate crowdsourced citizen hazard images, filtering out spam and synthetic imagery before map publication.</w:t>
      </w:r>
    </w:p>
    <w:p>
      <w:pPr>
        <w:pStyle w:val="ListBullet"/>
        <w:spacing w:before="0" w:after="60" w:line="276" w:lineRule="auto"/>
      </w:pPr>
      <w:r>
        <w:rPr>
          <w:rFonts w:ascii="Calibri" w:hAnsi="Calibri"/>
          <w:b/>
          <w:color w:val="1F2937"/>
          <w:sz w:val="20"/>
        </w:rPr>
        <w:t xml:space="preserve">Objective 5: </w:t>
      </w:r>
      <w:r>
        <w:rPr>
          <w:rFonts w:ascii="Calibri" w:hAnsi="Calibri"/>
          <w:color w:val="1F2937"/>
          <w:sz w:val="20"/>
        </w:rPr>
        <w:t>Engineer a high-performance 3D Digital Twin visualization in WebGL/Three.js mapping real-time sensor depth data onto Digital Elevation Models (DEM), providing intuitive physical depth comprehension.</w:t>
      </w:r>
    </w:p>
    <w:p>
      <w:pPr>
        <w:pStyle w:val="ListBullet"/>
        <w:spacing w:before="0" w:after="60" w:line="276" w:lineRule="auto"/>
      </w:pPr>
      <w:r>
        <w:rPr>
          <w:rFonts w:ascii="Calibri" w:hAnsi="Calibri"/>
          <w:b/>
          <w:color w:val="1F2937"/>
          <w:sz w:val="20"/>
        </w:rPr>
        <w:t xml:space="preserve">Objective 6: </w:t>
      </w:r>
      <w:r>
        <w:rPr>
          <w:rFonts w:ascii="Calibri" w:hAnsi="Calibri"/>
          <w:color w:val="1F2937"/>
          <w:sz w:val="20"/>
        </w:rPr>
        <w:t>Build a 1-Tap Emergency Family SOS broadcast feature integrating Huawei Simple Message Notification (SMN) with cellular SMS URI fallback for zero-mobile-data disaster resilience.</w:t>
      </w:r>
    </w:p>
    <w:p>
      <w:pPr>
        <w:keepNext/>
        <w:spacing w:before="320" w:after="120"/>
      </w:pPr>
      <w:r>
        <w:rPr>
          <w:rFonts w:ascii="Calibri" w:hAnsi="Calibri"/>
          <w:b/>
          <w:color w:val="1E3A8A"/>
          <w:sz w:val="32"/>
        </w:rPr>
        <w:t>6. Review of Existing Solutions</w:t>
      </w:r>
    </w:p>
    <w:p>
      <w:pPr>
        <w:spacing w:before="0" w:after="100" w:line="276" w:lineRule="auto"/>
      </w:pPr>
      <w:r>
        <w:rPr>
          <w:rFonts w:ascii="Calibri" w:hAnsi="Calibri"/>
          <w:i w:val="0"/>
          <w:color w:val="1F2937"/>
          <w:sz w:val="20"/>
        </w:rPr>
        <w:t>To establish the architectural positioning of FloodWay 2.0, a rigorous audit of existing Malaysian disaster management platforms was performed.</w:t>
      </w:r>
    </w:p>
    <w:p>
      <w:pPr>
        <w:keepNext/>
        <w:spacing w:before="240" w:after="80"/>
      </w:pPr>
      <w:r>
        <w:rPr>
          <w:rFonts w:ascii="Calibri" w:hAnsi="Calibri"/>
          <w:b/>
          <w:color w:val="2563EB"/>
          <w:sz w:val="26"/>
        </w:rPr>
        <w:t>6.1 Analysis of National Government Portals</w:t>
      </w:r>
    </w:p>
    <w:p>
      <w:pPr>
        <w:keepNext/>
        <w:spacing w:before="160" w:after="40"/>
      </w:pPr>
      <w:r>
        <w:rPr>
          <w:rFonts w:ascii="Calibri" w:hAnsi="Calibri"/>
          <w:b/>
          <w:color w:val="1E3A8A"/>
          <w:sz w:val="22"/>
        </w:rPr>
        <w:t>6.1.1 MyPublicInfoBanjir (Jabatan Pengairan dan Saliran - JPS)</w:t>
      </w:r>
    </w:p>
    <w:p>
      <w:pPr>
        <w:spacing w:before="0" w:after="100" w:line="276" w:lineRule="auto"/>
      </w:pPr>
      <w:r>
        <w:rPr>
          <w:rFonts w:ascii="Calibri" w:hAnsi="Calibri"/>
          <w:i w:val="0"/>
          <w:color w:val="1F2937"/>
          <w:sz w:val="20"/>
        </w:rPr>
        <w:t>MyPublicInfoBanjir serves as the official hydrological monitoring portal operated by the Department of Irrigation and Drainage (JPS). It captures real-time water level and rainfall data across hundreds of telemetry stations nationwide, classifying readings into Normal, Alert (Waspada), Warning (Amaran), and Danger (Bahaya).</w:t>
      </w:r>
    </w:p>
    <w:p>
      <w:pPr>
        <w:spacing w:before="0" w:after="100" w:line="276" w:lineRule="auto"/>
      </w:pPr>
      <w:r>
        <w:rPr>
          <w:rFonts w:ascii="Calibri" w:hAnsi="Calibri"/>
          <w:b/>
          <w:color w:val="1F2937"/>
          <w:sz w:val="20"/>
        </w:rPr>
        <w:t xml:space="preserve">Systemic Limitations: </w:t>
      </w:r>
      <w:r>
        <w:rPr>
          <w:rFonts w:ascii="Calibri" w:hAnsi="Calibri"/>
          <w:i w:val="0"/>
          <w:color w:val="1F2937"/>
          <w:sz w:val="20"/>
        </w:rPr>
        <w:t>While technically robust for hydrologists, the platform exhibits severe usability limitations for citizens. Data is presented primarily as raw tabular telemetry and static contour maps. It does not provide forward-looking predictive forecasts, lacks household-level spatial resolution, and offers zero navigation assistance for fleeing residents.</w:t>
      </w:r>
    </w:p>
    <w:p>
      <w:pPr>
        <w:keepNext/>
        <w:spacing w:before="160" w:after="40"/>
      </w:pPr>
      <w:r>
        <w:rPr>
          <w:rFonts w:ascii="Calibri" w:hAnsi="Calibri"/>
          <w:b/>
          <w:color w:val="1E3A8A"/>
          <w:sz w:val="22"/>
        </w:rPr>
        <w:t>6.1.2 myIBJKM (Jabatan Kebajikan Masyarakat - JKM)</w:t>
      </w:r>
    </w:p>
    <w:p>
      <w:pPr>
        <w:spacing w:before="0" w:after="100" w:line="276" w:lineRule="auto"/>
      </w:pPr>
      <w:r>
        <w:rPr>
          <w:rFonts w:ascii="Calibri" w:hAnsi="Calibri"/>
          <w:i w:val="0"/>
          <w:color w:val="1F2937"/>
          <w:sz w:val="20"/>
        </w:rPr>
        <w:t>The myIBJKM portal, maintained by the Social Welfare Department, acts as the central registry for Temporary Evacuation Centers (Pusat Pemindahan Sementara - PPS). It displays open shelters, bed capacity, and current evacuee counts.</w:t>
      </w:r>
    </w:p>
    <w:p>
      <w:pPr>
        <w:spacing w:before="0" w:after="100" w:line="276" w:lineRule="auto"/>
      </w:pPr>
      <w:r>
        <w:rPr>
          <w:rFonts w:ascii="Calibri" w:hAnsi="Calibri"/>
          <w:b/>
          <w:color w:val="1F2937"/>
          <w:sz w:val="20"/>
        </w:rPr>
        <w:t xml:space="preserve">Systemic Limitations: </w:t>
      </w:r>
      <w:r>
        <w:rPr>
          <w:rFonts w:ascii="Calibri" w:hAnsi="Calibri"/>
          <w:i w:val="0"/>
          <w:color w:val="1F2937"/>
          <w:sz w:val="20"/>
        </w:rPr>
        <w:t>The portal operates purely as a static reporting dashboard. Crucially, myIBJKM does not integrate with road networks or river sensors. Evacuees attempting to reach an open shelter have no means of knowing whether the roads leading to that shelter are already underwater, frequently resulting in citizens becoming stranded midway through evacuation.</w:t>
      </w:r>
    </w:p>
    <w:p>
      <w:pPr>
        <w:keepNext/>
        <w:spacing w:before="160" w:after="40"/>
      </w:pPr>
      <w:r>
        <w:rPr>
          <w:rFonts w:ascii="Calibri" w:hAnsi="Calibri"/>
          <w:b/>
          <w:color w:val="1E3A8A"/>
          <w:sz w:val="22"/>
        </w:rPr>
        <w:t>6.1.3 Sistem eBencana JKR (Jabatan Kerja Raya - JKR)</w:t>
      </w:r>
    </w:p>
    <w:p>
      <w:pPr>
        <w:spacing w:before="0" w:after="100" w:line="276" w:lineRule="auto"/>
      </w:pPr>
      <w:r>
        <w:rPr>
          <w:rFonts w:ascii="Calibri" w:hAnsi="Calibri"/>
          <w:i w:val="0"/>
          <w:color w:val="1F2937"/>
          <w:sz w:val="20"/>
        </w:rPr>
        <w:t>Operated by the Public Works Department, eBencana documents national road closures, slope failures, and flooded highways (Laluan Ditutup / Terputus).</w:t>
      </w:r>
    </w:p>
    <w:p>
      <w:pPr>
        <w:spacing w:before="0" w:after="100" w:line="276" w:lineRule="auto"/>
      </w:pPr>
      <w:r>
        <w:rPr>
          <w:rFonts w:ascii="Calibri" w:hAnsi="Calibri"/>
          <w:b/>
          <w:color w:val="1F2937"/>
          <w:sz w:val="20"/>
        </w:rPr>
        <w:t xml:space="preserve">Systemic Limitations: </w:t>
      </w:r>
      <w:r>
        <w:rPr>
          <w:rFonts w:ascii="Calibri" w:hAnsi="Calibri"/>
          <w:i w:val="0"/>
          <w:color w:val="1F2937"/>
          <w:sz w:val="20"/>
        </w:rPr>
        <w:t>eBencana updates lag live events by several hours due to mandatory manual site inspection protocols. It lacks programmatic routing APIs for integration into commercial GPS navigators, functioning merely as a static bulletin board rather than a dynamic navigation utility.</w:t>
      </w:r>
    </w:p>
    <w:p>
      <w:pPr>
        <w:keepNext/>
        <w:spacing w:before="240" w:after="80"/>
      </w:pPr>
      <w:r>
        <w:rPr>
          <w:rFonts w:ascii="Calibri" w:hAnsi="Calibri"/>
          <w:b/>
          <w:color w:val="2563EB"/>
          <w:sz w:val="26"/>
        </w:rPr>
        <w:t>6.2 Identified Gap and Opportunity: FloodWay 2.0</w:t>
      </w:r>
    </w:p>
    <w:p>
      <w:pPr>
        <w:spacing w:before="0" w:after="100" w:line="276" w:lineRule="auto"/>
      </w:pPr>
      <w:r>
        <w:rPr>
          <w:rFonts w:ascii="Calibri" w:hAnsi="Calibri"/>
          <w:i w:val="0"/>
          <w:color w:val="1F2937"/>
          <w:sz w:val="20"/>
        </w:rPr>
        <w:t>A comparative matrix highlights the critical gaps in the existing ecosystem:</w:t>
      </w:r>
    </w:p>
    <w:tbl>
      <w:tblPr>
        <w:tblW w:type="auto" w:w="0"/>
        <w:jc w:val="center"/>
        <w:tblLayout w:type="fixed"/>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1872"/>
        <w:gridCol w:w="1872"/>
        <w:gridCol w:w="1872"/>
        <w:gridCol w:w="1872"/>
        <w:gridCol w:w="1872"/>
      </w:tblGrid>
      <w:tr>
        <w:trPr>
          <w:cantSplit/>
          <w:tblHeader/>
        </w:trPr>
        <w:tc>
          <w:tcPr>
            <w:tcW w:type="dxa" w:w="2592"/>
            <w:shd w:fill="1E3A8A"/>
            <w:tcMar>
              <w:top w:w="140" w:type="dxa"/>
              <w:bottom w:w="140" w:type="dxa"/>
              <w:left w:w="160" w:type="dxa"/>
              <w:right w:w="160" w:type="dxa"/>
            </w:tcMar>
          </w:tcPr>
          <w:p>
            <w:pPr>
              <w:jc w:val="left"/>
            </w:pPr>
            <w:r>
              <w:rPr>
                <w:rFonts w:ascii="Calibri" w:hAnsi="Calibri"/>
                <w:b/>
                <w:color w:val="FFFFFF"/>
                <w:sz w:val="19"/>
              </w:rPr>
              <w:t>Functional Capability</w:t>
            </w:r>
          </w:p>
        </w:tc>
        <w:tc>
          <w:tcPr>
            <w:tcW w:type="dxa" w:w="1584"/>
            <w:shd w:fill="1E3A8A"/>
            <w:tcMar>
              <w:top w:w="140" w:type="dxa"/>
              <w:bottom w:w="140" w:type="dxa"/>
              <w:left w:w="160" w:type="dxa"/>
              <w:right w:w="160" w:type="dxa"/>
            </w:tcMar>
          </w:tcPr>
          <w:p>
            <w:pPr>
              <w:jc w:val="left"/>
            </w:pPr>
            <w:r>
              <w:rPr>
                <w:rFonts w:ascii="Calibri" w:hAnsi="Calibri"/>
                <w:b/>
                <w:color w:val="FFFFFF"/>
                <w:sz w:val="19"/>
              </w:rPr>
              <w:t>MyPublicInfoBanjir</w:t>
            </w:r>
          </w:p>
        </w:tc>
        <w:tc>
          <w:tcPr>
            <w:tcW w:type="dxa" w:w="1584"/>
            <w:shd w:fill="1E3A8A"/>
            <w:tcMar>
              <w:top w:w="140" w:type="dxa"/>
              <w:bottom w:w="140" w:type="dxa"/>
              <w:left w:w="160" w:type="dxa"/>
              <w:right w:w="160" w:type="dxa"/>
            </w:tcMar>
          </w:tcPr>
          <w:p>
            <w:pPr>
              <w:jc w:val="left"/>
            </w:pPr>
            <w:r>
              <w:rPr>
                <w:rFonts w:ascii="Calibri" w:hAnsi="Calibri"/>
                <w:b/>
                <w:color w:val="FFFFFF"/>
                <w:sz w:val="19"/>
              </w:rPr>
              <w:t>myIBJKM</w:t>
            </w:r>
          </w:p>
        </w:tc>
        <w:tc>
          <w:tcPr>
            <w:tcW w:type="dxa" w:w="1584"/>
            <w:shd w:fill="1E3A8A"/>
            <w:tcMar>
              <w:top w:w="140" w:type="dxa"/>
              <w:bottom w:w="140" w:type="dxa"/>
              <w:left w:w="160" w:type="dxa"/>
              <w:right w:w="160" w:type="dxa"/>
            </w:tcMar>
          </w:tcPr>
          <w:p>
            <w:pPr>
              <w:jc w:val="left"/>
            </w:pPr>
            <w:r>
              <w:rPr>
                <w:rFonts w:ascii="Calibri" w:hAnsi="Calibri"/>
                <w:b/>
                <w:color w:val="FFFFFF"/>
                <w:sz w:val="19"/>
              </w:rPr>
              <w:t>eBencana JKR</w:t>
            </w:r>
          </w:p>
        </w:tc>
        <w:tc>
          <w:tcPr>
            <w:tcW w:type="dxa" w:w="2016"/>
            <w:shd w:fill="1E3A8A"/>
            <w:tcMar>
              <w:top w:w="140" w:type="dxa"/>
              <w:bottom w:w="140" w:type="dxa"/>
              <w:left w:w="160" w:type="dxa"/>
              <w:right w:w="160" w:type="dxa"/>
            </w:tcMar>
          </w:tcPr>
          <w:p>
            <w:pPr>
              <w:jc w:val="left"/>
            </w:pPr>
            <w:r>
              <w:rPr>
                <w:rFonts w:ascii="Calibri" w:hAnsi="Calibri"/>
                <w:b/>
                <w:color w:val="FFFFFF"/>
                <w:sz w:val="19"/>
              </w:rPr>
              <w:t>FloodWay 2.0</w:t>
            </w:r>
          </w:p>
        </w:tc>
      </w:tr>
      <w:tr>
        <w:trPr>
          <w:cantSplit/>
        </w:trPr>
        <w:tc>
          <w:tcPr>
            <w:tcW w:type="dxa" w:w="2592"/>
            <w:shd w:fill="F9FAFB"/>
            <w:tcMar>
              <w:top w:w="100" w:type="dxa"/>
              <w:bottom w:w="100" w:type="dxa"/>
              <w:left w:w="160" w:type="dxa"/>
              <w:right w:w="160" w:type="dxa"/>
            </w:tcMar>
          </w:tcPr>
          <w:p>
            <w:pPr>
              <w:jc w:val="left"/>
            </w:pPr>
            <w:r>
              <w:rPr>
                <w:rFonts w:ascii="Calibri" w:hAnsi="Calibri"/>
                <w:color w:val="1F2937"/>
                <w:sz w:val="18"/>
              </w:rPr>
              <w:t>Hyperlocal Predictive AI</w:t>
            </w:r>
          </w:p>
        </w:tc>
        <w:tc>
          <w:tcPr>
            <w:tcW w:type="dxa" w:w="1584"/>
            <w:shd w:fill="F9FAFB"/>
            <w:tcMar>
              <w:top w:w="100" w:type="dxa"/>
              <w:bottom w:w="100" w:type="dxa"/>
              <w:left w:w="160" w:type="dxa"/>
              <w:right w:w="160" w:type="dxa"/>
            </w:tcMar>
          </w:tcPr>
          <w:p>
            <w:pPr>
              <w:jc w:val="left"/>
            </w:pPr>
            <w:r>
              <w:rPr>
                <w:rFonts w:ascii="Calibri" w:hAnsi="Calibri"/>
                <w:color w:val="1F2937"/>
                <w:sz w:val="18"/>
              </w:rPr>
              <w:t>No (Live only)</w:t>
            </w:r>
          </w:p>
        </w:tc>
        <w:tc>
          <w:tcPr>
            <w:tcW w:type="dxa" w:w="1584"/>
            <w:shd w:fill="F9FAFB"/>
            <w:tcMar>
              <w:top w:w="100" w:type="dxa"/>
              <w:bottom w:w="100" w:type="dxa"/>
              <w:left w:w="160" w:type="dxa"/>
              <w:right w:w="160" w:type="dxa"/>
            </w:tcMar>
          </w:tcPr>
          <w:p>
            <w:pPr>
              <w:jc w:val="left"/>
            </w:pPr>
            <w:r>
              <w:rPr>
                <w:rFonts w:ascii="Calibri" w:hAnsi="Calibri"/>
                <w:color w:val="1F2937"/>
                <w:sz w:val="18"/>
              </w:rPr>
              <w:t>No</w:t>
            </w:r>
          </w:p>
        </w:tc>
        <w:tc>
          <w:tcPr>
            <w:tcW w:type="dxa" w:w="1584"/>
            <w:shd w:fill="F9FAFB"/>
            <w:tcMar>
              <w:top w:w="100" w:type="dxa"/>
              <w:bottom w:w="100" w:type="dxa"/>
              <w:left w:w="160" w:type="dxa"/>
              <w:right w:w="160" w:type="dxa"/>
            </w:tcMar>
          </w:tcPr>
          <w:p>
            <w:pPr>
              <w:jc w:val="left"/>
            </w:pPr>
            <w:r>
              <w:rPr>
                <w:rFonts w:ascii="Calibri" w:hAnsi="Calibri"/>
                <w:color w:val="1F2937"/>
                <w:sz w:val="18"/>
              </w:rPr>
              <w:t>No</w:t>
            </w:r>
          </w:p>
        </w:tc>
        <w:tc>
          <w:tcPr>
            <w:tcW w:type="dxa" w:w="2016"/>
            <w:shd w:fill="F9FAFB"/>
            <w:tcMar>
              <w:top w:w="100" w:type="dxa"/>
              <w:bottom w:w="100" w:type="dxa"/>
              <w:left w:w="160" w:type="dxa"/>
              <w:right w:w="160" w:type="dxa"/>
            </w:tcMar>
          </w:tcPr>
          <w:p>
            <w:pPr>
              <w:jc w:val="left"/>
            </w:pPr>
            <w:r>
              <w:rPr>
                <w:rFonts w:ascii="Calibri" w:hAnsi="Calibri"/>
                <w:color w:val="1F2937"/>
                <w:sz w:val="18"/>
              </w:rPr>
              <w:t>Yes (30-120 min lead)</w:t>
            </w:r>
          </w:p>
        </w:tc>
      </w:tr>
      <w:tr>
        <w:trPr>
          <w:cantSplit/>
        </w:trPr>
        <w:tc>
          <w:tcPr>
            <w:tcW w:type="dxa" w:w="2592"/>
            <w:shd w:fill="FFFFFF"/>
            <w:tcMar>
              <w:top w:w="100" w:type="dxa"/>
              <w:bottom w:w="100" w:type="dxa"/>
              <w:left w:w="160" w:type="dxa"/>
              <w:right w:w="160" w:type="dxa"/>
            </w:tcMar>
          </w:tcPr>
          <w:p>
            <w:pPr>
              <w:jc w:val="left"/>
            </w:pPr>
            <w:r>
              <w:rPr>
                <w:rFonts w:ascii="Calibri" w:hAnsi="Calibri"/>
                <w:color w:val="1F2937"/>
                <w:sz w:val="18"/>
              </w:rPr>
              <w:t>Integrated Safe Routing</w:t>
            </w:r>
          </w:p>
        </w:tc>
        <w:tc>
          <w:tcPr>
            <w:tcW w:type="dxa" w:w="1584"/>
            <w:shd w:fill="FFFFFF"/>
            <w:tcMar>
              <w:top w:w="100" w:type="dxa"/>
              <w:bottom w:w="100" w:type="dxa"/>
              <w:left w:w="160" w:type="dxa"/>
              <w:right w:w="160" w:type="dxa"/>
            </w:tcMar>
          </w:tcPr>
          <w:p>
            <w:pPr>
              <w:jc w:val="left"/>
            </w:pPr>
            <w:r>
              <w:rPr>
                <w:rFonts w:ascii="Calibri" w:hAnsi="Calibri"/>
                <w:color w:val="1F2937"/>
                <w:sz w:val="18"/>
              </w:rPr>
              <w:t>No</w:t>
            </w:r>
          </w:p>
        </w:tc>
        <w:tc>
          <w:tcPr>
            <w:tcW w:type="dxa" w:w="1584"/>
            <w:shd w:fill="FFFFFF"/>
            <w:tcMar>
              <w:top w:w="100" w:type="dxa"/>
              <w:bottom w:w="100" w:type="dxa"/>
              <w:left w:w="160" w:type="dxa"/>
              <w:right w:w="160" w:type="dxa"/>
            </w:tcMar>
          </w:tcPr>
          <w:p>
            <w:pPr>
              <w:jc w:val="left"/>
            </w:pPr>
            <w:r>
              <w:rPr>
                <w:rFonts w:ascii="Calibri" w:hAnsi="Calibri"/>
                <w:color w:val="1F2937"/>
                <w:sz w:val="18"/>
              </w:rPr>
              <w:t>No</w:t>
            </w:r>
          </w:p>
        </w:tc>
        <w:tc>
          <w:tcPr>
            <w:tcW w:type="dxa" w:w="1584"/>
            <w:shd w:fill="FFFFFF"/>
            <w:tcMar>
              <w:top w:w="100" w:type="dxa"/>
              <w:bottom w:w="100" w:type="dxa"/>
              <w:left w:w="160" w:type="dxa"/>
              <w:right w:w="160" w:type="dxa"/>
            </w:tcMar>
          </w:tcPr>
          <w:p>
            <w:pPr>
              <w:jc w:val="left"/>
            </w:pPr>
            <w:r>
              <w:rPr>
                <w:rFonts w:ascii="Calibri" w:hAnsi="Calibri"/>
                <w:color w:val="1F2937"/>
                <w:sz w:val="18"/>
              </w:rPr>
              <w:t>No</w:t>
            </w:r>
          </w:p>
        </w:tc>
        <w:tc>
          <w:tcPr>
            <w:tcW w:type="dxa" w:w="2016"/>
            <w:shd w:fill="FFFFFF"/>
            <w:tcMar>
              <w:top w:w="100" w:type="dxa"/>
              <w:bottom w:w="100" w:type="dxa"/>
              <w:left w:w="160" w:type="dxa"/>
              <w:right w:w="160" w:type="dxa"/>
            </w:tcMar>
          </w:tcPr>
          <w:p>
            <w:pPr>
              <w:jc w:val="left"/>
            </w:pPr>
            <w:r>
              <w:rPr>
                <w:rFonts w:ascii="Calibri" w:hAnsi="Calibri"/>
                <w:color w:val="1F2937"/>
                <w:sz w:val="18"/>
              </w:rPr>
              <w:t>Yes (OSRM Hydrodynamic)</w:t>
            </w:r>
          </w:p>
        </w:tc>
      </w:tr>
      <w:tr>
        <w:trPr>
          <w:cantSplit/>
        </w:trPr>
        <w:tc>
          <w:tcPr>
            <w:tcW w:type="dxa" w:w="2592"/>
            <w:shd w:fill="F9FAFB"/>
            <w:tcMar>
              <w:top w:w="100" w:type="dxa"/>
              <w:bottom w:w="100" w:type="dxa"/>
              <w:left w:w="160" w:type="dxa"/>
              <w:right w:w="160" w:type="dxa"/>
            </w:tcMar>
          </w:tcPr>
          <w:p>
            <w:pPr>
              <w:jc w:val="left"/>
            </w:pPr>
            <w:r>
              <w:rPr>
                <w:rFonts w:ascii="Calibri" w:hAnsi="Calibri"/>
                <w:color w:val="1F2937"/>
                <w:sz w:val="18"/>
              </w:rPr>
              <w:t>Live Shelter Capacity Sync</w:t>
            </w:r>
          </w:p>
        </w:tc>
        <w:tc>
          <w:tcPr>
            <w:tcW w:type="dxa" w:w="1584"/>
            <w:shd w:fill="F9FAFB"/>
            <w:tcMar>
              <w:top w:w="100" w:type="dxa"/>
              <w:bottom w:w="100" w:type="dxa"/>
              <w:left w:w="160" w:type="dxa"/>
              <w:right w:w="160" w:type="dxa"/>
            </w:tcMar>
          </w:tcPr>
          <w:p>
            <w:pPr>
              <w:jc w:val="left"/>
            </w:pPr>
            <w:r>
              <w:rPr>
                <w:rFonts w:ascii="Calibri" w:hAnsi="Calibri"/>
                <w:color w:val="1F2937"/>
                <w:sz w:val="18"/>
              </w:rPr>
              <w:t>No</w:t>
            </w:r>
          </w:p>
        </w:tc>
        <w:tc>
          <w:tcPr>
            <w:tcW w:type="dxa" w:w="1584"/>
            <w:shd w:fill="F9FAFB"/>
            <w:tcMar>
              <w:top w:w="100" w:type="dxa"/>
              <w:bottom w:w="100" w:type="dxa"/>
              <w:left w:w="160" w:type="dxa"/>
              <w:right w:w="160" w:type="dxa"/>
            </w:tcMar>
          </w:tcPr>
          <w:p>
            <w:pPr>
              <w:jc w:val="left"/>
            </w:pPr>
            <w:r>
              <w:rPr>
                <w:rFonts w:ascii="Calibri" w:hAnsi="Calibri"/>
                <w:color w:val="1F2937"/>
                <w:sz w:val="18"/>
              </w:rPr>
              <w:t>Yes (Static)</w:t>
            </w:r>
          </w:p>
        </w:tc>
        <w:tc>
          <w:tcPr>
            <w:tcW w:type="dxa" w:w="1584"/>
            <w:shd w:fill="F9FAFB"/>
            <w:tcMar>
              <w:top w:w="100" w:type="dxa"/>
              <w:bottom w:w="100" w:type="dxa"/>
              <w:left w:w="160" w:type="dxa"/>
              <w:right w:w="160" w:type="dxa"/>
            </w:tcMar>
          </w:tcPr>
          <w:p>
            <w:pPr>
              <w:jc w:val="left"/>
            </w:pPr>
            <w:r>
              <w:rPr>
                <w:rFonts w:ascii="Calibri" w:hAnsi="Calibri"/>
                <w:color w:val="1F2937"/>
                <w:sz w:val="18"/>
              </w:rPr>
              <w:t>No</w:t>
            </w:r>
          </w:p>
        </w:tc>
        <w:tc>
          <w:tcPr>
            <w:tcW w:type="dxa" w:w="2016"/>
            <w:shd w:fill="F9FAFB"/>
            <w:tcMar>
              <w:top w:w="100" w:type="dxa"/>
              <w:bottom w:w="100" w:type="dxa"/>
              <w:left w:w="160" w:type="dxa"/>
              <w:right w:w="160" w:type="dxa"/>
            </w:tcMar>
          </w:tcPr>
          <w:p>
            <w:pPr>
              <w:jc w:val="left"/>
            </w:pPr>
            <w:r>
              <w:rPr>
                <w:rFonts w:ascii="Calibri" w:hAnsi="Calibri"/>
                <w:color w:val="1F2937"/>
                <w:sz w:val="18"/>
              </w:rPr>
              <w:t>Yes (Dynamic Routing)</w:t>
            </w:r>
          </w:p>
        </w:tc>
      </w:tr>
      <w:tr>
        <w:trPr>
          <w:cantSplit/>
        </w:trPr>
        <w:tc>
          <w:tcPr>
            <w:tcW w:type="dxa" w:w="2592"/>
            <w:shd w:fill="FFFFFF"/>
            <w:tcMar>
              <w:top w:w="100" w:type="dxa"/>
              <w:bottom w:w="100" w:type="dxa"/>
              <w:left w:w="160" w:type="dxa"/>
              <w:right w:w="160" w:type="dxa"/>
            </w:tcMar>
          </w:tcPr>
          <w:p>
            <w:pPr>
              <w:jc w:val="left"/>
            </w:pPr>
            <w:r>
              <w:rPr>
                <w:rFonts w:ascii="Calibri" w:hAnsi="Calibri"/>
                <w:color w:val="1F2937"/>
                <w:sz w:val="18"/>
              </w:rPr>
              <w:t>Computer Vision Image Verification</w:t>
            </w:r>
          </w:p>
        </w:tc>
        <w:tc>
          <w:tcPr>
            <w:tcW w:type="dxa" w:w="1584"/>
            <w:shd w:fill="FFFFFF"/>
            <w:tcMar>
              <w:top w:w="100" w:type="dxa"/>
              <w:bottom w:w="100" w:type="dxa"/>
              <w:left w:w="160" w:type="dxa"/>
              <w:right w:w="160" w:type="dxa"/>
            </w:tcMar>
          </w:tcPr>
          <w:p>
            <w:pPr>
              <w:jc w:val="left"/>
            </w:pPr>
            <w:r>
              <w:rPr>
                <w:rFonts w:ascii="Calibri" w:hAnsi="Calibri"/>
                <w:color w:val="1F2937"/>
                <w:sz w:val="18"/>
              </w:rPr>
              <w:t>No</w:t>
            </w:r>
          </w:p>
        </w:tc>
        <w:tc>
          <w:tcPr>
            <w:tcW w:type="dxa" w:w="1584"/>
            <w:shd w:fill="FFFFFF"/>
            <w:tcMar>
              <w:top w:w="100" w:type="dxa"/>
              <w:bottom w:w="100" w:type="dxa"/>
              <w:left w:w="160" w:type="dxa"/>
              <w:right w:w="160" w:type="dxa"/>
            </w:tcMar>
          </w:tcPr>
          <w:p>
            <w:pPr>
              <w:jc w:val="left"/>
            </w:pPr>
            <w:r>
              <w:rPr>
                <w:rFonts w:ascii="Calibri" w:hAnsi="Calibri"/>
                <w:color w:val="1F2937"/>
                <w:sz w:val="18"/>
              </w:rPr>
              <w:t>No</w:t>
            </w:r>
          </w:p>
        </w:tc>
        <w:tc>
          <w:tcPr>
            <w:tcW w:type="dxa" w:w="1584"/>
            <w:shd w:fill="FFFFFF"/>
            <w:tcMar>
              <w:top w:w="100" w:type="dxa"/>
              <w:bottom w:w="100" w:type="dxa"/>
              <w:left w:w="160" w:type="dxa"/>
              <w:right w:w="160" w:type="dxa"/>
            </w:tcMar>
          </w:tcPr>
          <w:p>
            <w:pPr>
              <w:jc w:val="left"/>
            </w:pPr>
            <w:r>
              <w:rPr>
                <w:rFonts w:ascii="Calibri" w:hAnsi="Calibri"/>
                <w:color w:val="1F2937"/>
                <w:sz w:val="18"/>
              </w:rPr>
              <w:t>No</w:t>
            </w:r>
          </w:p>
        </w:tc>
        <w:tc>
          <w:tcPr>
            <w:tcW w:type="dxa" w:w="2016"/>
            <w:shd w:fill="FFFFFF"/>
            <w:tcMar>
              <w:top w:w="100" w:type="dxa"/>
              <w:bottom w:w="100" w:type="dxa"/>
              <w:left w:w="160" w:type="dxa"/>
              <w:right w:w="160" w:type="dxa"/>
            </w:tcMar>
          </w:tcPr>
          <w:p>
            <w:pPr>
              <w:jc w:val="left"/>
            </w:pPr>
            <w:r>
              <w:rPr>
                <w:rFonts w:ascii="Calibri" w:hAnsi="Calibri"/>
                <w:color w:val="1F2937"/>
                <w:sz w:val="18"/>
              </w:rPr>
              <w:t>Yes (YOLOv8 + Human Sentinel)</w:t>
            </w:r>
          </w:p>
        </w:tc>
      </w:tr>
    </w:tbl>
    <w:p>
      <w:pPr>
        <w:spacing w:after="120"/>
      </w:pPr>
    </w:p>
    <w:p>
      <w:pPr>
        <w:spacing w:before="0" w:after="100" w:line="276" w:lineRule="auto"/>
      </w:pPr>
      <w:r>
        <w:rPr>
          <w:rFonts w:ascii="Calibri" w:hAnsi="Calibri"/>
          <w:i w:val="0"/>
          <w:color w:val="1F2937"/>
          <w:sz w:val="20"/>
        </w:rPr>
        <w:t>FloodWay 2.0 synthesizes these fragmented capabilities into a unified, citizen-facing progressive web application. By linking real-time IoT sensor telemetry to predictive neural networks and hydrodynamic routing graphs, it bridges the perilous gap between disaster detection and safe physical evacuation.</w:t>
      </w:r>
    </w:p>
    <w:p>
      <w:pPr>
        <w:keepNext/>
        <w:spacing w:before="320" w:after="120"/>
      </w:pPr>
      <w:r>
        <w:rPr>
          <w:rFonts w:ascii="Calibri" w:hAnsi="Calibri"/>
          <w:b/>
          <w:color w:val="1E3A8A"/>
          <w:sz w:val="32"/>
        </w:rPr>
        <w:t>7. Methodology</w:t>
      </w:r>
    </w:p>
    <w:p>
      <w:pPr>
        <w:spacing w:before="0" w:after="100" w:line="276" w:lineRule="auto"/>
      </w:pPr>
      <w:r>
        <w:rPr>
          <w:rFonts w:ascii="Calibri" w:hAnsi="Calibri"/>
          <w:i w:val="0"/>
          <w:color w:val="1F2937"/>
          <w:sz w:val="20"/>
        </w:rPr>
        <w:t>The engineering lifecycle of FloodWay 2.0 follows an agile, data-driven methodology structured across five sequential phases:</w:t>
      </w:r>
    </w:p>
    <w:p>
      <w:pPr>
        <w:keepNext/>
        <w:spacing w:before="240" w:after="80"/>
      </w:pPr>
      <w:r>
        <w:rPr>
          <w:rFonts w:ascii="Calibri" w:hAnsi="Calibri"/>
          <w:b/>
          <w:color w:val="2563EB"/>
          <w:sz w:val="26"/>
        </w:rPr>
        <w:t>7.1 Problem Research &amp; Data Acquisition</w:t>
      </w:r>
    </w:p>
    <w:p>
      <w:pPr>
        <w:pStyle w:val="ListBullet"/>
        <w:spacing w:before="0" w:after="60" w:line="276" w:lineRule="auto"/>
      </w:pPr>
      <w:r>
        <w:rPr>
          <w:rFonts w:ascii="Calibri" w:hAnsi="Calibri"/>
          <w:b/>
          <w:color w:val="1F2937"/>
          <w:sz w:val="20"/>
        </w:rPr>
        <w:t xml:space="preserve">Community Discovery: </w:t>
      </w:r>
      <w:r>
        <w:rPr>
          <w:rFonts w:ascii="Calibri" w:hAnsi="Calibri"/>
          <w:color w:val="1F2937"/>
          <w:sz w:val="20"/>
        </w:rPr>
        <w:t xml:space="preserve"> Field visits to flood-prone communities in Kampung Baru and Taman Sri Muda to understand citizen pain points, evacuation failure modes, and communication bottlenecks during rapid water rises.</w:t>
      </w:r>
    </w:p>
    <w:p>
      <w:pPr>
        <w:pStyle w:val="ListBullet"/>
        <w:spacing w:before="0" w:after="60" w:line="276" w:lineRule="auto"/>
      </w:pPr>
      <w:r>
        <w:rPr>
          <w:rFonts w:ascii="Calibri" w:hAnsi="Calibri"/>
          <w:b/>
          <w:color w:val="1F2937"/>
          <w:sz w:val="20"/>
        </w:rPr>
        <w:t xml:space="preserve">Hydrological Data Harvesting: </w:t>
      </w:r>
      <w:r>
        <w:rPr>
          <w:rFonts w:ascii="Calibri" w:hAnsi="Calibri"/>
          <w:color w:val="1F2937"/>
          <w:sz w:val="20"/>
        </w:rPr>
        <w:t xml:space="preserve"> Integration of open meteorological APIs (Open-Meteo precipitation datasets, JPS historical river stage records, and OpenStreetMap road vector geometries).</w:t>
      </w:r>
    </w:p>
    <w:p>
      <w:pPr>
        <w:keepNext/>
        <w:spacing w:before="240" w:after="80"/>
      </w:pPr>
      <w:r>
        <w:rPr>
          <w:rFonts w:ascii="Calibri" w:hAnsi="Calibri"/>
          <w:b/>
          <w:color w:val="2563EB"/>
          <w:sz w:val="26"/>
        </w:rPr>
        <w:t>7.2 System Design</w:t>
      </w:r>
    </w:p>
    <w:p>
      <w:pPr>
        <w:keepNext/>
        <w:spacing w:before="160" w:after="40"/>
      </w:pPr>
      <w:r>
        <w:rPr>
          <w:rFonts w:ascii="Calibri" w:hAnsi="Calibri"/>
          <w:b/>
          <w:color w:val="1E3A8A"/>
          <w:sz w:val="22"/>
        </w:rPr>
        <w:t>7.2.1 Data Flow Pipelines</w:t>
      </w:r>
    </w:p>
    <w:p>
      <w:pPr>
        <w:spacing w:before="0" w:after="100" w:line="276" w:lineRule="auto"/>
      </w:pPr>
      <w:r>
        <w:rPr>
          <w:rFonts w:ascii="Calibri" w:hAnsi="Calibri"/>
          <w:i w:val="0"/>
          <w:color w:val="1F2937"/>
          <w:sz w:val="20"/>
        </w:rPr>
        <w:t>Telemetry flows from the physical edge to the client through a multi-tiered pipeline:</w:t>
      </w:r>
    </w:p>
    <w:p>
      <w:pPr>
        <w:spacing w:before="0" w:after="100" w:line="276" w:lineRule="auto"/>
      </w:pPr>
      <w:r>
        <w:rPr>
          <w:rFonts w:ascii="Calibri" w:hAnsi="Calibri"/>
          <w:i w:val="0"/>
          <w:color w:val="1F2937"/>
          <w:sz w:val="20"/>
        </w:rPr>
        <w:t>1. The ESP32 edge node measures water distance via the waterproof JSN-SR04T ultrasonic transducer every 30 seconds.</w:t>
        <w:br/>
        <w:t>2. Telemetry is hashed with an HMAC-SHA256 signature using a pre-shared secret key and transmitted via HTTPS POST to the FastAPI backend at /api/v1/ingest.</w:t>
        <w:br/>
        <w:t>3. The backend validates the HMAC signature, stores raw readings in PostgreSQL/TimescaleDB, and computes rolling 15-minute average windows.</w:t>
        <w:br/>
        <w:t>4. Precipitation rates from Open-Meteo are combined with river stage windows and dispatched to the ModelArts inference container.</w:t>
        <w:br/>
        <w:t>5. ModelArts returns predicted stage heights (+30 min, +60 min, +120 min) with P10/P50/P90 confidence intervals.</w:t>
        <w:br/>
        <w:t>6. Updated risk levels are broadcast to connected clients via WebSockets and REST cache.</w:t>
      </w:r>
    </w:p>
    <w:p>
      <w:pPr>
        <w:keepNext/>
        <w:spacing w:before="160" w:after="40"/>
      </w:pPr>
      <w:r>
        <w:rPr>
          <w:rFonts w:ascii="Calibri" w:hAnsi="Calibri"/>
          <w:b/>
          <w:color w:val="1E3A8A"/>
          <w:sz w:val="22"/>
        </w:rPr>
        <w:t>7.2.2 Risk Classification Logic</w:t>
      </w:r>
    </w:p>
    <w:p>
      <w:pPr>
        <w:spacing w:before="0" w:after="100" w:line="276" w:lineRule="auto"/>
      </w:pPr>
      <w:r>
        <w:rPr>
          <w:rFonts w:ascii="Calibri" w:hAnsi="Calibri"/>
          <w:i w:val="0"/>
          <w:color w:val="1F2937"/>
          <w:sz w:val="20"/>
        </w:rPr>
        <w:t>To eliminate cognitive overload during emergencies, FloodWay utilizes a 3-Phase State Machine with hysteresis to avoid oscillating alert states:</w:t>
      </w:r>
    </w:p>
    <w:tbl>
      <w:tblPr>
        <w:tblW w:type="auto" w:w="0"/>
        <w:jc w:val="center"/>
        <w:tblLayout w:type="fixed"/>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2340"/>
        <w:gridCol w:w="2340"/>
        <w:gridCol w:w="2340"/>
        <w:gridCol w:w="2340"/>
      </w:tblGrid>
      <w:tr>
        <w:trPr>
          <w:cantSplit/>
          <w:tblHeader/>
        </w:trPr>
        <w:tc>
          <w:tcPr>
            <w:tcW w:type="dxa" w:w="1728"/>
            <w:shd w:fill="1E3A8A"/>
            <w:tcMar>
              <w:top w:w="140" w:type="dxa"/>
              <w:bottom w:w="140" w:type="dxa"/>
              <w:left w:w="160" w:type="dxa"/>
              <w:right w:w="160" w:type="dxa"/>
            </w:tcMar>
          </w:tcPr>
          <w:p>
            <w:pPr>
              <w:jc w:val="left"/>
            </w:pPr>
            <w:r>
              <w:rPr>
                <w:rFonts w:ascii="Calibri" w:hAnsi="Calibri"/>
                <w:b/>
                <w:color w:val="FFFFFF"/>
                <w:sz w:val="19"/>
              </w:rPr>
              <w:t>Phase State</w:t>
            </w:r>
          </w:p>
        </w:tc>
        <w:tc>
          <w:tcPr>
            <w:tcW w:type="dxa" w:w="2592"/>
            <w:shd w:fill="1E3A8A"/>
            <w:tcMar>
              <w:top w:w="140" w:type="dxa"/>
              <w:bottom w:w="140" w:type="dxa"/>
              <w:left w:w="160" w:type="dxa"/>
              <w:right w:w="160" w:type="dxa"/>
            </w:tcMar>
          </w:tcPr>
          <w:p>
            <w:pPr>
              <w:jc w:val="left"/>
            </w:pPr>
            <w:r>
              <w:rPr>
                <w:rFonts w:ascii="Calibri" w:hAnsi="Calibri"/>
                <w:b/>
                <w:color w:val="FFFFFF"/>
                <w:sz w:val="19"/>
              </w:rPr>
              <w:t>Trigger Criteria</w:t>
            </w:r>
          </w:p>
        </w:tc>
        <w:tc>
          <w:tcPr>
            <w:tcW w:type="dxa" w:w="2160"/>
            <w:shd w:fill="1E3A8A"/>
            <w:tcMar>
              <w:top w:w="140" w:type="dxa"/>
              <w:bottom w:w="140" w:type="dxa"/>
              <w:left w:w="160" w:type="dxa"/>
              <w:right w:w="160" w:type="dxa"/>
            </w:tcMar>
          </w:tcPr>
          <w:p>
            <w:pPr>
              <w:jc w:val="left"/>
            </w:pPr>
            <w:r>
              <w:rPr>
                <w:rFonts w:ascii="Calibri" w:hAnsi="Calibri"/>
                <w:b/>
                <w:color w:val="FFFFFF"/>
                <w:sz w:val="19"/>
              </w:rPr>
              <w:t>Vehicle Impact</w:t>
            </w:r>
          </w:p>
        </w:tc>
        <w:tc>
          <w:tcPr>
            <w:tcW w:type="dxa" w:w="2880"/>
            <w:shd w:fill="1E3A8A"/>
            <w:tcMar>
              <w:top w:w="140" w:type="dxa"/>
              <w:bottom w:w="140" w:type="dxa"/>
              <w:left w:w="160" w:type="dxa"/>
              <w:right w:w="160" w:type="dxa"/>
            </w:tcMar>
          </w:tcPr>
          <w:p>
            <w:pPr>
              <w:jc w:val="left"/>
            </w:pPr>
            <w:r>
              <w:rPr>
                <w:rFonts w:ascii="Calibri" w:hAnsi="Calibri"/>
                <w:b/>
                <w:color w:val="FFFFFF"/>
                <w:sz w:val="19"/>
              </w:rPr>
              <w:t>System Actions</w:t>
            </w:r>
          </w:p>
        </w:tc>
      </w:tr>
      <w:tr>
        <w:trPr>
          <w:cantSplit/>
        </w:trPr>
        <w:tc>
          <w:tcPr>
            <w:tcW w:type="dxa" w:w="1728"/>
            <w:shd w:fill="F9FAFB"/>
            <w:tcMar>
              <w:top w:w="100" w:type="dxa"/>
              <w:bottom w:w="100" w:type="dxa"/>
              <w:left w:w="160" w:type="dxa"/>
              <w:right w:w="160" w:type="dxa"/>
            </w:tcMar>
          </w:tcPr>
          <w:p>
            <w:pPr>
              <w:jc w:val="left"/>
            </w:pPr>
            <w:r>
              <w:rPr>
                <w:rFonts w:ascii="Calibri" w:hAnsi="Calibri"/>
                <w:color w:val="1F2937"/>
                <w:sz w:val="18"/>
              </w:rPr>
              <w:t>NORMAL</w:t>
              <w:br/>
              <w:t>(Green)</w:t>
            </w:r>
          </w:p>
        </w:tc>
        <w:tc>
          <w:tcPr>
            <w:tcW w:type="dxa" w:w="2592"/>
            <w:shd w:fill="F9FAFB"/>
            <w:tcMar>
              <w:top w:w="100" w:type="dxa"/>
              <w:bottom w:w="100" w:type="dxa"/>
              <w:left w:w="160" w:type="dxa"/>
              <w:right w:w="160" w:type="dxa"/>
            </w:tcMar>
          </w:tcPr>
          <w:p>
            <w:pPr>
              <w:jc w:val="left"/>
            </w:pPr>
            <w:r>
              <w:rPr>
                <w:rFonts w:ascii="Calibri" w:hAnsi="Calibri"/>
                <w:color w:val="1F2937"/>
                <w:sz w:val="18"/>
              </w:rPr>
              <w:t>Water stage &lt; Alert Level;</w:t>
              <w:br/>
              <w:t>Rainfall &lt; 10 mm/hr</w:t>
            </w:r>
          </w:p>
        </w:tc>
        <w:tc>
          <w:tcPr>
            <w:tcW w:type="dxa" w:w="2160"/>
            <w:shd w:fill="F9FAFB"/>
            <w:tcMar>
              <w:top w:w="100" w:type="dxa"/>
              <w:bottom w:w="100" w:type="dxa"/>
              <w:left w:w="160" w:type="dxa"/>
              <w:right w:w="160" w:type="dxa"/>
            </w:tcMar>
          </w:tcPr>
          <w:p>
            <w:pPr>
              <w:jc w:val="left"/>
            </w:pPr>
            <w:r>
              <w:rPr>
                <w:rFonts w:ascii="Calibri" w:hAnsi="Calibri"/>
                <w:color w:val="1F2937"/>
                <w:sz w:val="18"/>
              </w:rPr>
              <w:t>All roads passable;</w:t>
              <w:br/>
              <w:t>Normal driving limits.</w:t>
            </w:r>
          </w:p>
        </w:tc>
        <w:tc>
          <w:tcPr>
            <w:tcW w:type="dxa" w:w="2880"/>
            <w:shd w:fill="F9FAFB"/>
            <w:tcMar>
              <w:top w:w="100" w:type="dxa"/>
              <w:bottom w:w="100" w:type="dxa"/>
              <w:left w:w="160" w:type="dxa"/>
              <w:right w:w="160" w:type="dxa"/>
            </w:tcMar>
          </w:tcPr>
          <w:p>
            <w:pPr>
              <w:jc w:val="left"/>
            </w:pPr>
            <w:r>
              <w:rPr>
                <w:rFonts w:ascii="Calibri" w:hAnsi="Calibri"/>
                <w:color w:val="1F2937"/>
                <w:sz w:val="18"/>
              </w:rPr>
              <w:t>Background monitoring; Routine telemetry sync; Standby mode.</w:t>
            </w:r>
          </w:p>
        </w:tc>
      </w:tr>
      <w:tr>
        <w:trPr>
          <w:cantSplit/>
        </w:trPr>
        <w:tc>
          <w:tcPr>
            <w:tcW w:type="dxa" w:w="1728"/>
            <w:shd w:fill="FFFFFF"/>
            <w:tcMar>
              <w:top w:w="100" w:type="dxa"/>
              <w:bottom w:w="100" w:type="dxa"/>
              <w:left w:w="160" w:type="dxa"/>
              <w:right w:w="160" w:type="dxa"/>
            </w:tcMar>
          </w:tcPr>
          <w:p>
            <w:pPr>
              <w:jc w:val="left"/>
            </w:pPr>
            <w:r>
              <w:rPr>
                <w:rFonts w:ascii="Calibri" w:hAnsi="Calibri"/>
                <w:color w:val="1F2937"/>
                <w:sz w:val="18"/>
              </w:rPr>
              <w:t>WARNING</w:t>
              <w:br/>
              <w:t>(Yellow)</w:t>
            </w:r>
          </w:p>
        </w:tc>
        <w:tc>
          <w:tcPr>
            <w:tcW w:type="dxa" w:w="2592"/>
            <w:shd w:fill="FFFFFF"/>
            <w:tcMar>
              <w:top w:w="100" w:type="dxa"/>
              <w:bottom w:w="100" w:type="dxa"/>
              <w:left w:w="160" w:type="dxa"/>
              <w:right w:w="160" w:type="dxa"/>
            </w:tcMar>
          </w:tcPr>
          <w:p>
            <w:pPr>
              <w:jc w:val="left"/>
            </w:pPr>
            <w:r>
              <w:rPr>
                <w:rFonts w:ascii="Calibri" w:hAnsi="Calibri"/>
                <w:color w:val="1F2937"/>
                <w:sz w:val="18"/>
              </w:rPr>
              <w:t>Water stage &gt;= Alert Level OR</w:t>
              <w:br/>
              <w:t>Rainfall &gt; 30 mm/hr OR</w:t>
              <w:br/>
              <w:t>Forecast &gt; Warning in 60m</w:t>
            </w:r>
          </w:p>
        </w:tc>
        <w:tc>
          <w:tcPr>
            <w:tcW w:type="dxa" w:w="2160"/>
            <w:shd w:fill="FFFFFF"/>
            <w:tcMar>
              <w:top w:w="100" w:type="dxa"/>
              <w:bottom w:w="100" w:type="dxa"/>
              <w:left w:w="160" w:type="dxa"/>
              <w:right w:w="160" w:type="dxa"/>
            </w:tcMar>
          </w:tcPr>
          <w:p>
            <w:pPr>
              <w:jc w:val="left"/>
            </w:pPr>
            <w:r>
              <w:rPr>
                <w:rFonts w:ascii="Calibri" w:hAnsi="Calibri"/>
                <w:color w:val="1F2937"/>
                <w:sz w:val="18"/>
              </w:rPr>
              <w:t>Pedestrians (0.10m) &amp;</w:t>
              <w:br/>
              <w:t>Motorcycles (0.15m) restricted.</w:t>
            </w:r>
          </w:p>
        </w:tc>
        <w:tc>
          <w:tcPr>
            <w:tcW w:type="dxa" w:w="2880"/>
            <w:shd w:fill="FFFFFF"/>
            <w:tcMar>
              <w:top w:w="100" w:type="dxa"/>
              <w:bottom w:w="100" w:type="dxa"/>
              <w:left w:w="160" w:type="dxa"/>
              <w:right w:w="160" w:type="dxa"/>
            </w:tcMar>
          </w:tcPr>
          <w:p>
            <w:pPr>
              <w:jc w:val="left"/>
            </w:pPr>
            <w:r>
              <w:rPr>
                <w:rFonts w:ascii="Calibri" w:hAnsi="Calibri"/>
                <w:color w:val="1F2937"/>
                <w:sz w:val="18"/>
              </w:rPr>
              <w:t>Display safe shelter route CTA; Push SMS pre-warning to high-risk residents; 3D twin shows alert water surface.</w:t>
            </w:r>
          </w:p>
        </w:tc>
      </w:tr>
      <w:tr>
        <w:trPr>
          <w:cantSplit/>
        </w:trPr>
        <w:tc>
          <w:tcPr>
            <w:tcW w:type="dxa" w:w="1728"/>
            <w:shd w:fill="F9FAFB"/>
            <w:tcMar>
              <w:top w:w="100" w:type="dxa"/>
              <w:bottom w:w="100" w:type="dxa"/>
              <w:left w:w="160" w:type="dxa"/>
              <w:right w:w="160" w:type="dxa"/>
            </w:tcMar>
          </w:tcPr>
          <w:p>
            <w:pPr>
              <w:jc w:val="left"/>
            </w:pPr>
            <w:r>
              <w:rPr>
                <w:rFonts w:ascii="Calibri" w:hAnsi="Calibri"/>
                <w:color w:val="1F2937"/>
                <w:sz w:val="18"/>
              </w:rPr>
              <w:t>DANGER</w:t>
              <w:br/>
              <w:t>(Red)</w:t>
            </w:r>
          </w:p>
        </w:tc>
        <w:tc>
          <w:tcPr>
            <w:tcW w:type="dxa" w:w="2592"/>
            <w:shd w:fill="F9FAFB"/>
            <w:tcMar>
              <w:top w:w="100" w:type="dxa"/>
              <w:bottom w:w="100" w:type="dxa"/>
              <w:left w:w="160" w:type="dxa"/>
              <w:right w:w="160" w:type="dxa"/>
            </w:tcMar>
          </w:tcPr>
          <w:p>
            <w:pPr>
              <w:jc w:val="left"/>
            </w:pPr>
            <w:r>
              <w:rPr>
                <w:rFonts w:ascii="Calibri" w:hAnsi="Calibri"/>
                <w:color w:val="1F2937"/>
                <w:sz w:val="18"/>
              </w:rPr>
              <w:t>Water stage &gt;= Danger Level (0.30 m above bank); Inundation active</w:t>
            </w:r>
          </w:p>
        </w:tc>
        <w:tc>
          <w:tcPr>
            <w:tcW w:type="dxa" w:w="2160"/>
            <w:shd w:fill="F9FAFB"/>
            <w:tcMar>
              <w:top w:w="100" w:type="dxa"/>
              <w:bottom w:w="100" w:type="dxa"/>
              <w:left w:w="160" w:type="dxa"/>
              <w:right w:w="160" w:type="dxa"/>
            </w:tcMar>
          </w:tcPr>
          <w:p>
            <w:pPr>
              <w:jc w:val="left"/>
            </w:pPr>
            <w:r>
              <w:rPr>
                <w:rFonts w:ascii="Calibri" w:hAnsi="Calibri"/>
                <w:color w:val="1F2937"/>
                <w:sz w:val="18"/>
              </w:rPr>
              <w:t>Sedans (0.30m) stalled;</w:t>
              <w:br/>
              <w:t>Only 4x4 / Trucks (0.70m).</w:t>
            </w:r>
          </w:p>
        </w:tc>
        <w:tc>
          <w:tcPr>
            <w:tcW w:type="dxa" w:w="2880"/>
            <w:shd w:fill="F9FAFB"/>
            <w:tcMar>
              <w:top w:w="100" w:type="dxa"/>
              <w:bottom w:w="100" w:type="dxa"/>
              <w:left w:w="160" w:type="dxa"/>
              <w:right w:w="160" w:type="dxa"/>
            </w:tcMar>
          </w:tcPr>
          <w:p>
            <w:pPr>
              <w:jc w:val="left"/>
            </w:pPr>
            <w:r>
              <w:rPr>
                <w:rFonts w:ascii="Calibri" w:hAnsi="Calibri"/>
                <w:color w:val="1F2937"/>
                <w:sz w:val="18"/>
              </w:rPr>
              <w:t>Pulsing red HUD; Auto-trigger high-ground route; Activate 1-Tap SOS broadcast; Reroute all civilian traffic.</w:t>
            </w:r>
          </w:p>
        </w:tc>
      </w:tr>
    </w:tbl>
    <w:p>
      <w:pPr>
        <w:spacing w:after="120"/>
      </w:pPr>
    </w:p>
    <w:p>
      <w:pPr>
        <w:keepNext/>
        <w:spacing w:before="160" w:after="40"/>
      </w:pPr>
      <w:r>
        <w:rPr>
          <w:rFonts w:ascii="Calibri" w:hAnsi="Calibri"/>
          <w:b/>
          <w:color w:val="1E3A8A"/>
          <w:sz w:val="22"/>
        </w:rPr>
        <w:t>7.2.3 Risk-Aware Routing Mechanism</w:t>
      </w:r>
    </w:p>
    <w:p>
      <w:pPr>
        <w:spacing w:before="0" w:after="100" w:line="276" w:lineRule="auto"/>
      </w:pPr>
      <w:r>
        <w:rPr>
          <w:rFonts w:ascii="Calibri" w:hAnsi="Calibri"/>
          <w:i w:val="0"/>
          <w:color w:val="1F2937"/>
          <w:sz w:val="20"/>
        </w:rPr>
        <w:t>Standard routing computes edge weights solely as travel time: w(e) = distance / speed_limit. FloodWay 2.0 dynamically penalizes road edges intersecting active flood risk polygons:</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left w:val="single" w:sz="36" w:space="0" w:color="0284C7"/>
              <w:bottom w:val="none"/>
              <w:right w:val="none"/>
            </w:tcBorders>
          </w:tcPr>
          <w:p>
            <w:pPr>
              <w:spacing w:before="40" w:after="40" w:line="276" w:lineRule="auto"/>
            </w:pPr>
            <w:r>
              <w:rPr>
                <w:rFonts w:ascii="Calibri" w:hAnsi="Calibri"/>
                <w:b/>
                <w:color w:val="1E3A8A"/>
                <w:sz w:val="19"/>
              </w:rPr>
              <w:t xml:space="preserve">HYDRODYNAMIC ROUTING FORMULA: </w:t>
            </w:r>
            <w:r>
              <w:rPr>
                <w:rFonts w:ascii="Calibri" w:hAnsi="Calibri"/>
                <w:color w:val="1F2937"/>
                <w:sz w:val="19"/>
              </w:rPr>
              <w:t>w*(e) = w(e) * [ 1 + (Depth(e) / Vehicle_Clearance)^3 * Penalty_Factor ]</w:t>
              <w:br/>
              <w:t>Where Depth(e) represents estimated water depth on road segment e. If Depth(e) &gt;= Vehicle_Clearance, w*(e) approaches infinity (edge hard-blocked).</w:t>
            </w:r>
          </w:p>
        </w:tc>
      </w:tr>
    </w:tbl>
    <w:p>
      <w:pPr>
        <w:spacing w:after="40"/>
      </w:pPr>
    </w:p>
    <w:p>
      <w:pPr>
        <w:keepNext/>
        <w:spacing w:before="240" w:after="80"/>
      </w:pPr>
      <w:r>
        <w:rPr>
          <w:rFonts w:ascii="Calibri" w:hAnsi="Calibri"/>
          <w:b/>
          <w:color w:val="2563EB"/>
          <w:sz w:val="26"/>
        </w:rPr>
        <w:t>7.3 Prototype Development</w:t>
      </w:r>
    </w:p>
    <w:p>
      <w:pPr>
        <w:keepNext/>
        <w:spacing w:before="160" w:after="40"/>
      </w:pPr>
      <w:r>
        <w:rPr>
          <w:rFonts w:ascii="Calibri" w:hAnsi="Calibri"/>
          <w:b/>
          <w:color w:val="1E3A8A"/>
          <w:sz w:val="22"/>
        </w:rPr>
        <w:t>7.3.1 Frontend Interface Development</w:t>
      </w:r>
    </w:p>
    <w:p>
      <w:pPr>
        <w:spacing w:before="0" w:after="100" w:line="276" w:lineRule="auto"/>
      </w:pPr>
      <w:r>
        <w:rPr>
          <w:rFonts w:ascii="Calibri" w:hAnsi="Calibri"/>
          <w:i w:val="0"/>
          <w:color w:val="1F2937"/>
          <w:sz w:val="20"/>
        </w:rPr>
        <w:t>The client interface was engineered as a high-performance Progressive Web Application (PWA) using React 18, Vite, and TailwindCSS. The map interface leverages Leaflet with Mapbox vector tiles, rendering dynamic geojson flood polygons, crowdsourced incident pins, and turn-by-turn evacuation polylines.</w:t>
      </w:r>
    </w:p>
    <w:p>
      <w:pPr>
        <w:keepNext/>
        <w:spacing w:before="160" w:after="40"/>
      </w:pPr>
      <w:r>
        <w:rPr>
          <w:rFonts w:ascii="Calibri" w:hAnsi="Calibri"/>
          <w:b/>
          <w:color w:val="1E3A8A"/>
          <w:sz w:val="22"/>
        </w:rPr>
        <w:t>7.3.2 Routing Algorithm Implementation</w:t>
      </w:r>
    </w:p>
    <w:p>
      <w:pPr>
        <w:spacing w:before="0" w:after="100" w:line="276" w:lineRule="auto"/>
      </w:pPr>
      <w:r>
        <w:rPr>
          <w:rFonts w:ascii="Calibri" w:hAnsi="Calibri"/>
          <w:i w:val="0"/>
          <w:color w:val="1F2937"/>
          <w:sz w:val="20"/>
        </w:rPr>
        <w:t>Routing calculations execute against an Open Source Routing Machine (OSRM) backend. Custom Lua routing profiles ingest PostGIS flood barrier polygons, dynamically severing flooded road links and returning detour paths that minimize physical hazard exposure.</w:t>
      </w:r>
    </w:p>
    <w:p>
      <w:pPr>
        <w:keepNext/>
        <w:spacing w:before="240" w:after="80"/>
      </w:pPr>
      <w:r>
        <w:rPr>
          <w:rFonts w:ascii="Calibri" w:hAnsi="Calibri"/>
          <w:b/>
          <w:color w:val="2563EB"/>
          <w:sz w:val="26"/>
        </w:rPr>
        <w:t>7.4 AI Integration</w:t>
      </w:r>
    </w:p>
    <w:p>
      <w:pPr>
        <w:keepNext/>
        <w:spacing w:before="160" w:after="40"/>
      </w:pPr>
      <w:r>
        <w:rPr>
          <w:rFonts w:ascii="Calibri" w:hAnsi="Calibri"/>
          <w:b/>
          <w:color w:val="1E3A8A"/>
          <w:sz w:val="22"/>
        </w:rPr>
        <w:t>7.4.1 Flood Prediction Model</w:t>
      </w:r>
    </w:p>
    <w:p>
      <w:pPr>
        <w:spacing w:before="0" w:after="100" w:line="276" w:lineRule="auto"/>
      </w:pPr>
      <w:r>
        <w:rPr>
          <w:rFonts w:ascii="Calibri" w:hAnsi="Calibri"/>
          <w:i w:val="0"/>
          <w:color w:val="1F2937"/>
          <w:sz w:val="20"/>
        </w:rPr>
        <w:t>The flood prediction model employs a Gated Recurrent Unit (GRU) neural network coupled with LightGBM regressors trained on multi-station hydrological sequences. The network ingests rolling 6-hour windows of 15-minute rainfall accumulations, upstream river gauge heights, and soil saturation proxies. Deployed on Huawei Cloud ModelArts, the model outputs quantile predictions (P10, P50, P90) across 30, 60, and 120-minute forward horizons, allowing authorities to visualize both expected depth and worst-case bounds.</w:t>
      </w:r>
    </w:p>
    <w:p>
      <w:pPr>
        <w:keepNext/>
        <w:spacing w:before="160" w:after="40"/>
      </w:pPr>
      <w:r>
        <w:rPr>
          <w:rFonts w:ascii="Calibri" w:hAnsi="Calibri"/>
          <w:b/>
          <w:color w:val="1E3A8A"/>
          <w:sz w:val="22"/>
        </w:rPr>
        <w:t>7.4.2 Computer Vision-Based Verification</w:t>
      </w:r>
    </w:p>
    <w:p>
      <w:pPr>
        <w:spacing w:before="0" w:after="100" w:line="276" w:lineRule="auto"/>
      </w:pPr>
      <w:r>
        <w:rPr>
          <w:rFonts w:ascii="Calibri" w:hAnsi="Calibri"/>
          <w:i w:val="0"/>
          <w:color w:val="1F2937"/>
          <w:sz w:val="20"/>
        </w:rPr>
        <w:t>Crowdsourced hazard photos submitted by citizens undergo an automated inference pipeline powered by YOLOv8 and MobileNetV3 hosted on ModelArts. The model scans submitted images for flood markers (submerged vehicle wheels, standing brown water reflections, watermarks on buildings). Images failing flood verification or exhibiting synthetic tampering are routed to an admin moderation queue, preventing map pollution.</w:t>
      </w:r>
    </w:p>
    <w:p>
      <w:pPr>
        <w:keepNext/>
        <w:spacing w:before="240" w:after="80"/>
      </w:pPr>
      <w:r>
        <w:rPr>
          <w:rFonts w:ascii="Calibri" w:hAnsi="Calibri"/>
          <w:b/>
          <w:color w:val="2563EB"/>
          <w:sz w:val="26"/>
        </w:rPr>
        <w:t>7.5 Testing and Evaluation</w:t>
      </w:r>
    </w:p>
    <w:p>
      <w:pPr>
        <w:spacing w:before="0" w:after="100" w:line="276" w:lineRule="auto"/>
      </w:pPr>
      <w:r>
        <w:rPr>
          <w:rFonts w:ascii="Calibri" w:hAnsi="Calibri"/>
          <w:i w:val="0"/>
          <w:color w:val="1F2937"/>
          <w:sz w:val="20"/>
        </w:rPr>
        <w:t>Testing protocols evaluated both software performance and hydrological fidelity:</w:t>
      </w:r>
    </w:p>
    <w:p>
      <w:pPr>
        <w:pStyle w:val="ListBullet"/>
        <w:spacing w:before="0" w:after="60" w:line="276" w:lineRule="auto"/>
      </w:pPr>
      <w:r>
        <w:rPr>
          <w:rFonts w:ascii="Calibri" w:hAnsi="Calibri"/>
          <w:b/>
          <w:color w:val="1F2937"/>
          <w:sz w:val="20"/>
        </w:rPr>
        <w:t xml:space="preserve">Resilience Testing: </w:t>
      </w:r>
      <w:r>
        <w:rPr>
          <w:rFonts w:ascii="Calibri" w:hAnsi="Calibri"/>
          <w:color w:val="1F2937"/>
          <w:sz w:val="20"/>
        </w:rPr>
        <w:t>Simulated sensor dropouts, network partitions, and malicious payload injections to verify HMAC integrity and database failover.</w:t>
      </w:r>
    </w:p>
    <w:p>
      <w:pPr>
        <w:pStyle w:val="ListBullet"/>
        <w:spacing w:before="0" w:after="60" w:line="276" w:lineRule="auto"/>
      </w:pPr>
      <w:r>
        <w:rPr>
          <w:rFonts w:ascii="Calibri" w:hAnsi="Calibri"/>
          <w:b/>
          <w:color w:val="1F2937"/>
          <w:sz w:val="20"/>
        </w:rPr>
        <w:t xml:space="preserve">Routing Safety Validation: </w:t>
      </w:r>
      <w:r>
        <w:rPr>
          <w:rFonts w:ascii="Calibri" w:hAnsi="Calibri"/>
          <w:color w:val="1F2937"/>
          <w:sz w:val="20"/>
        </w:rPr>
        <w:t>Evaluated routing engine against 100 simulated flood inundation scenarios in the Klang Valley, verifying that zero routes directed sedans through water &gt;= 0.30 m.</w:t>
      </w:r>
    </w:p>
    <w:p>
      <w:pPr>
        <w:pStyle w:val="ListBullet"/>
        <w:spacing w:before="0" w:after="60" w:line="276" w:lineRule="auto"/>
      </w:pPr>
      <w:r>
        <w:rPr>
          <w:rFonts w:ascii="Calibri" w:hAnsi="Calibri"/>
          <w:b/>
          <w:color w:val="1F2937"/>
          <w:sz w:val="20"/>
        </w:rPr>
        <w:t xml:space="preserve">Latency Benchmarking: </w:t>
      </w:r>
      <w:r>
        <w:rPr>
          <w:rFonts w:ascii="Calibri" w:hAnsi="Calibri"/>
          <w:color w:val="1F2937"/>
          <w:sz w:val="20"/>
        </w:rPr>
        <w:t>Achieved API endpoint response latencies under 120 ms for routing calculations and &lt; 850 ms end-to-end for IoT telemetry ingestion.</w:t>
      </w:r>
    </w:p>
    <w:p>
      <w:pPr>
        <w:keepNext/>
        <w:spacing w:before="240" w:after="80"/>
      </w:pPr>
      <w:r>
        <w:rPr>
          <w:rFonts w:ascii="Calibri" w:hAnsi="Calibri"/>
          <w:b/>
          <w:color w:val="2563EB"/>
          <w:sz w:val="26"/>
        </w:rPr>
        <w:t>7.6 Technology Stack</w:t>
      </w:r>
    </w:p>
    <w:p>
      <w:pPr>
        <w:spacing w:before="0" w:after="100" w:line="276" w:lineRule="auto"/>
      </w:pPr>
      <w:r>
        <w:rPr>
          <w:rFonts w:ascii="Calibri" w:hAnsi="Calibri"/>
          <w:i w:val="0"/>
          <w:color w:val="1F2937"/>
          <w:sz w:val="20"/>
        </w:rPr>
        <w:t>The complete technology stack of FloodWay 2.0 is detailed below:</w:t>
      </w:r>
    </w:p>
    <w:tbl>
      <w:tblPr>
        <w:tblW w:type="auto" w:w="0"/>
        <w:jc w:val="center"/>
        <w:tblLayout w:type="fixed"/>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3120"/>
        <w:gridCol w:w="3120"/>
        <w:gridCol w:w="3120"/>
      </w:tblGrid>
      <w:tr>
        <w:trPr>
          <w:cantSplit/>
          <w:tblHeader/>
        </w:trPr>
        <w:tc>
          <w:tcPr>
            <w:tcW w:type="dxa" w:w="2160"/>
            <w:shd w:fill="1E3A8A"/>
            <w:tcMar>
              <w:top w:w="140" w:type="dxa"/>
              <w:bottom w:w="140" w:type="dxa"/>
              <w:left w:w="160" w:type="dxa"/>
              <w:right w:w="160" w:type="dxa"/>
            </w:tcMar>
          </w:tcPr>
          <w:p>
            <w:pPr>
              <w:jc w:val="left"/>
            </w:pPr>
            <w:r>
              <w:rPr>
                <w:rFonts w:ascii="Calibri" w:hAnsi="Calibri"/>
                <w:b/>
                <w:color w:val="FFFFFF"/>
                <w:sz w:val="19"/>
              </w:rPr>
              <w:t>Layer</w:t>
            </w:r>
          </w:p>
        </w:tc>
        <w:tc>
          <w:tcPr>
            <w:tcW w:type="dxa" w:w="3168"/>
            <w:shd w:fill="1E3A8A"/>
            <w:tcMar>
              <w:top w:w="140" w:type="dxa"/>
              <w:bottom w:w="140" w:type="dxa"/>
              <w:left w:w="160" w:type="dxa"/>
              <w:right w:w="160" w:type="dxa"/>
            </w:tcMar>
          </w:tcPr>
          <w:p>
            <w:pPr>
              <w:jc w:val="left"/>
            </w:pPr>
            <w:r>
              <w:rPr>
                <w:rFonts w:ascii="Calibri" w:hAnsi="Calibri"/>
                <w:b/>
                <w:color w:val="FFFFFF"/>
                <w:sz w:val="19"/>
              </w:rPr>
              <w:t>Technologies Deployed</w:t>
            </w:r>
          </w:p>
        </w:tc>
        <w:tc>
          <w:tcPr>
            <w:tcW w:type="dxa" w:w="4032"/>
            <w:shd w:fill="1E3A8A"/>
            <w:tcMar>
              <w:top w:w="140" w:type="dxa"/>
              <w:bottom w:w="140" w:type="dxa"/>
              <w:left w:w="160" w:type="dxa"/>
              <w:right w:w="160" w:type="dxa"/>
            </w:tcMar>
          </w:tcPr>
          <w:p>
            <w:pPr>
              <w:jc w:val="left"/>
            </w:pPr>
            <w:r>
              <w:rPr>
                <w:rFonts w:ascii="Calibri" w:hAnsi="Calibri"/>
                <w:b/>
                <w:color w:val="FFFFFF"/>
                <w:sz w:val="19"/>
              </w:rPr>
              <w:t>Architectural Role &amp; Function</w:t>
            </w:r>
          </w:p>
        </w:tc>
      </w:tr>
      <w:tr>
        <w:trPr>
          <w:cantSplit/>
        </w:trPr>
        <w:tc>
          <w:tcPr>
            <w:tcW w:type="dxa" w:w="2160"/>
            <w:shd w:fill="F9FAFB"/>
            <w:tcMar>
              <w:top w:w="100" w:type="dxa"/>
              <w:bottom w:w="100" w:type="dxa"/>
              <w:left w:w="160" w:type="dxa"/>
              <w:right w:w="160" w:type="dxa"/>
            </w:tcMar>
          </w:tcPr>
          <w:p>
            <w:pPr>
              <w:jc w:val="left"/>
            </w:pPr>
            <w:r>
              <w:rPr>
                <w:rFonts w:ascii="Calibri" w:hAnsi="Calibri"/>
                <w:color w:val="1F2937"/>
                <w:sz w:val="18"/>
              </w:rPr>
              <w:t>Frontend Client</w:t>
            </w:r>
          </w:p>
        </w:tc>
        <w:tc>
          <w:tcPr>
            <w:tcW w:type="dxa" w:w="3168"/>
            <w:shd w:fill="F9FAFB"/>
            <w:tcMar>
              <w:top w:w="100" w:type="dxa"/>
              <w:bottom w:w="100" w:type="dxa"/>
              <w:left w:w="160" w:type="dxa"/>
              <w:right w:w="160" w:type="dxa"/>
            </w:tcMar>
          </w:tcPr>
          <w:p>
            <w:pPr>
              <w:jc w:val="left"/>
            </w:pPr>
            <w:r>
              <w:rPr>
                <w:rFonts w:ascii="Calibri" w:hAnsi="Calibri"/>
                <w:color w:val="1F2937"/>
                <w:sz w:val="18"/>
              </w:rPr>
              <w:t>React 18, Vite, TailwindCSS, PWA Service Worker</w:t>
            </w:r>
          </w:p>
        </w:tc>
        <w:tc>
          <w:tcPr>
            <w:tcW w:type="dxa" w:w="4032"/>
            <w:shd w:fill="F9FAFB"/>
            <w:tcMar>
              <w:top w:w="100" w:type="dxa"/>
              <w:bottom w:w="100" w:type="dxa"/>
              <w:left w:w="160" w:type="dxa"/>
              <w:right w:w="160" w:type="dxa"/>
            </w:tcMar>
          </w:tcPr>
          <w:p>
            <w:pPr>
              <w:jc w:val="left"/>
            </w:pPr>
            <w:r>
              <w:rPr>
                <w:rFonts w:ascii="Calibri" w:hAnsi="Calibri"/>
                <w:color w:val="1F2937"/>
                <w:sz w:val="18"/>
              </w:rPr>
              <w:t>Responsive mobile-first client interface with offline capability and local state caching.</w:t>
            </w:r>
          </w:p>
        </w:tc>
      </w:tr>
      <w:tr>
        <w:trPr>
          <w:cantSplit/>
        </w:trPr>
        <w:tc>
          <w:tcPr>
            <w:tcW w:type="dxa" w:w="2160"/>
            <w:shd w:fill="FFFFFF"/>
            <w:tcMar>
              <w:top w:w="100" w:type="dxa"/>
              <w:bottom w:w="100" w:type="dxa"/>
              <w:left w:w="160" w:type="dxa"/>
              <w:right w:w="160" w:type="dxa"/>
            </w:tcMar>
          </w:tcPr>
          <w:p>
            <w:pPr>
              <w:jc w:val="left"/>
            </w:pPr>
            <w:r>
              <w:rPr>
                <w:rFonts w:ascii="Calibri" w:hAnsi="Calibri"/>
                <w:color w:val="1F2937"/>
                <w:sz w:val="18"/>
              </w:rPr>
              <w:t>3D Engine &amp; Maps</w:t>
            </w:r>
          </w:p>
        </w:tc>
        <w:tc>
          <w:tcPr>
            <w:tcW w:type="dxa" w:w="3168"/>
            <w:shd w:fill="FFFFFF"/>
            <w:tcMar>
              <w:top w:w="100" w:type="dxa"/>
              <w:bottom w:w="100" w:type="dxa"/>
              <w:left w:w="160" w:type="dxa"/>
              <w:right w:w="160" w:type="dxa"/>
            </w:tcMar>
          </w:tcPr>
          <w:p>
            <w:pPr>
              <w:jc w:val="left"/>
            </w:pPr>
            <w:r>
              <w:rPr>
                <w:rFonts w:ascii="Calibri" w:hAnsi="Calibri"/>
                <w:color w:val="1F2937"/>
                <w:sz w:val="18"/>
              </w:rPr>
              <w:t>Three.js, WebGL, Leaflet, Mapbox Vector Tiles</w:t>
            </w:r>
          </w:p>
        </w:tc>
        <w:tc>
          <w:tcPr>
            <w:tcW w:type="dxa" w:w="4032"/>
            <w:shd w:fill="FFFFFF"/>
            <w:tcMar>
              <w:top w:w="100" w:type="dxa"/>
              <w:bottom w:w="100" w:type="dxa"/>
              <w:left w:w="160" w:type="dxa"/>
              <w:right w:w="160" w:type="dxa"/>
            </w:tcMar>
          </w:tcPr>
          <w:p>
            <w:pPr>
              <w:jc w:val="left"/>
            </w:pPr>
            <w:r>
              <w:rPr>
                <w:rFonts w:ascii="Calibri" w:hAnsi="Calibri"/>
                <w:color w:val="1F2937"/>
                <w:sz w:val="18"/>
              </w:rPr>
              <w:t>Interactive 3D Digital Twin visualization and real-time geospatial disaster map layers.</w:t>
            </w:r>
          </w:p>
        </w:tc>
      </w:tr>
      <w:tr>
        <w:trPr>
          <w:cantSplit/>
        </w:trPr>
        <w:tc>
          <w:tcPr>
            <w:tcW w:type="dxa" w:w="2160"/>
            <w:shd w:fill="F9FAFB"/>
            <w:tcMar>
              <w:top w:w="100" w:type="dxa"/>
              <w:bottom w:w="100" w:type="dxa"/>
              <w:left w:w="160" w:type="dxa"/>
              <w:right w:w="160" w:type="dxa"/>
            </w:tcMar>
          </w:tcPr>
          <w:p>
            <w:pPr>
              <w:jc w:val="left"/>
            </w:pPr>
            <w:r>
              <w:rPr>
                <w:rFonts w:ascii="Calibri" w:hAnsi="Calibri"/>
                <w:color w:val="1F2937"/>
                <w:sz w:val="18"/>
              </w:rPr>
              <w:t>Backend Services</w:t>
            </w:r>
          </w:p>
        </w:tc>
        <w:tc>
          <w:tcPr>
            <w:tcW w:type="dxa" w:w="3168"/>
            <w:shd w:fill="F9FAFB"/>
            <w:tcMar>
              <w:top w:w="100" w:type="dxa"/>
              <w:bottom w:w="100" w:type="dxa"/>
              <w:left w:w="160" w:type="dxa"/>
              <w:right w:w="160" w:type="dxa"/>
            </w:tcMar>
          </w:tcPr>
          <w:p>
            <w:pPr>
              <w:jc w:val="left"/>
            </w:pPr>
            <w:r>
              <w:rPr>
                <w:rFonts w:ascii="Calibri" w:hAnsi="Calibri"/>
                <w:color w:val="1F2937"/>
                <w:sz w:val="18"/>
              </w:rPr>
              <w:t>FastAPI (Python 3.11), Uvicorn, OSRM Engine</w:t>
            </w:r>
          </w:p>
        </w:tc>
        <w:tc>
          <w:tcPr>
            <w:tcW w:type="dxa" w:w="4032"/>
            <w:shd w:fill="F9FAFB"/>
            <w:tcMar>
              <w:top w:w="100" w:type="dxa"/>
              <w:bottom w:w="100" w:type="dxa"/>
              <w:left w:w="160" w:type="dxa"/>
              <w:right w:w="160" w:type="dxa"/>
            </w:tcMar>
          </w:tcPr>
          <w:p>
            <w:pPr>
              <w:jc w:val="left"/>
            </w:pPr>
            <w:r>
              <w:rPr>
                <w:rFonts w:ascii="Calibri" w:hAnsi="Calibri"/>
                <w:color w:val="1F2937"/>
                <w:sz w:val="18"/>
              </w:rPr>
              <w:t>High-throughput asynchronous REST API, HMAC ingest validation, and routing computation.</w:t>
            </w:r>
          </w:p>
        </w:tc>
      </w:tr>
      <w:tr>
        <w:trPr>
          <w:cantSplit/>
        </w:trPr>
        <w:tc>
          <w:tcPr>
            <w:tcW w:type="dxa" w:w="2160"/>
            <w:shd w:fill="FFFFFF"/>
            <w:tcMar>
              <w:top w:w="100" w:type="dxa"/>
              <w:bottom w:w="100" w:type="dxa"/>
              <w:left w:w="160" w:type="dxa"/>
              <w:right w:w="160" w:type="dxa"/>
            </w:tcMar>
          </w:tcPr>
          <w:p>
            <w:pPr>
              <w:jc w:val="left"/>
            </w:pPr>
            <w:r>
              <w:rPr>
                <w:rFonts w:ascii="Calibri" w:hAnsi="Calibri"/>
                <w:color w:val="1F2937"/>
                <w:sz w:val="18"/>
              </w:rPr>
              <w:t>Databases</w:t>
            </w:r>
          </w:p>
        </w:tc>
        <w:tc>
          <w:tcPr>
            <w:tcW w:type="dxa" w:w="3168"/>
            <w:shd w:fill="FFFFFF"/>
            <w:tcMar>
              <w:top w:w="100" w:type="dxa"/>
              <w:bottom w:w="100" w:type="dxa"/>
              <w:left w:w="160" w:type="dxa"/>
              <w:right w:w="160" w:type="dxa"/>
            </w:tcMar>
          </w:tcPr>
          <w:p>
            <w:pPr>
              <w:jc w:val="left"/>
            </w:pPr>
            <w:r>
              <w:rPr>
                <w:rFonts w:ascii="Calibri" w:hAnsi="Calibri"/>
                <w:color w:val="1F2937"/>
                <w:sz w:val="18"/>
              </w:rPr>
              <w:t>PostgreSQL 15, PostGIS, TimescaleDB, Supabase</w:t>
            </w:r>
          </w:p>
        </w:tc>
        <w:tc>
          <w:tcPr>
            <w:tcW w:type="dxa" w:w="4032"/>
            <w:shd w:fill="FFFFFF"/>
            <w:tcMar>
              <w:top w:w="100" w:type="dxa"/>
              <w:bottom w:w="100" w:type="dxa"/>
              <w:left w:w="160" w:type="dxa"/>
              <w:right w:w="160" w:type="dxa"/>
            </w:tcMar>
          </w:tcPr>
          <w:p>
            <w:pPr>
              <w:jc w:val="left"/>
            </w:pPr>
            <w:r>
              <w:rPr>
                <w:rFonts w:ascii="Calibri" w:hAnsi="Calibri"/>
                <w:color w:val="1F2937"/>
                <w:sz w:val="18"/>
              </w:rPr>
              <w:t>Geospatial indexing of road networks, time-series sensor storage, and user authentication.</w:t>
            </w:r>
          </w:p>
        </w:tc>
      </w:tr>
      <w:tr>
        <w:trPr>
          <w:cantSplit/>
        </w:trPr>
        <w:tc>
          <w:tcPr>
            <w:tcW w:type="dxa" w:w="2160"/>
            <w:shd w:fill="F9FAFB"/>
            <w:tcMar>
              <w:top w:w="100" w:type="dxa"/>
              <w:bottom w:w="100" w:type="dxa"/>
              <w:left w:w="160" w:type="dxa"/>
              <w:right w:w="160" w:type="dxa"/>
            </w:tcMar>
          </w:tcPr>
          <w:p>
            <w:pPr>
              <w:jc w:val="left"/>
            </w:pPr>
            <w:r>
              <w:rPr>
                <w:rFonts w:ascii="Calibri" w:hAnsi="Calibri"/>
                <w:color w:val="1F2937"/>
                <w:sz w:val="18"/>
              </w:rPr>
              <w:t>Artificial Intelligence</w:t>
            </w:r>
          </w:p>
        </w:tc>
        <w:tc>
          <w:tcPr>
            <w:tcW w:type="dxa" w:w="3168"/>
            <w:shd w:fill="F9FAFB"/>
            <w:tcMar>
              <w:top w:w="100" w:type="dxa"/>
              <w:bottom w:w="100" w:type="dxa"/>
              <w:left w:w="160" w:type="dxa"/>
              <w:right w:w="160" w:type="dxa"/>
            </w:tcMar>
          </w:tcPr>
          <w:p>
            <w:pPr>
              <w:jc w:val="left"/>
            </w:pPr>
            <w:r>
              <w:rPr>
                <w:rFonts w:ascii="Calibri" w:hAnsi="Calibri"/>
                <w:color w:val="1F2937"/>
                <w:sz w:val="18"/>
              </w:rPr>
              <w:t>Huawei Cloud ModelArts, PyTorch, YOLOv8, GRU</w:t>
            </w:r>
          </w:p>
        </w:tc>
        <w:tc>
          <w:tcPr>
            <w:tcW w:type="dxa" w:w="4032"/>
            <w:shd w:fill="F9FAFB"/>
            <w:tcMar>
              <w:top w:w="100" w:type="dxa"/>
              <w:bottom w:w="100" w:type="dxa"/>
              <w:left w:w="160" w:type="dxa"/>
              <w:right w:w="160" w:type="dxa"/>
            </w:tcMar>
          </w:tcPr>
          <w:p>
            <w:pPr>
              <w:jc w:val="left"/>
            </w:pPr>
            <w:r>
              <w:rPr>
                <w:rFonts w:ascii="Calibri" w:hAnsi="Calibri"/>
                <w:color w:val="1F2937"/>
                <w:sz w:val="18"/>
              </w:rPr>
              <w:t>Predictive river stage time-series forecasting and computer vision image verification.</w:t>
            </w:r>
          </w:p>
        </w:tc>
      </w:tr>
      <w:tr>
        <w:trPr>
          <w:cantSplit/>
        </w:trPr>
        <w:tc>
          <w:tcPr>
            <w:tcW w:type="dxa" w:w="2160"/>
            <w:shd w:fill="FFFFFF"/>
            <w:tcMar>
              <w:top w:w="100" w:type="dxa"/>
              <w:bottom w:w="100" w:type="dxa"/>
              <w:left w:w="160" w:type="dxa"/>
              <w:right w:w="160" w:type="dxa"/>
            </w:tcMar>
          </w:tcPr>
          <w:p>
            <w:pPr>
              <w:jc w:val="left"/>
            </w:pPr>
            <w:r>
              <w:rPr>
                <w:rFonts w:ascii="Calibri" w:hAnsi="Calibri"/>
                <w:color w:val="1F2937"/>
                <w:sz w:val="18"/>
              </w:rPr>
              <w:t>Cloud &amp; IoT Hardware</w:t>
            </w:r>
          </w:p>
        </w:tc>
        <w:tc>
          <w:tcPr>
            <w:tcW w:type="dxa" w:w="3168"/>
            <w:shd w:fill="FFFFFF"/>
            <w:tcMar>
              <w:top w:w="100" w:type="dxa"/>
              <w:bottom w:w="100" w:type="dxa"/>
              <w:left w:w="160" w:type="dxa"/>
              <w:right w:w="160" w:type="dxa"/>
            </w:tcMar>
          </w:tcPr>
          <w:p>
            <w:pPr>
              <w:jc w:val="left"/>
            </w:pPr>
            <w:r>
              <w:rPr>
                <w:rFonts w:ascii="Calibri" w:hAnsi="Calibri"/>
                <w:color w:val="1F2937"/>
                <w:sz w:val="18"/>
              </w:rPr>
              <w:t>Huawei ECS, OBS, SMN, ESP32, JSN-SR04T</w:t>
            </w:r>
          </w:p>
        </w:tc>
        <w:tc>
          <w:tcPr>
            <w:tcW w:type="dxa" w:w="4032"/>
            <w:shd w:fill="FFFFFF"/>
            <w:tcMar>
              <w:top w:w="100" w:type="dxa"/>
              <w:bottom w:w="100" w:type="dxa"/>
              <w:left w:w="160" w:type="dxa"/>
              <w:right w:w="160" w:type="dxa"/>
            </w:tcMar>
          </w:tcPr>
          <w:p>
            <w:pPr>
              <w:jc w:val="left"/>
            </w:pPr>
            <w:r>
              <w:rPr>
                <w:rFonts w:ascii="Calibri" w:hAnsi="Calibri"/>
                <w:color w:val="1F2937"/>
                <w:sz w:val="18"/>
              </w:rPr>
              <w:t>Cloud compute hosting, object storage, emergency SMS broadcasts, and edge ultrasonic sensing.</w:t>
            </w:r>
          </w:p>
        </w:tc>
      </w:tr>
    </w:tbl>
    <w:p>
      <w:pPr>
        <w:spacing w:after="120"/>
      </w:pPr>
    </w:p>
    <w:p>
      <w:pPr>
        <w:keepNext/>
        <w:spacing w:before="320" w:after="120"/>
      </w:pPr>
      <w:r>
        <w:rPr>
          <w:rFonts w:ascii="Calibri" w:hAnsi="Calibri"/>
          <w:b/>
          <w:color w:val="1E3A8A"/>
          <w:sz w:val="32"/>
        </w:rPr>
        <w:t>8. AI-Powered System Architecture</w:t>
      </w:r>
    </w:p>
    <w:p>
      <w:pPr>
        <w:spacing w:before="0" w:after="100" w:line="276" w:lineRule="auto"/>
      </w:pPr>
      <w:r>
        <w:rPr>
          <w:rFonts w:ascii="Calibri" w:hAnsi="Calibri"/>
          <w:i w:val="0"/>
          <w:color w:val="1F2937"/>
          <w:sz w:val="20"/>
        </w:rPr>
        <w:t>The FloodWay 2.0 architecture is decomposed into four decoupled, enterprise-grade layers:</w:t>
      </w:r>
    </w:p>
    <w:p>
      <w:pPr>
        <w:keepNext/>
        <w:spacing w:before="240" w:after="80"/>
      </w:pPr>
      <w:r>
        <w:rPr>
          <w:rFonts w:ascii="Calibri" w:hAnsi="Calibri"/>
          <w:b/>
          <w:color w:val="2563EB"/>
          <w:sz w:val="26"/>
        </w:rPr>
        <w:t>8.1 User Interface (Frontend)</w:t>
      </w:r>
    </w:p>
    <w:p>
      <w:pPr>
        <w:spacing w:before="0" w:after="100" w:line="276" w:lineRule="auto"/>
      </w:pPr>
      <w:r>
        <w:rPr>
          <w:rFonts w:ascii="Calibri" w:hAnsi="Calibri"/>
          <w:i w:val="0"/>
          <w:color w:val="1F2937"/>
          <w:sz w:val="20"/>
        </w:rPr>
        <w:t>The frontend delivers an instant, zero-friction interface designed for high-stress emergency environments. Key components include:</w:t>
      </w:r>
    </w:p>
    <w:p>
      <w:pPr>
        <w:pStyle w:val="ListBullet"/>
        <w:spacing w:before="0" w:after="60" w:line="276" w:lineRule="auto"/>
      </w:pPr>
      <w:r>
        <w:rPr>
          <w:rFonts w:ascii="Calibri" w:hAnsi="Calibri"/>
          <w:b/>
          <w:color w:val="1F2937"/>
          <w:sz w:val="20"/>
        </w:rPr>
        <w:t xml:space="preserve">Traffic Light Status Banner: </w:t>
      </w:r>
      <w:r>
        <w:rPr>
          <w:rFonts w:ascii="Calibri" w:hAnsi="Calibri"/>
          <w:color w:val="1F2937"/>
          <w:sz w:val="20"/>
        </w:rPr>
        <w:t xml:space="preserve"> Instantly communicates current danger level without demanding hydrological interpretation.</w:t>
      </w:r>
    </w:p>
    <w:p>
      <w:pPr>
        <w:pStyle w:val="ListBullet"/>
        <w:spacing w:before="0" w:after="60" w:line="276" w:lineRule="auto"/>
      </w:pPr>
      <w:r>
        <w:rPr>
          <w:rFonts w:ascii="Calibri" w:hAnsi="Calibri"/>
          <w:b/>
          <w:color w:val="1F2937"/>
          <w:sz w:val="20"/>
        </w:rPr>
        <w:t xml:space="preserve">Interactive Leaflet Map: </w:t>
      </w:r>
      <w:r>
        <w:rPr>
          <w:rFonts w:ascii="Calibri" w:hAnsi="Calibri"/>
          <w:color w:val="1F2937"/>
          <w:sz w:val="20"/>
        </w:rPr>
        <w:t xml:space="preserve"> Overlays live river gauge telemetry, JPS flood alerts, crowdsourced incident pins, and verified evacuation shelter capacity.</w:t>
      </w:r>
    </w:p>
    <w:p>
      <w:pPr>
        <w:pStyle w:val="ListBullet"/>
        <w:spacing w:before="0" w:after="60" w:line="276" w:lineRule="auto"/>
      </w:pPr>
      <w:r>
        <w:rPr>
          <w:rFonts w:ascii="Calibri" w:hAnsi="Calibri"/>
          <w:b/>
          <w:color w:val="1F2937"/>
          <w:sz w:val="20"/>
        </w:rPr>
        <w:t xml:space="preserve">Three.js 3D Digital Twin: </w:t>
      </w:r>
      <w:r>
        <w:rPr>
          <w:rFonts w:ascii="Calibri" w:hAnsi="Calibri"/>
          <w:color w:val="1F2937"/>
          <w:sz w:val="20"/>
        </w:rPr>
        <w:t xml:space="preserve"> Visualizes building inundation depths using localized Digital Elevation Models (DEM).</w:t>
      </w:r>
    </w:p>
    <w:p>
      <w:pPr>
        <w:pStyle w:val="ListBullet"/>
        <w:spacing w:before="0" w:after="60" w:line="276" w:lineRule="auto"/>
      </w:pPr>
      <w:r>
        <w:rPr>
          <w:rFonts w:ascii="Calibri" w:hAnsi="Calibri"/>
          <w:b/>
          <w:color w:val="1F2937"/>
          <w:sz w:val="20"/>
        </w:rPr>
        <w:t xml:space="preserve">1-Tap Emergency SOS: </w:t>
      </w:r>
      <w:r>
        <w:rPr>
          <w:rFonts w:ascii="Calibri" w:hAnsi="Calibri"/>
          <w:color w:val="1F2937"/>
          <w:sz w:val="20"/>
        </w:rPr>
        <w:t xml:space="preserve"> Triggers pre-configured cellular SMS alerts to family contacts with current GPS coordinates.</w:t>
      </w:r>
    </w:p>
    <w:p>
      <w:pPr>
        <w:keepNext/>
        <w:spacing w:before="240" w:after="80"/>
      </w:pPr>
      <w:r>
        <w:rPr>
          <w:rFonts w:ascii="Calibri" w:hAnsi="Calibri"/>
          <w:b/>
          <w:color w:val="2563EB"/>
          <w:sz w:val="26"/>
        </w:rPr>
        <w:t>8.2 Core Servers &amp; Databases (Backend)</w:t>
      </w:r>
    </w:p>
    <w:p>
      <w:pPr>
        <w:spacing w:before="0" w:after="100" w:line="276" w:lineRule="auto"/>
      </w:pPr>
      <w:r>
        <w:rPr>
          <w:rFonts w:ascii="Calibri" w:hAnsi="Calibri"/>
          <w:i w:val="0"/>
          <w:color w:val="1F2937"/>
          <w:sz w:val="20"/>
        </w:rPr>
        <w:t>Hosted on Huawei Elastic Cloud Server (ECS), the backend services handle ingest, routing, and data synchronization:</w:t>
      </w:r>
    </w:p>
    <w:p>
      <w:pPr>
        <w:pStyle w:val="ListBullet"/>
        <w:spacing w:before="0" w:after="60" w:line="276" w:lineRule="auto"/>
      </w:pPr>
      <w:r>
        <w:rPr>
          <w:rFonts w:ascii="Calibri" w:hAnsi="Calibri"/>
          <w:b/>
          <w:color w:val="1F2937"/>
          <w:sz w:val="20"/>
        </w:rPr>
        <w:t xml:space="preserve">FastAPI Core Engine: </w:t>
      </w:r>
      <w:r>
        <w:rPr>
          <w:rFonts w:ascii="Calibri" w:hAnsi="Calibri"/>
          <w:color w:val="1F2937"/>
          <w:sz w:val="20"/>
        </w:rPr>
        <w:t xml:space="preserve"> Fast, asynchronous Python server managing HMAC authenticated sensor ingestion and client API queries.</w:t>
      </w:r>
    </w:p>
    <w:p>
      <w:pPr>
        <w:pStyle w:val="ListBullet"/>
        <w:spacing w:before="0" w:after="60" w:line="276" w:lineRule="auto"/>
      </w:pPr>
      <w:r>
        <w:rPr>
          <w:rFonts w:ascii="Calibri" w:hAnsi="Calibri"/>
          <w:b/>
          <w:color w:val="1F2937"/>
          <w:sz w:val="20"/>
        </w:rPr>
        <w:t xml:space="preserve">PostgreSQL + PostGIS: </w:t>
      </w:r>
      <w:r>
        <w:rPr>
          <w:rFonts w:ascii="Calibri" w:hAnsi="Calibri"/>
          <w:color w:val="1F2937"/>
          <w:sz w:val="20"/>
        </w:rPr>
        <w:t xml:space="preserve"> PostGIS spatial database storing road geometries, shelter locations, and spatial polygon intersections.</w:t>
      </w:r>
    </w:p>
    <w:p>
      <w:pPr>
        <w:pStyle w:val="ListBullet"/>
        <w:spacing w:before="0" w:after="60" w:line="276" w:lineRule="auto"/>
      </w:pPr>
      <w:r>
        <w:rPr>
          <w:rFonts w:ascii="Calibri" w:hAnsi="Calibri"/>
          <w:b/>
          <w:color w:val="1F2937"/>
          <w:sz w:val="20"/>
        </w:rPr>
        <w:t xml:space="preserve">Redis Cache: </w:t>
      </w:r>
      <w:r>
        <w:rPr>
          <w:rFonts w:ascii="Calibri" w:hAnsi="Calibri"/>
          <w:color w:val="1F2937"/>
          <w:sz w:val="20"/>
        </w:rPr>
        <w:t xml:space="preserve"> High-speed in-memory cache caching active route queries and live sensor summaries.</w:t>
      </w:r>
    </w:p>
    <w:p>
      <w:pPr>
        <w:keepNext/>
        <w:spacing w:before="240" w:after="80"/>
      </w:pPr>
      <w:r>
        <w:rPr>
          <w:rFonts w:ascii="Calibri" w:hAnsi="Calibri"/>
          <w:b/>
          <w:color w:val="2563EB"/>
          <w:sz w:val="26"/>
        </w:rPr>
        <w:t>8.3 Artificial Intelligence (AI) Layer</w:t>
      </w:r>
    </w:p>
    <w:p>
      <w:pPr>
        <w:spacing w:before="0" w:after="100" w:line="276" w:lineRule="auto"/>
      </w:pPr>
      <w:r>
        <w:rPr>
          <w:rFonts w:ascii="Calibri" w:hAnsi="Calibri"/>
          <w:i w:val="0"/>
          <w:color w:val="1F2937"/>
          <w:sz w:val="20"/>
        </w:rPr>
        <w:t>The AI layer resides on Huawei Cloud ModelArts, utilizing Ascend 910/310 AI accelerators:</w:t>
      </w:r>
    </w:p>
    <w:p>
      <w:pPr>
        <w:pStyle w:val="ListBullet"/>
        <w:spacing w:before="0" w:after="60" w:line="276" w:lineRule="auto"/>
      </w:pPr>
      <w:r>
        <w:rPr>
          <w:rFonts w:ascii="Calibri" w:hAnsi="Calibri"/>
          <w:b/>
          <w:color w:val="1F2937"/>
          <w:sz w:val="20"/>
        </w:rPr>
        <w:t xml:space="preserve">Hydrological Forecasting Service: </w:t>
      </w:r>
      <w:r>
        <w:rPr>
          <w:rFonts w:ascii="Calibri" w:hAnsi="Calibri"/>
          <w:color w:val="1F2937"/>
          <w:sz w:val="20"/>
        </w:rPr>
        <w:t xml:space="preserve"> Multi-step GRU neural network forecasting water stage levels at 30, 60, and 120-minute lead times.</w:t>
      </w:r>
    </w:p>
    <w:p>
      <w:pPr>
        <w:pStyle w:val="ListBullet"/>
        <w:spacing w:before="0" w:after="60" w:line="276" w:lineRule="auto"/>
      </w:pPr>
      <w:r>
        <w:rPr>
          <w:rFonts w:ascii="Calibri" w:hAnsi="Calibri"/>
          <w:b/>
          <w:color w:val="1F2937"/>
          <w:sz w:val="20"/>
        </w:rPr>
        <w:t xml:space="preserve">Computer Vision Verification Service: </w:t>
      </w:r>
      <w:r>
        <w:rPr>
          <w:rFonts w:ascii="Calibri" w:hAnsi="Calibri"/>
          <w:color w:val="1F2937"/>
          <w:sz w:val="20"/>
        </w:rPr>
        <w:t xml:space="preserve"> Real-time image classifier checking uploaded citizen hazard reports for authentic inundation indicators.</w:t>
      </w:r>
    </w:p>
    <w:p>
      <w:pPr>
        <w:pStyle w:val="ListBullet"/>
        <w:spacing w:before="0" w:after="60" w:line="276" w:lineRule="auto"/>
      </w:pPr>
      <w:r>
        <w:rPr>
          <w:rFonts w:ascii="Calibri" w:hAnsi="Calibri"/>
          <w:b/>
          <w:color w:val="1F2937"/>
          <w:sz w:val="20"/>
        </w:rPr>
        <w:t xml:space="preserve">Geospatial Satellite Segmentation: </w:t>
      </w:r>
      <w:r>
        <w:rPr>
          <w:rFonts w:ascii="Calibri" w:hAnsi="Calibri"/>
          <w:color w:val="1F2937"/>
          <w:sz w:val="20"/>
        </w:rPr>
        <w:t xml:space="preserve"> Fine-tuned Bi-temporal Siamese U-Net (Prithvi-100M backbone) mapping flood extents from satellite feeds.</w:t>
      </w:r>
    </w:p>
    <w:p>
      <w:pPr>
        <w:keepNext/>
        <w:spacing w:before="240" w:after="80"/>
      </w:pPr>
      <w:r>
        <w:rPr>
          <w:rFonts w:ascii="Calibri" w:hAnsi="Calibri"/>
          <w:b/>
          <w:color w:val="2563EB"/>
          <w:sz w:val="26"/>
        </w:rPr>
        <w:t>8.4 Visual Outputs</w:t>
      </w:r>
    </w:p>
    <w:p>
      <w:pPr>
        <w:spacing w:before="0" w:after="100" w:line="276" w:lineRule="auto"/>
      </w:pPr>
      <w:r>
        <w:rPr>
          <w:rFonts w:ascii="Calibri" w:hAnsi="Calibri"/>
          <w:i w:val="0"/>
          <w:color w:val="1F2937"/>
          <w:sz w:val="20"/>
        </w:rPr>
        <w:t>System outputs are delivered across multiple modalities: responsive web viewports, real-time push alerts, emergency SMS messages via Huawei SMN, and interactive 3D WebGL meshes illustrating neighborhood floodwater infiltration.</w:t>
      </w:r>
    </w:p>
    <w:p>
      <w:pPr>
        <w:keepNext/>
        <w:spacing w:before="320" w:after="120"/>
      </w:pPr>
      <w:r>
        <w:rPr>
          <w:rFonts w:ascii="Calibri" w:hAnsi="Calibri"/>
          <w:b/>
          <w:color w:val="1E3A8A"/>
          <w:sz w:val="32"/>
        </w:rPr>
        <w:t>9. Results</w:t>
      </w:r>
    </w:p>
    <w:p>
      <w:pPr>
        <w:spacing w:before="0" w:after="100" w:line="276" w:lineRule="auto"/>
      </w:pPr>
      <w:r>
        <w:rPr>
          <w:rFonts w:ascii="Calibri" w:hAnsi="Calibri"/>
          <w:i w:val="0"/>
          <w:color w:val="1F2937"/>
          <w:sz w:val="20"/>
        </w:rPr>
        <w:t>Empirical validation of FloodWay 2.0 demonstrates exceptional performance across machine learning, routing safety, and telemetry throughput:</w:t>
      </w:r>
    </w:p>
    <w:tbl>
      <w:tblPr>
        <w:tblW w:type="auto" w:w="0"/>
        <w:jc w:val="center"/>
        <w:tblLayout w:type="fixed"/>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2340"/>
        <w:gridCol w:w="2340"/>
        <w:gridCol w:w="2340"/>
        <w:gridCol w:w="2340"/>
      </w:tblGrid>
      <w:tr>
        <w:trPr>
          <w:cantSplit/>
          <w:tblHeader/>
        </w:trPr>
        <w:tc>
          <w:tcPr>
            <w:tcW w:type="dxa" w:w="2304"/>
            <w:shd w:fill="1E3A8A"/>
            <w:tcMar>
              <w:top w:w="140" w:type="dxa"/>
              <w:bottom w:w="140" w:type="dxa"/>
              <w:left w:w="160" w:type="dxa"/>
              <w:right w:w="160" w:type="dxa"/>
            </w:tcMar>
          </w:tcPr>
          <w:p>
            <w:pPr>
              <w:jc w:val="left"/>
            </w:pPr>
            <w:r>
              <w:rPr>
                <w:rFonts w:ascii="Calibri" w:hAnsi="Calibri"/>
                <w:b/>
                <w:color w:val="FFFFFF"/>
                <w:sz w:val="19"/>
              </w:rPr>
              <w:t>Metric Indicator</w:t>
            </w:r>
          </w:p>
        </w:tc>
        <w:tc>
          <w:tcPr>
            <w:tcW w:type="dxa" w:w="1728"/>
            <w:shd w:fill="1E3A8A"/>
            <w:tcMar>
              <w:top w:w="140" w:type="dxa"/>
              <w:bottom w:w="140" w:type="dxa"/>
              <w:left w:w="160" w:type="dxa"/>
              <w:right w:w="160" w:type="dxa"/>
            </w:tcMar>
          </w:tcPr>
          <w:p>
            <w:pPr>
              <w:jc w:val="left"/>
            </w:pPr>
            <w:r>
              <w:rPr>
                <w:rFonts w:ascii="Calibri" w:hAnsi="Calibri"/>
                <w:b/>
                <w:color w:val="FFFFFF"/>
                <w:sz w:val="19"/>
              </w:rPr>
              <w:t>Measured Score</w:t>
            </w:r>
          </w:p>
        </w:tc>
        <w:tc>
          <w:tcPr>
            <w:tcW w:type="dxa" w:w="2016"/>
            <w:shd w:fill="1E3A8A"/>
            <w:tcMar>
              <w:top w:w="140" w:type="dxa"/>
              <w:bottom w:w="140" w:type="dxa"/>
              <w:left w:w="160" w:type="dxa"/>
              <w:right w:w="160" w:type="dxa"/>
            </w:tcMar>
          </w:tcPr>
          <w:p>
            <w:pPr>
              <w:jc w:val="left"/>
            </w:pPr>
            <w:r>
              <w:rPr>
                <w:rFonts w:ascii="Calibri" w:hAnsi="Calibri"/>
                <w:b/>
                <w:color w:val="FFFFFF"/>
                <w:sz w:val="19"/>
              </w:rPr>
              <w:t>Benchmark Baseline</w:t>
            </w:r>
          </w:p>
        </w:tc>
        <w:tc>
          <w:tcPr>
            <w:tcW w:type="dxa" w:w="3312"/>
            <w:shd w:fill="1E3A8A"/>
            <w:tcMar>
              <w:top w:w="140" w:type="dxa"/>
              <w:bottom w:w="140" w:type="dxa"/>
              <w:left w:w="160" w:type="dxa"/>
              <w:right w:w="160" w:type="dxa"/>
            </w:tcMar>
          </w:tcPr>
          <w:p>
            <w:pPr>
              <w:jc w:val="left"/>
            </w:pPr>
            <w:r>
              <w:rPr>
                <w:rFonts w:ascii="Calibri" w:hAnsi="Calibri"/>
                <w:b/>
                <w:color w:val="FFFFFF"/>
                <w:sz w:val="19"/>
              </w:rPr>
              <w:t>Operational Interpretation</w:t>
            </w:r>
          </w:p>
        </w:tc>
      </w:tr>
      <w:tr>
        <w:trPr>
          <w:cantSplit/>
        </w:trPr>
        <w:tc>
          <w:tcPr>
            <w:tcW w:type="dxa" w:w="2304"/>
            <w:shd w:fill="F9FAFB"/>
            <w:tcMar>
              <w:top w:w="100" w:type="dxa"/>
              <w:bottom w:w="100" w:type="dxa"/>
              <w:left w:w="160" w:type="dxa"/>
              <w:right w:w="160" w:type="dxa"/>
            </w:tcMar>
          </w:tcPr>
          <w:p>
            <w:pPr>
              <w:jc w:val="left"/>
            </w:pPr>
            <w:r>
              <w:rPr>
                <w:rFonts w:ascii="Calibri" w:hAnsi="Calibri"/>
                <w:color w:val="1F2937"/>
                <w:sz w:val="18"/>
              </w:rPr>
              <w:t>Overall Pixel Accuracy</w:t>
            </w:r>
          </w:p>
        </w:tc>
        <w:tc>
          <w:tcPr>
            <w:tcW w:type="dxa" w:w="1728"/>
            <w:shd w:fill="F9FAFB"/>
            <w:tcMar>
              <w:top w:w="100" w:type="dxa"/>
              <w:bottom w:w="100" w:type="dxa"/>
              <w:left w:w="160" w:type="dxa"/>
              <w:right w:w="160" w:type="dxa"/>
            </w:tcMar>
          </w:tcPr>
          <w:p>
            <w:pPr>
              <w:jc w:val="left"/>
            </w:pPr>
            <w:r>
              <w:rPr>
                <w:rFonts w:ascii="Calibri" w:hAnsi="Calibri"/>
                <w:color w:val="1F2937"/>
                <w:sz w:val="18"/>
              </w:rPr>
              <w:t>95.34%</w:t>
            </w:r>
          </w:p>
        </w:tc>
        <w:tc>
          <w:tcPr>
            <w:tcW w:type="dxa" w:w="2016"/>
            <w:shd w:fill="F9FAFB"/>
            <w:tcMar>
              <w:top w:w="100" w:type="dxa"/>
              <w:bottom w:w="100" w:type="dxa"/>
              <w:left w:w="160" w:type="dxa"/>
              <w:right w:w="160" w:type="dxa"/>
            </w:tcMar>
          </w:tcPr>
          <w:p>
            <w:pPr>
              <w:jc w:val="left"/>
            </w:pPr>
            <w:r>
              <w:rPr>
                <w:rFonts w:ascii="Calibri" w:hAnsi="Calibri"/>
                <w:color w:val="1F2937"/>
                <w:sz w:val="18"/>
              </w:rPr>
              <w:t>90.54% (Prithvi Test)</w:t>
            </w:r>
          </w:p>
        </w:tc>
        <w:tc>
          <w:tcPr>
            <w:tcW w:type="dxa" w:w="3312"/>
            <w:shd w:fill="F9FAFB"/>
            <w:tcMar>
              <w:top w:w="100" w:type="dxa"/>
              <w:bottom w:w="100" w:type="dxa"/>
              <w:left w:w="160" w:type="dxa"/>
              <w:right w:w="160" w:type="dxa"/>
            </w:tcMar>
          </w:tcPr>
          <w:p>
            <w:pPr>
              <w:jc w:val="left"/>
            </w:pPr>
            <w:r>
              <w:rPr>
                <w:rFonts w:ascii="Calibri" w:hAnsi="Calibri"/>
                <w:color w:val="1F2937"/>
                <w:sz w:val="18"/>
              </w:rPr>
              <w:t>High fidelity flood extent delineation across dense urban built areas.</w:t>
            </w:r>
          </w:p>
        </w:tc>
      </w:tr>
      <w:tr>
        <w:trPr>
          <w:cantSplit/>
        </w:trPr>
        <w:tc>
          <w:tcPr>
            <w:tcW w:type="dxa" w:w="2304"/>
            <w:shd w:fill="FFFFFF"/>
            <w:tcMar>
              <w:top w:w="100" w:type="dxa"/>
              <w:bottom w:w="100" w:type="dxa"/>
              <w:left w:w="160" w:type="dxa"/>
              <w:right w:w="160" w:type="dxa"/>
            </w:tcMar>
          </w:tcPr>
          <w:p>
            <w:pPr>
              <w:jc w:val="left"/>
            </w:pPr>
            <w:r>
              <w:rPr>
                <w:rFonts w:ascii="Calibri" w:hAnsi="Calibri"/>
                <w:color w:val="1F2937"/>
                <w:sz w:val="18"/>
              </w:rPr>
              <w:t>Flood Inundation IoU</w:t>
            </w:r>
          </w:p>
        </w:tc>
        <w:tc>
          <w:tcPr>
            <w:tcW w:type="dxa" w:w="1728"/>
            <w:shd w:fill="FFFFFF"/>
            <w:tcMar>
              <w:top w:w="100" w:type="dxa"/>
              <w:bottom w:w="100" w:type="dxa"/>
              <w:left w:w="160" w:type="dxa"/>
              <w:right w:w="160" w:type="dxa"/>
            </w:tcMar>
          </w:tcPr>
          <w:p>
            <w:pPr>
              <w:jc w:val="left"/>
            </w:pPr>
            <w:r>
              <w:rPr>
                <w:rFonts w:ascii="Calibri" w:hAnsi="Calibri"/>
                <w:color w:val="1F2937"/>
                <w:sz w:val="18"/>
              </w:rPr>
              <w:t>86.96%</w:t>
            </w:r>
          </w:p>
        </w:tc>
        <w:tc>
          <w:tcPr>
            <w:tcW w:type="dxa" w:w="2016"/>
            <w:shd w:fill="FFFFFF"/>
            <w:tcMar>
              <w:top w:w="100" w:type="dxa"/>
              <w:bottom w:w="100" w:type="dxa"/>
              <w:left w:w="160" w:type="dxa"/>
              <w:right w:w="160" w:type="dxa"/>
            </w:tcMar>
          </w:tcPr>
          <w:p>
            <w:pPr>
              <w:jc w:val="left"/>
            </w:pPr>
            <w:r>
              <w:rPr>
                <w:rFonts w:ascii="Calibri" w:hAnsi="Calibri"/>
                <w:color w:val="1F2937"/>
                <w:sz w:val="18"/>
              </w:rPr>
              <w:t>80.46% (Sen1Floods11)</w:t>
            </w:r>
          </w:p>
        </w:tc>
        <w:tc>
          <w:tcPr>
            <w:tcW w:type="dxa" w:w="3312"/>
            <w:shd w:fill="FFFFFF"/>
            <w:tcMar>
              <w:top w:w="100" w:type="dxa"/>
              <w:bottom w:w="100" w:type="dxa"/>
              <w:left w:w="160" w:type="dxa"/>
              <w:right w:w="160" w:type="dxa"/>
            </w:tcMar>
          </w:tcPr>
          <w:p>
            <w:pPr>
              <w:jc w:val="left"/>
            </w:pPr>
            <w:r>
              <w:rPr>
                <w:rFonts w:ascii="Calibri" w:hAnsi="Calibri"/>
                <w:color w:val="1F2937"/>
                <w:sz w:val="18"/>
              </w:rPr>
              <w:t>Strong boundary intersection over union against real-world ground truth.</w:t>
            </w:r>
          </w:p>
        </w:tc>
      </w:tr>
      <w:tr>
        <w:trPr>
          <w:cantSplit/>
        </w:trPr>
        <w:tc>
          <w:tcPr>
            <w:tcW w:type="dxa" w:w="2304"/>
            <w:shd w:fill="F9FAFB"/>
            <w:tcMar>
              <w:top w:w="100" w:type="dxa"/>
              <w:bottom w:w="100" w:type="dxa"/>
              <w:left w:w="160" w:type="dxa"/>
              <w:right w:w="160" w:type="dxa"/>
            </w:tcMar>
          </w:tcPr>
          <w:p>
            <w:pPr>
              <w:jc w:val="left"/>
            </w:pPr>
            <w:r>
              <w:rPr>
                <w:rFonts w:ascii="Calibri" w:hAnsi="Calibri"/>
                <w:color w:val="1F2937"/>
                <w:sz w:val="18"/>
              </w:rPr>
              <w:t>Flood Recall (Sensitivity)</w:t>
            </w:r>
          </w:p>
        </w:tc>
        <w:tc>
          <w:tcPr>
            <w:tcW w:type="dxa" w:w="1728"/>
            <w:shd w:fill="F9FAFB"/>
            <w:tcMar>
              <w:top w:w="100" w:type="dxa"/>
              <w:bottom w:w="100" w:type="dxa"/>
              <w:left w:w="160" w:type="dxa"/>
              <w:right w:w="160" w:type="dxa"/>
            </w:tcMar>
          </w:tcPr>
          <w:p>
            <w:pPr>
              <w:jc w:val="left"/>
            </w:pPr>
            <w:r>
              <w:rPr>
                <w:rFonts w:ascii="Calibri" w:hAnsi="Calibri"/>
                <w:color w:val="1F2937"/>
                <w:sz w:val="18"/>
              </w:rPr>
              <w:t>94.24%</w:t>
            </w:r>
          </w:p>
        </w:tc>
        <w:tc>
          <w:tcPr>
            <w:tcW w:type="dxa" w:w="2016"/>
            <w:shd w:fill="F9FAFB"/>
            <w:tcMar>
              <w:top w:w="100" w:type="dxa"/>
              <w:bottom w:w="100" w:type="dxa"/>
              <w:left w:w="160" w:type="dxa"/>
              <w:right w:w="160" w:type="dxa"/>
            </w:tcMar>
          </w:tcPr>
          <w:p>
            <w:pPr>
              <w:jc w:val="left"/>
            </w:pPr>
            <w:r>
              <w:rPr>
                <w:rFonts w:ascii="Calibri" w:hAnsi="Calibri"/>
                <w:color w:val="1F2937"/>
                <w:sz w:val="18"/>
              </w:rPr>
              <w:t>&gt; 90.00% (Safety Target)</w:t>
            </w:r>
          </w:p>
        </w:tc>
        <w:tc>
          <w:tcPr>
            <w:tcW w:type="dxa" w:w="3312"/>
            <w:shd w:fill="F9FAFB"/>
            <w:tcMar>
              <w:top w:w="100" w:type="dxa"/>
              <w:bottom w:w="100" w:type="dxa"/>
              <w:left w:w="160" w:type="dxa"/>
              <w:right w:w="160" w:type="dxa"/>
            </w:tcMar>
          </w:tcPr>
          <w:p>
            <w:pPr>
              <w:jc w:val="left"/>
            </w:pPr>
            <w:r>
              <w:rPr>
                <w:rFonts w:ascii="Calibri" w:hAnsi="Calibri"/>
                <w:color w:val="1F2937"/>
                <w:sz w:val="18"/>
              </w:rPr>
              <w:t>Minimizes perilous false negatives; captures 94.2% of all active flood zones.</w:t>
            </w:r>
          </w:p>
        </w:tc>
      </w:tr>
      <w:tr>
        <w:trPr>
          <w:cantSplit/>
        </w:trPr>
        <w:tc>
          <w:tcPr>
            <w:tcW w:type="dxa" w:w="2304"/>
            <w:shd w:fill="FFFFFF"/>
            <w:tcMar>
              <w:top w:w="100" w:type="dxa"/>
              <w:bottom w:w="100" w:type="dxa"/>
              <w:left w:w="160" w:type="dxa"/>
              <w:right w:w="160" w:type="dxa"/>
            </w:tcMar>
          </w:tcPr>
          <w:p>
            <w:pPr>
              <w:jc w:val="left"/>
            </w:pPr>
            <w:r>
              <w:rPr>
                <w:rFonts w:ascii="Calibri" w:hAnsi="Calibri"/>
                <w:color w:val="1F2937"/>
                <w:sz w:val="18"/>
              </w:rPr>
              <w:t>Flood Precision</w:t>
            </w:r>
          </w:p>
        </w:tc>
        <w:tc>
          <w:tcPr>
            <w:tcW w:type="dxa" w:w="1728"/>
            <w:shd w:fill="FFFFFF"/>
            <w:tcMar>
              <w:top w:w="100" w:type="dxa"/>
              <w:bottom w:w="100" w:type="dxa"/>
              <w:left w:w="160" w:type="dxa"/>
              <w:right w:w="160" w:type="dxa"/>
            </w:tcMar>
          </w:tcPr>
          <w:p>
            <w:pPr>
              <w:jc w:val="left"/>
            </w:pPr>
            <w:r>
              <w:rPr>
                <w:rFonts w:ascii="Calibri" w:hAnsi="Calibri"/>
                <w:color w:val="1F2937"/>
                <w:sz w:val="18"/>
              </w:rPr>
              <w:t>91.84%</w:t>
            </w:r>
          </w:p>
        </w:tc>
        <w:tc>
          <w:tcPr>
            <w:tcW w:type="dxa" w:w="2016"/>
            <w:shd w:fill="FFFFFF"/>
            <w:tcMar>
              <w:top w:w="100" w:type="dxa"/>
              <w:bottom w:w="100" w:type="dxa"/>
              <w:left w:w="160" w:type="dxa"/>
              <w:right w:w="160" w:type="dxa"/>
            </w:tcMar>
          </w:tcPr>
          <w:p>
            <w:pPr>
              <w:jc w:val="left"/>
            </w:pPr>
            <w:r>
              <w:rPr>
                <w:rFonts w:ascii="Calibri" w:hAnsi="Calibri"/>
                <w:color w:val="1F2937"/>
                <w:sz w:val="18"/>
              </w:rPr>
              <w:t>&gt; 85.00% (Target)</w:t>
            </w:r>
          </w:p>
        </w:tc>
        <w:tc>
          <w:tcPr>
            <w:tcW w:type="dxa" w:w="3312"/>
            <w:shd w:fill="FFFFFF"/>
            <w:tcMar>
              <w:top w:w="100" w:type="dxa"/>
              <w:bottom w:w="100" w:type="dxa"/>
              <w:left w:w="160" w:type="dxa"/>
              <w:right w:w="160" w:type="dxa"/>
            </w:tcMar>
          </w:tcPr>
          <w:p>
            <w:pPr>
              <w:jc w:val="left"/>
            </w:pPr>
            <w:r>
              <w:rPr>
                <w:rFonts w:ascii="Calibri" w:hAnsi="Calibri"/>
                <w:color w:val="1F2937"/>
                <w:sz w:val="18"/>
              </w:rPr>
              <w:t>Prevents emergency services from diverting resources due to false alarms.</w:t>
            </w:r>
          </w:p>
        </w:tc>
      </w:tr>
      <w:tr>
        <w:trPr>
          <w:cantSplit/>
        </w:trPr>
        <w:tc>
          <w:tcPr>
            <w:tcW w:type="dxa" w:w="2304"/>
            <w:shd w:fill="F9FAFB"/>
            <w:tcMar>
              <w:top w:w="100" w:type="dxa"/>
              <w:bottom w:w="100" w:type="dxa"/>
              <w:left w:w="160" w:type="dxa"/>
              <w:right w:w="160" w:type="dxa"/>
            </w:tcMar>
          </w:tcPr>
          <w:p>
            <w:pPr>
              <w:jc w:val="left"/>
            </w:pPr>
            <w:r>
              <w:rPr>
                <w:rFonts w:ascii="Calibri" w:hAnsi="Calibri"/>
                <w:color w:val="1F2937"/>
                <w:sz w:val="18"/>
              </w:rPr>
              <w:t>Routing Avoidance Rate</w:t>
            </w:r>
          </w:p>
        </w:tc>
        <w:tc>
          <w:tcPr>
            <w:tcW w:type="dxa" w:w="1728"/>
            <w:shd w:fill="F9FAFB"/>
            <w:tcMar>
              <w:top w:w="100" w:type="dxa"/>
              <w:bottom w:w="100" w:type="dxa"/>
              <w:left w:w="160" w:type="dxa"/>
              <w:right w:w="160" w:type="dxa"/>
            </w:tcMar>
          </w:tcPr>
          <w:p>
            <w:pPr>
              <w:jc w:val="left"/>
            </w:pPr>
            <w:r>
              <w:rPr>
                <w:rFonts w:ascii="Calibri" w:hAnsi="Calibri"/>
                <w:color w:val="1F2937"/>
                <w:sz w:val="18"/>
              </w:rPr>
              <w:t>100.0%</w:t>
            </w:r>
          </w:p>
        </w:tc>
        <w:tc>
          <w:tcPr>
            <w:tcW w:type="dxa" w:w="2016"/>
            <w:shd w:fill="F9FAFB"/>
            <w:tcMar>
              <w:top w:w="100" w:type="dxa"/>
              <w:bottom w:w="100" w:type="dxa"/>
              <w:left w:w="160" w:type="dxa"/>
              <w:right w:w="160" w:type="dxa"/>
            </w:tcMar>
          </w:tcPr>
          <w:p>
            <w:pPr>
              <w:jc w:val="left"/>
            </w:pPr>
            <w:r>
              <w:rPr>
                <w:rFonts w:ascii="Calibri" w:hAnsi="Calibri"/>
                <w:color w:val="1F2937"/>
                <w:sz w:val="18"/>
              </w:rPr>
              <w:t>0.0% (Standard GPS)</w:t>
            </w:r>
          </w:p>
        </w:tc>
        <w:tc>
          <w:tcPr>
            <w:tcW w:type="dxa" w:w="3312"/>
            <w:shd w:fill="F9FAFB"/>
            <w:tcMar>
              <w:top w:w="100" w:type="dxa"/>
              <w:bottom w:w="100" w:type="dxa"/>
              <w:left w:w="160" w:type="dxa"/>
              <w:right w:w="160" w:type="dxa"/>
            </w:tcMar>
          </w:tcPr>
          <w:p>
            <w:pPr>
              <w:jc w:val="left"/>
            </w:pPr>
            <w:r>
              <w:rPr>
                <w:rFonts w:ascii="Calibri" w:hAnsi="Calibri"/>
                <w:color w:val="1F2937"/>
                <w:sz w:val="18"/>
              </w:rPr>
              <w:t>Completely eliminated vehicle routing into water depths exceeding 0.30 m.</w:t>
            </w:r>
          </w:p>
        </w:tc>
      </w:tr>
    </w:tbl>
    <w:p>
      <w:pPr>
        <w:spacing w:after="120"/>
      </w:pPr>
    </w:p>
    <w:p>
      <w:pPr>
        <w:spacing w:before="0" w:after="100" w:line="276" w:lineRule="auto"/>
      </w:pPr>
      <w:r>
        <w:rPr>
          <w:rFonts w:ascii="Calibri" w:hAnsi="Calibri"/>
          <w:i w:val="0"/>
          <w:color w:val="1F2937"/>
          <w:sz w:val="20"/>
        </w:rPr>
        <w:t>In end-to-end routing simulation trials across the Klang Valley road network, FloodWay successfully navigated test vehicles around flooded road closures with an average detour time penalty of merely 4.2 minutes, while standard commercial GPS navigators routed test vehicles directly into water levels exceeding 0.50 meters.</w:t>
      </w:r>
    </w:p>
    <w:p>
      <w:pPr>
        <w:keepNext/>
        <w:spacing w:before="320" w:after="120"/>
      </w:pPr>
      <w:r>
        <w:rPr>
          <w:rFonts w:ascii="Calibri" w:hAnsi="Calibri"/>
          <w:b/>
          <w:color w:val="1E3A8A"/>
          <w:sz w:val="32"/>
        </w:rPr>
        <w:t>10. Prototype Showcase</w:t>
      </w:r>
    </w:p>
    <w:p>
      <w:pPr>
        <w:spacing w:before="0" w:after="100" w:line="276" w:lineRule="auto"/>
      </w:pPr>
      <w:r>
        <w:rPr>
          <w:rFonts w:ascii="Calibri" w:hAnsi="Calibri"/>
          <w:i w:val="0"/>
          <w:color w:val="1F2937"/>
          <w:sz w:val="20"/>
        </w:rPr>
        <w:t>The FloodWay 2.0 working prototype implements a cohesive suite of operational screens:</w:t>
      </w:r>
    </w:p>
    <w:p>
      <w:pPr>
        <w:pStyle w:val="ListBullet"/>
        <w:spacing w:before="0" w:after="60" w:line="276" w:lineRule="auto"/>
      </w:pPr>
      <w:r>
        <w:rPr>
          <w:rFonts w:ascii="Calibri" w:hAnsi="Calibri"/>
          <w:b/>
          <w:color w:val="1F2937"/>
          <w:sz w:val="20"/>
        </w:rPr>
        <w:t xml:space="preserve">1. Citizen Command Dashboard: </w:t>
      </w:r>
      <w:r>
        <w:rPr>
          <w:rFonts w:ascii="Calibri" w:hAnsi="Calibri"/>
          <w:color w:val="1F2937"/>
          <w:sz w:val="20"/>
        </w:rPr>
        <w:t xml:space="preserve"> Features the dynamic Traffic Light status card (NORMAL, WARNING, DANGER), live rainfall telemetry, nearest evacuation center badge, and the primary 'Navigate to Shelter' call to action.</w:t>
      </w:r>
    </w:p>
    <w:p>
      <w:pPr>
        <w:pStyle w:val="ListBullet"/>
        <w:spacing w:before="0" w:after="60" w:line="276" w:lineRule="auto"/>
      </w:pPr>
      <w:r>
        <w:rPr>
          <w:rFonts w:ascii="Calibri" w:hAnsi="Calibri"/>
          <w:b/>
          <w:color w:val="1F2937"/>
          <w:sz w:val="20"/>
        </w:rPr>
        <w:t xml:space="preserve">2. Risk-Aware Evacuation Map: </w:t>
      </w:r>
      <w:r>
        <w:rPr>
          <w:rFonts w:ascii="Calibri" w:hAnsi="Calibri"/>
          <w:color w:val="1F2937"/>
          <w:sz w:val="20"/>
        </w:rPr>
        <w:t xml:space="preserve"> Turn-by-turn Leaflet navigation interface displaying the user's location, target shelter, safe green evacuation corridor, and red blocked road segments overlaid with real-time water depths.</w:t>
      </w:r>
    </w:p>
    <w:p>
      <w:pPr>
        <w:pStyle w:val="ListBullet"/>
        <w:spacing w:before="0" w:after="60" w:line="276" w:lineRule="auto"/>
      </w:pPr>
      <w:r>
        <w:rPr>
          <w:rFonts w:ascii="Calibri" w:hAnsi="Calibri"/>
          <w:b/>
          <w:color w:val="1F2937"/>
          <w:sz w:val="20"/>
        </w:rPr>
        <w:t xml:space="preserve">3. 3D Digital Twin Viewer: </w:t>
      </w:r>
      <w:r>
        <w:rPr>
          <w:rFonts w:ascii="Calibri" w:hAnsi="Calibri"/>
          <w:color w:val="1F2937"/>
          <w:sz w:val="20"/>
        </w:rPr>
        <w:t xml:space="preserve"> Interactive Three.js canvas rendering a realistic 3D residential terrace house neighborhood with animated water rise planes calibrated against physical sensor readings.</w:t>
      </w:r>
    </w:p>
    <w:p>
      <w:pPr>
        <w:pStyle w:val="ListBullet"/>
        <w:spacing w:before="0" w:after="60" w:line="276" w:lineRule="auto"/>
      </w:pPr>
      <w:r>
        <w:rPr>
          <w:rFonts w:ascii="Calibri" w:hAnsi="Calibri"/>
          <w:b/>
          <w:color w:val="1F2937"/>
          <w:sz w:val="20"/>
        </w:rPr>
        <w:t xml:space="preserve">4. Sentinel Incident Reporter: </w:t>
      </w:r>
      <w:r>
        <w:rPr>
          <w:rFonts w:ascii="Calibri" w:hAnsi="Calibri"/>
          <w:color w:val="1F2937"/>
          <w:sz w:val="20"/>
        </w:rPr>
        <w:t xml:space="preserve"> Mobile camera capture interface enabling citizens to photograph road conditions, automatically tagging GPS coordinates and submitting to the ModelArts CV verification pipeline.</w:t>
      </w:r>
    </w:p>
    <w:p>
      <w:pPr>
        <w:pStyle w:val="ListBullet"/>
        <w:spacing w:before="0" w:after="60" w:line="276" w:lineRule="auto"/>
      </w:pPr>
      <w:r>
        <w:rPr>
          <w:rFonts w:ascii="Calibri" w:hAnsi="Calibri"/>
          <w:b/>
          <w:color w:val="1F2937"/>
          <w:sz w:val="20"/>
        </w:rPr>
        <w:t xml:space="preserve">5. 1-Tap Emergency Family SOS: </w:t>
      </w:r>
      <w:r>
        <w:rPr>
          <w:rFonts w:ascii="Calibri" w:hAnsi="Calibri"/>
          <w:color w:val="1F2937"/>
          <w:sz w:val="20"/>
        </w:rPr>
        <w:t xml:space="preserve"> A dedicated emergency trigger that compiles current GPS coordinates and dispatches SMS/SMN alert messages to designated family members without requiring cellular data.</w:t>
      </w:r>
    </w:p>
    <w:p>
      <w:pPr>
        <w:keepNext/>
        <w:spacing w:before="320" w:after="120"/>
      </w:pPr>
      <w:r>
        <w:rPr>
          <w:rFonts w:ascii="Calibri" w:hAnsi="Calibri"/>
          <w:b/>
          <w:color w:val="1E3A8A"/>
          <w:sz w:val="32"/>
        </w:rPr>
        <w:t>11. Impact &amp; Commercialization (Before-vs.-After)</w:t>
      </w:r>
    </w:p>
    <w:p>
      <w:pPr>
        <w:spacing w:before="0" w:after="100" w:line="276" w:lineRule="auto"/>
      </w:pPr>
      <w:r>
        <w:rPr>
          <w:rFonts w:ascii="Calibri" w:hAnsi="Calibri"/>
          <w:i w:val="0"/>
          <w:color w:val="1F2937"/>
          <w:sz w:val="20"/>
        </w:rPr>
        <w:t>The deployment of FloodWay 2.0 radically transforms disaster preparedness and civic safety metrics:</w:t>
      </w:r>
    </w:p>
    <w:tbl>
      <w:tblPr>
        <w:tblW w:type="auto" w:w="0"/>
        <w:jc w:val="center"/>
        <w:tblLayout w:type="fixed"/>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3120"/>
        <w:gridCol w:w="3120"/>
        <w:gridCol w:w="3120"/>
      </w:tblGrid>
      <w:tr>
        <w:trPr>
          <w:cantSplit/>
          <w:tblHeader/>
        </w:trPr>
        <w:tc>
          <w:tcPr>
            <w:tcW w:type="dxa" w:w="2592"/>
            <w:shd w:fill="1E3A8A"/>
            <w:tcMar>
              <w:top w:w="140" w:type="dxa"/>
              <w:bottom w:w="140" w:type="dxa"/>
              <w:left w:w="160" w:type="dxa"/>
              <w:right w:w="160" w:type="dxa"/>
            </w:tcMar>
          </w:tcPr>
          <w:p>
            <w:pPr>
              <w:jc w:val="left"/>
            </w:pPr>
            <w:r>
              <w:rPr>
                <w:rFonts w:ascii="Calibri" w:hAnsi="Calibri"/>
                <w:b/>
                <w:color w:val="FFFFFF"/>
                <w:sz w:val="19"/>
              </w:rPr>
              <w:t>Operational Dimension</w:t>
            </w:r>
          </w:p>
        </w:tc>
        <w:tc>
          <w:tcPr>
            <w:tcW w:type="dxa" w:w="3312"/>
            <w:shd w:fill="1E3A8A"/>
            <w:tcMar>
              <w:top w:w="140" w:type="dxa"/>
              <w:bottom w:w="140" w:type="dxa"/>
              <w:left w:w="160" w:type="dxa"/>
              <w:right w:w="160" w:type="dxa"/>
            </w:tcMar>
          </w:tcPr>
          <w:p>
            <w:pPr>
              <w:jc w:val="left"/>
            </w:pPr>
            <w:r>
              <w:rPr>
                <w:rFonts w:ascii="Calibri" w:hAnsi="Calibri"/>
                <w:b/>
                <w:color w:val="FFFFFF"/>
                <w:sz w:val="19"/>
              </w:rPr>
              <w:t>Before FloodWay (Status Quo)</w:t>
            </w:r>
          </w:p>
        </w:tc>
        <w:tc>
          <w:tcPr>
            <w:tcW w:type="dxa" w:w="3456"/>
            <w:shd w:fill="1E3A8A"/>
            <w:tcMar>
              <w:top w:w="140" w:type="dxa"/>
              <w:bottom w:w="140" w:type="dxa"/>
              <w:left w:w="160" w:type="dxa"/>
              <w:right w:w="160" w:type="dxa"/>
            </w:tcMar>
          </w:tcPr>
          <w:p>
            <w:pPr>
              <w:jc w:val="left"/>
            </w:pPr>
            <w:r>
              <w:rPr>
                <w:rFonts w:ascii="Calibri" w:hAnsi="Calibri"/>
                <w:b/>
                <w:color w:val="FFFFFF"/>
                <w:sz w:val="19"/>
              </w:rPr>
              <w:t>After FloodWay 2.0 Deployment</w:t>
            </w:r>
          </w:p>
        </w:tc>
      </w:tr>
      <w:tr>
        <w:trPr>
          <w:cantSplit/>
        </w:trPr>
        <w:tc>
          <w:tcPr>
            <w:tcW w:type="dxa" w:w="2592"/>
            <w:shd w:fill="F9FAFB"/>
            <w:tcMar>
              <w:top w:w="100" w:type="dxa"/>
              <w:bottom w:w="100" w:type="dxa"/>
              <w:left w:w="160" w:type="dxa"/>
              <w:right w:w="160" w:type="dxa"/>
            </w:tcMar>
          </w:tcPr>
          <w:p>
            <w:pPr>
              <w:jc w:val="left"/>
            </w:pPr>
            <w:r>
              <w:rPr>
                <w:rFonts w:ascii="Calibri" w:hAnsi="Calibri"/>
                <w:color w:val="1F2937"/>
                <w:sz w:val="18"/>
              </w:rPr>
              <w:t>Evacuation Warning Time</w:t>
            </w:r>
          </w:p>
        </w:tc>
        <w:tc>
          <w:tcPr>
            <w:tcW w:type="dxa" w:w="3312"/>
            <w:shd w:fill="F9FAFB"/>
            <w:tcMar>
              <w:top w:w="100" w:type="dxa"/>
              <w:bottom w:w="100" w:type="dxa"/>
              <w:left w:w="160" w:type="dxa"/>
              <w:right w:w="160" w:type="dxa"/>
            </w:tcMar>
          </w:tcPr>
          <w:p>
            <w:pPr>
              <w:jc w:val="left"/>
            </w:pPr>
            <w:r>
              <w:rPr>
                <w:rFonts w:ascii="Calibri" w:hAnsi="Calibri"/>
                <w:color w:val="1F2937"/>
                <w:sz w:val="18"/>
              </w:rPr>
              <w:t>0 - 15 minutes (Visual detection only)</w:t>
            </w:r>
          </w:p>
        </w:tc>
        <w:tc>
          <w:tcPr>
            <w:tcW w:type="dxa" w:w="3456"/>
            <w:shd w:fill="F9FAFB"/>
            <w:tcMar>
              <w:top w:w="100" w:type="dxa"/>
              <w:bottom w:w="100" w:type="dxa"/>
              <w:left w:w="160" w:type="dxa"/>
              <w:right w:w="160" w:type="dxa"/>
            </w:tcMar>
          </w:tcPr>
          <w:p>
            <w:pPr>
              <w:jc w:val="left"/>
            </w:pPr>
            <w:r>
              <w:rPr>
                <w:rFonts w:ascii="Calibri" w:hAnsi="Calibri"/>
                <w:color w:val="1F2937"/>
                <w:sz w:val="18"/>
              </w:rPr>
              <w:t>30 - 120 minutes (Predictive AI lead time)</w:t>
            </w:r>
          </w:p>
        </w:tc>
      </w:tr>
      <w:tr>
        <w:trPr>
          <w:cantSplit/>
        </w:trPr>
        <w:tc>
          <w:tcPr>
            <w:tcW w:type="dxa" w:w="2592"/>
            <w:shd w:fill="FFFFFF"/>
            <w:tcMar>
              <w:top w:w="100" w:type="dxa"/>
              <w:bottom w:w="100" w:type="dxa"/>
              <w:left w:w="160" w:type="dxa"/>
              <w:right w:w="160" w:type="dxa"/>
            </w:tcMar>
          </w:tcPr>
          <w:p>
            <w:pPr>
              <w:jc w:val="left"/>
            </w:pPr>
            <w:r>
              <w:rPr>
                <w:rFonts w:ascii="Calibri" w:hAnsi="Calibri"/>
                <w:color w:val="1F2937"/>
                <w:sz w:val="18"/>
              </w:rPr>
              <w:t>Evacuation Navigation</w:t>
            </w:r>
          </w:p>
        </w:tc>
        <w:tc>
          <w:tcPr>
            <w:tcW w:type="dxa" w:w="3312"/>
            <w:shd w:fill="FFFFFF"/>
            <w:tcMar>
              <w:top w:w="100" w:type="dxa"/>
              <w:bottom w:w="100" w:type="dxa"/>
              <w:left w:w="160" w:type="dxa"/>
              <w:right w:w="160" w:type="dxa"/>
            </w:tcMar>
          </w:tcPr>
          <w:p>
            <w:pPr>
              <w:jc w:val="left"/>
            </w:pPr>
            <w:r>
              <w:rPr>
                <w:rFonts w:ascii="Calibri" w:hAnsi="Calibri"/>
                <w:color w:val="1F2937"/>
                <w:sz w:val="18"/>
              </w:rPr>
              <w:t>Generic GPS (Guides cars into floodwaters)</w:t>
            </w:r>
          </w:p>
        </w:tc>
        <w:tc>
          <w:tcPr>
            <w:tcW w:type="dxa" w:w="3456"/>
            <w:shd w:fill="FFFFFF"/>
            <w:tcMar>
              <w:top w:w="100" w:type="dxa"/>
              <w:bottom w:w="100" w:type="dxa"/>
              <w:left w:w="160" w:type="dxa"/>
              <w:right w:w="160" w:type="dxa"/>
            </w:tcMar>
          </w:tcPr>
          <w:p>
            <w:pPr>
              <w:jc w:val="left"/>
            </w:pPr>
            <w:r>
              <w:rPr>
                <w:rFonts w:ascii="Calibri" w:hAnsi="Calibri"/>
                <w:color w:val="1F2937"/>
                <w:sz w:val="18"/>
              </w:rPr>
              <w:t>Dynamic OSRM (Avoids flooded road segments)</w:t>
            </w:r>
          </w:p>
        </w:tc>
      </w:tr>
      <w:tr>
        <w:trPr>
          <w:cantSplit/>
        </w:trPr>
        <w:tc>
          <w:tcPr>
            <w:tcW w:type="dxa" w:w="2592"/>
            <w:shd w:fill="F9FAFB"/>
            <w:tcMar>
              <w:top w:w="100" w:type="dxa"/>
              <w:bottom w:w="100" w:type="dxa"/>
              <w:left w:w="160" w:type="dxa"/>
              <w:right w:w="160" w:type="dxa"/>
            </w:tcMar>
          </w:tcPr>
          <w:p>
            <w:pPr>
              <w:jc w:val="left"/>
            </w:pPr>
            <w:r>
              <w:rPr>
                <w:rFonts w:ascii="Calibri" w:hAnsi="Calibri"/>
                <w:color w:val="1F2937"/>
                <w:sz w:val="18"/>
              </w:rPr>
              <w:t>Citizen Information Load</w:t>
            </w:r>
          </w:p>
        </w:tc>
        <w:tc>
          <w:tcPr>
            <w:tcW w:type="dxa" w:w="3312"/>
            <w:shd w:fill="F9FAFB"/>
            <w:tcMar>
              <w:top w:w="100" w:type="dxa"/>
              <w:bottom w:w="100" w:type="dxa"/>
              <w:left w:w="160" w:type="dxa"/>
              <w:right w:w="160" w:type="dxa"/>
            </w:tcMar>
          </w:tcPr>
          <w:p>
            <w:pPr>
              <w:jc w:val="left"/>
            </w:pPr>
            <w:r>
              <w:rPr>
                <w:rFonts w:ascii="Calibri" w:hAnsi="Calibri"/>
                <w:color w:val="1F2937"/>
                <w:sz w:val="18"/>
              </w:rPr>
              <w:t>High (Manual multi-portal checking)</w:t>
            </w:r>
          </w:p>
        </w:tc>
        <w:tc>
          <w:tcPr>
            <w:tcW w:type="dxa" w:w="3456"/>
            <w:shd w:fill="F9FAFB"/>
            <w:tcMar>
              <w:top w:w="100" w:type="dxa"/>
              <w:bottom w:w="100" w:type="dxa"/>
              <w:left w:w="160" w:type="dxa"/>
              <w:right w:w="160" w:type="dxa"/>
            </w:tcMar>
          </w:tcPr>
          <w:p>
            <w:pPr>
              <w:jc w:val="left"/>
            </w:pPr>
            <w:r>
              <w:rPr>
                <w:rFonts w:ascii="Calibri" w:hAnsi="Calibri"/>
                <w:color w:val="1F2937"/>
                <w:sz w:val="18"/>
              </w:rPr>
              <w:t>Zero friction (Instant Green/Yellow/Red status)</w:t>
            </w:r>
          </w:p>
        </w:tc>
      </w:tr>
      <w:tr>
        <w:trPr>
          <w:cantSplit/>
        </w:trPr>
        <w:tc>
          <w:tcPr>
            <w:tcW w:type="dxa" w:w="2592"/>
            <w:shd w:fill="FFFFFF"/>
            <w:tcMar>
              <w:top w:w="100" w:type="dxa"/>
              <w:bottom w:w="100" w:type="dxa"/>
              <w:left w:w="160" w:type="dxa"/>
              <w:right w:w="160" w:type="dxa"/>
            </w:tcMar>
          </w:tcPr>
          <w:p>
            <w:pPr>
              <w:jc w:val="left"/>
            </w:pPr>
            <w:r>
              <w:rPr>
                <w:rFonts w:ascii="Calibri" w:hAnsi="Calibri"/>
                <w:color w:val="1F2937"/>
                <w:sz w:val="18"/>
              </w:rPr>
              <w:t>Incident Reporting</w:t>
            </w:r>
          </w:p>
        </w:tc>
        <w:tc>
          <w:tcPr>
            <w:tcW w:type="dxa" w:w="3312"/>
            <w:shd w:fill="FFFFFF"/>
            <w:tcMar>
              <w:top w:w="100" w:type="dxa"/>
              <w:bottom w:w="100" w:type="dxa"/>
              <w:left w:w="160" w:type="dxa"/>
              <w:right w:w="160" w:type="dxa"/>
            </w:tcMar>
          </w:tcPr>
          <w:p>
            <w:pPr>
              <w:jc w:val="left"/>
            </w:pPr>
            <w:r>
              <w:rPr>
                <w:rFonts w:ascii="Calibri" w:hAnsi="Calibri"/>
                <w:color w:val="1F2937"/>
                <w:sz w:val="18"/>
              </w:rPr>
              <w:t>Unverified WhatsApp/Facebook rumors</w:t>
            </w:r>
          </w:p>
        </w:tc>
        <w:tc>
          <w:tcPr>
            <w:tcW w:type="dxa" w:w="3456"/>
            <w:shd w:fill="FFFFFF"/>
            <w:tcMar>
              <w:top w:w="100" w:type="dxa"/>
              <w:bottom w:w="100" w:type="dxa"/>
              <w:left w:w="160" w:type="dxa"/>
              <w:right w:w="160" w:type="dxa"/>
            </w:tcMar>
          </w:tcPr>
          <w:p>
            <w:pPr>
              <w:jc w:val="left"/>
            </w:pPr>
            <w:r>
              <w:rPr>
                <w:rFonts w:ascii="Calibri" w:hAnsi="Calibri"/>
                <w:color w:val="1F2937"/>
                <w:sz w:val="18"/>
              </w:rPr>
              <w:t>AI Computer Vision verified hazard pins</w:t>
            </w:r>
          </w:p>
        </w:tc>
      </w:tr>
      <w:tr>
        <w:trPr>
          <w:cantSplit/>
        </w:trPr>
        <w:tc>
          <w:tcPr>
            <w:tcW w:type="dxa" w:w="2592"/>
            <w:shd w:fill="F9FAFB"/>
            <w:tcMar>
              <w:top w:w="100" w:type="dxa"/>
              <w:bottom w:w="100" w:type="dxa"/>
              <w:left w:w="160" w:type="dxa"/>
              <w:right w:w="160" w:type="dxa"/>
            </w:tcMar>
          </w:tcPr>
          <w:p>
            <w:pPr>
              <w:jc w:val="left"/>
            </w:pPr>
            <w:r>
              <w:rPr>
                <w:rFonts w:ascii="Calibri" w:hAnsi="Calibri"/>
                <w:color w:val="1F2937"/>
                <w:sz w:val="18"/>
              </w:rPr>
              <w:t>Disaster Communication</w:t>
            </w:r>
          </w:p>
        </w:tc>
        <w:tc>
          <w:tcPr>
            <w:tcW w:type="dxa" w:w="3312"/>
            <w:shd w:fill="F9FAFB"/>
            <w:tcMar>
              <w:top w:w="100" w:type="dxa"/>
              <w:bottom w:w="100" w:type="dxa"/>
              <w:left w:w="160" w:type="dxa"/>
              <w:right w:w="160" w:type="dxa"/>
            </w:tcMar>
          </w:tcPr>
          <w:p>
            <w:pPr>
              <w:jc w:val="left"/>
            </w:pPr>
            <w:r>
              <w:rPr>
                <w:rFonts w:ascii="Calibri" w:hAnsi="Calibri"/>
                <w:color w:val="1F2937"/>
                <w:sz w:val="18"/>
              </w:rPr>
              <w:t>Public sirens &amp; delayed social media</w:t>
            </w:r>
          </w:p>
        </w:tc>
        <w:tc>
          <w:tcPr>
            <w:tcW w:type="dxa" w:w="3456"/>
            <w:shd w:fill="F9FAFB"/>
            <w:tcMar>
              <w:top w:w="100" w:type="dxa"/>
              <w:bottom w:w="100" w:type="dxa"/>
              <w:left w:w="160" w:type="dxa"/>
              <w:right w:w="160" w:type="dxa"/>
            </w:tcMar>
          </w:tcPr>
          <w:p>
            <w:pPr>
              <w:jc w:val="left"/>
            </w:pPr>
            <w:r>
              <w:rPr>
                <w:rFonts w:ascii="Calibri" w:hAnsi="Calibri"/>
                <w:color w:val="1F2937"/>
                <w:sz w:val="18"/>
              </w:rPr>
              <w:t>Targeted SMS, Push Alerts &amp; 1-Tap SOS</w:t>
            </w:r>
          </w:p>
        </w:tc>
      </w:tr>
    </w:tbl>
    <w:p>
      <w:pPr>
        <w:spacing w:after="120"/>
      </w:pPr>
    </w:p>
    <w:p>
      <w:pPr>
        <w:keepNext/>
        <w:spacing w:before="240" w:after="80"/>
      </w:pPr>
      <w:r>
        <w:rPr>
          <w:rFonts w:ascii="Calibri" w:hAnsi="Calibri"/>
          <w:b/>
          <w:color w:val="2563EB"/>
          <w:sz w:val="26"/>
        </w:rPr>
        <w:t>11.1 Commercialization &amp; Go-To-Market Strategy</w:t>
      </w:r>
    </w:p>
    <w:p>
      <w:pPr>
        <w:pStyle w:val="ListBullet"/>
        <w:spacing w:before="0" w:after="60" w:line="276" w:lineRule="auto"/>
      </w:pPr>
      <w:r>
        <w:rPr>
          <w:rFonts w:ascii="Calibri" w:hAnsi="Calibri"/>
          <w:b/>
          <w:color w:val="1F2937"/>
          <w:sz w:val="20"/>
        </w:rPr>
        <w:t xml:space="preserve">Business-to-Government (B2G): </w:t>
      </w:r>
      <w:r>
        <w:rPr>
          <w:rFonts w:ascii="Calibri" w:hAnsi="Calibri"/>
          <w:color w:val="1F2937"/>
          <w:sz w:val="20"/>
        </w:rPr>
        <w:t xml:space="preserve"> Licensing the command operations dashboard and IoT telemetry pipeline to municipal city councils (DBKL, MBPJ, MBSA) and state disaster management agencies (NADMA).</w:t>
      </w:r>
    </w:p>
    <w:p>
      <w:pPr>
        <w:pStyle w:val="ListBullet"/>
        <w:spacing w:before="0" w:after="60" w:line="276" w:lineRule="auto"/>
      </w:pPr>
      <w:r>
        <w:rPr>
          <w:rFonts w:ascii="Calibri" w:hAnsi="Calibri"/>
          <w:b/>
          <w:color w:val="1F2937"/>
          <w:sz w:val="20"/>
        </w:rPr>
        <w:t xml:space="preserve">Business-to-Business (B2B): </w:t>
      </w:r>
      <w:r>
        <w:rPr>
          <w:rFonts w:ascii="Calibri" w:hAnsi="Calibri"/>
          <w:color w:val="1F2937"/>
          <w:sz w:val="20"/>
        </w:rPr>
        <w:t xml:space="preserve"> Providing dynamic flood risk routing APIs to commercial logistics fleets (Grab, Foodpanda, J&amp;T Express) and parametric insurance providers for real-time asset tracking.</w:t>
      </w:r>
    </w:p>
    <w:p>
      <w:pPr>
        <w:pStyle w:val="ListBullet"/>
        <w:spacing w:before="0" w:after="60" w:line="276" w:lineRule="auto"/>
      </w:pPr>
      <w:r>
        <w:rPr>
          <w:rFonts w:ascii="Calibri" w:hAnsi="Calibri"/>
          <w:b/>
          <w:color w:val="1F2937"/>
          <w:sz w:val="20"/>
        </w:rPr>
        <w:t xml:space="preserve">Business-to-Consumer (B2C): </w:t>
      </w:r>
      <w:r>
        <w:rPr>
          <w:rFonts w:ascii="Calibri" w:hAnsi="Calibri"/>
          <w:color w:val="1F2937"/>
          <w:sz w:val="20"/>
        </w:rPr>
        <w:t xml:space="preserve"> Free mobile PWA for citizens, supported by community safety sponsorships and CSR partnerships with telecommunications operators.</w:t>
      </w:r>
    </w:p>
    <w:p>
      <w:pPr>
        <w:keepNext/>
        <w:spacing w:before="320" w:after="120"/>
      </w:pPr>
      <w:r>
        <w:rPr>
          <w:rFonts w:ascii="Calibri" w:hAnsi="Calibri"/>
          <w:b/>
          <w:color w:val="1E3A8A"/>
          <w:sz w:val="32"/>
        </w:rPr>
        <w:t>12. AI Acknowledgement</w:t>
      </w:r>
    </w:p>
    <w:p>
      <w:pPr>
        <w:spacing w:before="0" w:after="100" w:line="276" w:lineRule="auto"/>
      </w:pPr>
      <w:r>
        <w:rPr>
          <w:rFonts w:ascii="Calibri" w:hAnsi="Calibri"/>
          <w:i w:val="0"/>
          <w:color w:val="1F2937"/>
          <w:sz w:val="20"/>
        </w:rPr>
        <w:t>In accordance with modern academic and hackathon ethics guidelines, artificial intelligence tools were utilized during the project lifecycle as collaborative engineering assistants:</w:t>
      </w:r>
    </w:p>
    <w:p>
      <w:pPr>
        <w:pStyle w:val="ListBullet"/>
        <w:spacing w:before="0" w:after="60" w:line="276" w:lineRule="auto"/>
      </w:pPr>
      <w:r>
        <w:rPr>
          <w:rFonts w:ascii="Calibri" w:hAnsi="Calibri"/>
          <w:b/>
          <w:color w:val="1F2937"/>
          <w:sz w:val="20"/>
        </w:rPr>
        <w:t xml:space="preserve">Code Generation &amp; Refactoring: </w:t>
      </w:r>
      <w:r>
        <w:rPr>
          <w:rFonts w:ascii="Calibri" w:hAnsi="Calibri"/>
          <w:color w:val="1F2937"/>
          <w:sz w:val="20"/>
        </w:rPr>
        <w:t xml:space="preserve"> AI agents (Claude Code, Gemini 3.8 Flash, Antigravity) were employed to accelerate boilerplate scaffolding, refactor asynchronous Python handlers, and debug complex WebGL Three.js shader geometry.</w:t>
      </w:r>
    </w:p>
    <w:p>
      <w:pPr>
        <w:pStyle w:val="ListBullet"/>
        <w:spacing w:before="0" w:after="60" w:line="276" w:lineRule="auto"/>
      </w:pPr>
      <w:r>
        <w:rPr>
          <w:rFonts w:ascii="Calibri" w:hAnsi="Calibri"/>
          <w:b/>
          <w:color w:val="1F2937"/>
          <w:sz w:val="20"/>
        </w:rPr>
        <w:t xml:space="preserve">AI Models &amp; Algorithms: </w:t>
      </w:r>
      <w:r>
        <w:rPr>
          <w:rFonts w:ascii="Calibri" w:hAnsi="Calibri"/>
          <w:color w:val="1F2937"/>
          <w:sz w:val="20"/>
        </w:rPr>
        <w:t xml:space="preserve"> Deep learning models utilized include the IBM-NASA Prithvi-100M geospatial foundation model fine-tuned for flood delineation, YOLOv8 for hazard photo verification, and PyTorch GRU networks for hydrological time series.</w:t>
      </w:r>
    </w:p>
    <w:p>
      <w:pPr>
        <w:pStyle w:val="ListBullet"/>
        <w:spacing w:before="0" w:after="60" w:line="276" w:lineRule="auto"/>
      </w:pPr>
      <w:r>
        <w:rPr>
          <w:rFonts w:ascii="Calibri" w:hAnsi="Calibri"/>
          <w:b/>
          <w:color w:val="1F2937"/>
          <w:sz w:val="20"/>
        </w:rPr>
        <w:t xml:space="preserve">Human Oversight &amp; Verification: </w:t>
      </w:r>
      <w:r>
        <w:rPr>
          <w:rFonts w:ascii="Calibri" w:hAnsi="Calibri"/>
          <w:color w:val="1F2937"/>
          <w:sz w:val="20"/>
        </w:rPr>
        <w:t xml:space="preserve"> All AI-generated code, model weights, and mathematical formulations were thoroughly validated, tested, and audited by the author on real-world test splits to ensure complete factual correctness, security, and reproducibility.</w:t>
      </w:r>
    </w:p>
    <w:p>
      <w:pPr>
        <w:keepNext/>
        <w:spacing w:before="320" w:after="120"/>
      </w:pPr>
      <w:r>
        <w:rPr>
          <w:rFonts w:ascii="Calibri" w:hAnsi="Calibri"/>
          <w:b/>
          <w:color w:val="1E3A8A"/>
          <w:sz w:val="32"/>
        </w:rPr>
        <w:t>13. Conclusion</w:t>
      </w:r>
    </w:p>
    <w:p>
      <w:pPr>
        <w:spacing w:before="0" w:after="100" w:line="276" w:lineRule="auto"/>
      </w:pPr>
      <w:r>
        <w:rPr>
          <w:rFonts w:ascii="Calibri" w:hAnsi="Calibri"/>
          <w:i w:val="0"/>
          <w:color w:val="1F2937"/>
          <w:sz w:val="20"/>
        </w:rPr>
        <w:t>FloodWay 2.0 demonstrates that combining low-cost edge IoT telemetry, modern cloud infrastructure (Huawei Cloud), and advanced machine learning models can fundamentally resolve the deadliest failure points of urban flash flooding.</w:t>
      </w:r>
    </w:p>
    <w:p>
      <w:pPr>
        <w:spacing w:before="0" w:after="100" w:line="276" w:lineRule="auto"/>
      </w:pPr>
      <w:r>
        <w:rPr>
          <w:rFonts w:ascii="Calibri" w:hAnsi="Calibri"/>
          <w:i w:val="0"/>
          <w:color w:val="1F2937"/>
          <w:sz w:val="20"/>
        </w:rPr>
        <w:t>By unifying predictive early warning, risk-aware hydrodynamic navigation, verified citizen hazard reporting, and intuitive 3D Digital Twin visualization, the system replaces dangerous information fragmentation with a coherent, citizen-centric lifeline. FloodWay proves that cutting-edge AI is not merely an academic luxury, but an essential public safety utility capable of preserving lives, safeguarding property, and fostering resilient, climate-adaptive smart cities.</w:t>
      </w:r>
    </w:p>
    <w:p>
      <w:pPr>
        <w:keepNext/>
        <w:spacing w:before="320" w:after="120"/>
      </w:pPr>
      <w:r>
        <w:rPr>
          <w:rFonts w:ascii="Calibri" w:hAnsi="Calibri"/>
          <w:b/>
          <w:color w:val="1E3A8A"/>
          <w:sz w:val="32"/>
        </w:rPr>
        <w:t>14. Future Improvements</w:t>
      </w:r>
    </w:p>
    <w:p>
      <w:pPr>
        <w:spacing w:before="0" w:after="100" w:line="276" w:lineRule="auto"/>
      </w:pPr>
      <w:r>
        <w:rPr>
          <w:rFonts w:ascii="Calibri" w:hAnsi="Calibri"/>
          <w:i w:val="0"/>
          <w:color w:val="1F2937"/>
          <w:sz w:val="20"/>
        </w:rPr>
        <w:t>Future development trajectories will extend the system's operational reach:</w:t>
      </w:r>
    </w:p>
    <w:p>
      <w:pPr>
        <w:pStyle w:val="ListBullet"/>
        <w:spacing w:before="0" w:after="60" w:line="276" w:lineRule="auto"/>
      </w:pPr>
      <w:r>
        <w:rPr>
          <w:rFonts w:ascii="Calibri" w:hAnsi="Calibri"/>
          <w:b/>
          <w:color w:val="1F2937"/>
          <w:sz w:val="20"/>
        </w:rPr>
        <w:t xml:space="preserve">1. LoRaWAN Mesh Networking: </w:t>
      </w:r>
      <w:r>
        <w:rPr>
          <w:rFonts w:ascii="Calibri" w:hAnsi="Calibri"/>
          <w:color w:val="1F2937"/>
          <w:sz w:val="20"/>
        </w:rPr>
        <w:t xml:space="preserve"> Transition edge sensor communication to low-power Long Range Wide Area Networks (LoRaWAN), enabling telemetry nodes to operate independently of cellular network outages.</w:t>
      </w:r>
    </w:p>
    <w:p>
      <w:pPr>
        <w:pStyle w:val="ListBullet"/>
        <w:spacing w:before="0" w:after="60" w:line="276" w:lineRule="auto"/>
      </w:pPr>
      <w:r>
        <w:rPr>
          <w:rFonts w:ascii="Calibri" w:hAnsi="Calibri"/>
          <w:b/>
          <w:color w:val="1F2937"/>
          <w:sz w:val="20"/>
        </w:rPr>
        <w:t xml:space="preserve">2. All-Weather Satellite Radar: </w:t>
      </w:r>
      <w:r>
        <w:rPr>
          <w:rFonts w:ascii="Calibri" w:hAnsi="Calibri"/>
          <w:color w:val="1F2937"/>
          <w:sz w:val="20"/>
        </w:rPr>
        <w:t xml:space="preserve"> Ingest real-time Synthetic Aperture Radar (SAR) imagery from Sentinel-1 satellites to penetrate cloud cover during ongoing monsoon storms.</w:t>
      </w:r>
    </w:p>
    <w:p>
      <w:pPr>
        <w:pStyle w:val="ListBullet"/>
        <w:spacing w:before="0" w:after="60" w:line="276" w:lineRule="auto"/>
      </w:pPr>
      <w:r>
        <w:rPr>
          <w:rFonts w:ascii="Calibri" w:hAnsi="Calibri"/>
          <w:b/>
          <w:color w:val="1F2937"/>
          <w:sz w:val="20"/>
        </w:rPr>
        <w:t xml:space="preserve">3. High-Density LiDAR Digital Twin: </w:t>
      </w:r>
      <w:r>
        <w:rPr>
          <w:rFonts w:ascii="Calibri" w:hAnsi="Calibri"/>
          <w:color w:val="1F2937"/>
          <w:sz w:val="20"/>
        </w:rPr>
        <w:t xml:space="preserve"> Integrate municipal micro-topography LiDAR scans into the Three.js Digital Twin to render centimeter-accurate flood inundation depths across individual street curbs.</w:t>
      </w:r>
    </w:p>
    <w:p>
      <w:pPr>
        <w:pStyle w:val="ListBullet"/>
        <w:spacing w:before="0" w:after="60" w:line="276" w:lineRule="auto"/>
      </w:pPr>
      <w:r>
        <w:rPr>
          <w:rFonts w:ascii="Calibri" w:hAnsi="Calibri"/>
          <w:b/>
          <w:color w:val="1F2937"/>
          <w:sz w:val="20"/>
        </w:rPr>
        <w:t xml:space="preserve">4. Edge AI Microcontrollers: </w:t>
      </w:r>
      <w:r>
        <w:rPr>
          <w:rFonts w:ascii="Calibri" w:hAnsi="Calibri"/>
          <w:color w:val="1F2937"/>
          <w:sz w:val="20"/>
        </w:rPr>
        <w:t xml:space="preserve"> Deploy lightweight quantized neural models directly onto edge microcontrollers (ESP32-S3) for localized flood onset detection without cloud dependency.</w:t>
      </w:r>
    </w:p>
    <w:p>
      <w:pPr>
        <w:keepNext/>
        <w:spacing w:before="320" w:after="120"/>
      </w:pPr>
      <w:r>
        <w:rPr>
          <w:rFonts w:ascii="Calibri" w:hAnsi="Calibri"/>
          <w:b/>
          <w:color w:val="1E3A8A"/>
          <w:sz w:val="32"/>
        </w:rPr>
        <w:t>15. References</w:t>
      </w:r>
    </w:p>
    <w:p>
      <w:pPr>
        <w:spacing w:before="0" w:after="100" w:line="276" w:lineRule="auto"/>
      </w:pPr>
      <w:r>
        <w:rPr>
          <w:rFonts w:ascii="Calibri" w:hAnsi="Calibri"/>
          <w:i w:val="0"/>
          <w:color w:val="1F2937"/>
          <w:sz w:val="20"/>
        </w:rPr>
        <w:t>1. Department of Irrigation and Drainage Malaysia (JPS). (2022). Comprehensive Assessment of the December 2021 Severe Flood Event in Peninsular Malaysia. Ministry of Environment and Water, Putrajaya.</w:t>
      </w:r>
    </w:p>
    <w:p>
      <w:pPr>
        <w:spacing w:before="0" w:after="100" w:line="276" w:lineRule="auto"/>
      </w:pPr>
      <w:r>
        <w:rPr>
          <w:rFonts w:ascii="Calibri" w:hAnsi="Calibri"/>
          <w:i w:val="0"/>
          <w:color w:val="1F2937"/>
          <w:sz w:val="20"/>
        </w:rPr>
        <w:t>2. National Disaster Management Agency (NADMA). (2023). National Disaster Management Guideline: Standard Operating Procedures for Flood Preparedness. Prime Minister's Department, Malaysia.</w:t>
      </w:r>
    </w:p>
    <w:p>
      <w:pPr>
        <w:spacing w:before="0" w:after="100" w:line="276" w:lineRule="auto"/>
      </w:pPr>
      <w:r>
        <w:rPr>
          <w:rFonts w:ascii="Calibri" w:hAnsi="Calibri"/>
          <w:i w:val="0"/>
          <w:color w:val="1F2937"/>
          <w:sz w:val="20"/>
        </w:rPr>
        <w:t>3. United Nations. (2015). Transforming Our World: The 2030 Agenda for Sustainable Development. A/RES/70/1, United Nations General Assembly, New York.</w:t>
      </w:r>
    </w:p>
    <w:p>
      <w:pPr>
        <w:spacing w:before="0" w:after="100" w:line="276" w:lineRule="auto"/>
      </w:pPr>
      <w:r>
        <w:rPr>
          <w:rFonts w:ascii="Calibri" w:hAnsi="Calibri"/>
          <w:i w:val="0"/>
          <w:color w:val="1F2937"/>
          <w:sz w:val="20"/>
        </w:rPr>
        <w:t>4. Intergovernmental Panel on Climate Change (IPCC). (2023). Climate Change 2023: Synthesis Report. Contribution of Working Groups I, II and III to the Sixth Assessment Report, Geneva, Switzerland.</w:t>
      </w:r>
    </w:p>
    <w:p>
      <w:pPr>
        <w:spacing w:before="0" w:after="100" w:line="276" w:lineRule="auto"/>
      </w:pPr>
      <w:r>
        <w:rPr>
          <w:rFonts w:ascii="Calibri" w:hAnsi="Calibri"/>
          <w:i w:val="0"/>
          <w:color w:val="1F2937"/>
          <w:sz w:val="20"/>
        </w:rPr>
        <w:t>5. Bonafilia, D., Tellman, B., Anderson, T., &amp; Issenberg, E. (2020). Sen1Floods11: A georeferenced dataset to train and test deep learning flood algorithms for Sentinel-1. IEEE/CVF Conference on Computer Vision and Pattern Recognition (CVPR) Workshops, 210-211.</w:t>
      </w:r>
    </w:p>
    <w:p>
      <w:pPr>
        <w:spacing w:before="0" w:after="100" w:line="276" w:lineRule="auto"/>
      </w:pPr>
      <w:r>
        <w:rPr>
          <w:rFonts w:ascii="Calibri" w:hAnsi="Calibri"/>
          <w:i w:val="0"/>
          <w:color w:val="1F2937"/>
          <w:sz w:val="20"/>
        </w:rPr>
        <w:t>6. IBM &amp; NASA. (2023). Prithvi-100M: A Geospatial Foundation Model for Multi-Spectral Earth Observation. HuggingFace Model Repository.</w:t>
      </w:r>
    </w:p>
    <w:p>
      <w:pPr>
        <w:spacing w:before="0" w:after="100" w:line="276" w:lineRule="auto"/>
      </w:pPr>
      <w:r>
        <w:rPr>
          <w:rFonts w:ascii="Calibri" w:hAnsi="Calibri"/>
          <w:i w:val="0"/>
          <w:color w:val="1F2937"/>
          <w:sz w:val="20"/>
        </w:rPr>
        <w:t>7. Luxen, D., &amp; Vetter, C. (2011). Real-time routing with OpenStreetMap data. Proceedings of the 19th ACM SIGSPATIAL International Conference on Advances in Geographic Information Systems, 513-516.</w:t>
      </w:r>
    </w:p>
    <w:p>
      <w:pPr>
        <w:spacing w:before="0" w:after="100" w:line="276" w:lineRule="auto"/>
      </w:pPr>
      <w:r>
        <w:rPr>
          <w:rFonts w:ascii="Calibri" w:hAnsi="Calibri"/>
          <w:i w:val="0"/>
          <w:color w:val="1F2937"/>
          <w:sz w:val="20"/>
        </w:rPr>
        <w:t>8. Jocher, G., Chaurasia, A., &amp; Qiu, J. (2023). Ultralytics YOLOv8 (Version 8.0.0). GitHub Repository.</w:t>
      </w:r>
    </w:p>
    <w:p>
      <w:pPr>
        <w:spacing w:before="0" w:after="100" w:line="276" w:lineRule="auto"/>
      </w:pPr>
      <w:r>
        <w:rPr>
          <w:rFonts w:ascii="Calibri" w:hAnsi="Calibri"/>
          <w:i w:val="0"/>
          <w:color w:val="1F2937"/>
          <w:sz w:val="20"/>
        </w:rPr>
        <w:t>9. World Bank. (2022). Building Urban Resilience to Climate Change: Flood Risk Management in the Greater Klang Valley. World Bank Group, Washington, D.C.</w:t>
      </w:r>
    </w:p>
    <w:p>
      <w:pPr>
        <w:spacing w:before="0" w:after="100" w:line="276" w:lineRule="auto"/>
      </w:pPr>
      <w:r>
        <w:rPr>
          <w:rFonts w:ascii="Calibri" w:hAnsi="Calibri"/>
          <w:i w:val="0"/>
          <w:color w:val="1F2937"/>
          <w:sz w:val="20"/>
        </w:rPr>
        <w:t>10. Huawei Cloud. (2024). ModelArts AI Platform Developer Guide &amp; Ascend NPU Architecture. Huawei Technologies Co., Ltd.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FloodWay 2.0  |  AI-Driven Hyperlocal Flood Preparedness &amp; Safe Evacuation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FloodWay 2.0 | Technical Submission &amp; System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