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Fonts w:ascii="Google Sans Text" w:cs="Google Sans Text" w:eastAsia="Google Sans Text" w:hAnsi="Google Sans Text"/>
          <w:rtl w:val="0"/>
        </w:rPr>
        <w:t xml:space="preserve">Example of a </w:t>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both"/>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Based on the log, we found that the UDP protocol reveals that the DNS server is down. This is based on the results of the network analysis, which show that the ICMP echo reply</w:t>
            </w:r>
          </w:p>
          <w:p w:rsidR="00000000" w:rsidDel="00000000" w:rsidP="00000000" w:rsidRDefault="00000000" w:rsidRPr="00000000" w14:paraId="0000000A">
            <w:pPr>
              <w:widowControl w:val="0"/>
              <w:spacing w:line="276" w:lineRule="auto"/>
              <w:jc w:val="both"/>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returned the error message “udp port 53 unreachable”. It knows that port 53 is used for DNS protocol traffic. It can be concluded that the most likely issue is the DNS server not responding.</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E">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this afternoon when customer service contacted the IT department with a report from several customers stating the website cannot be accessed. The IT team tries to access the website and get an error “Destination host unreachable”. After that we run the network analyzer tool, tcpdump and catch error log “udp port 53 unreachable”. This indicate that we have problem with our DNS server and our professional team is undergoing further investigation</w:t>
            </w:r>
          </w:p>
        </w:tc>
      </w:tr>
    </w:tbl>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2">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