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measures must be enacted to enhance the security position of Botium Toys and increase the protection of sensitive data. These measures encompass implementing the principle of Least Privilege, establishing disaster recovery plans, enforcing robust password policies, implementing separation of duties, deploying an Intrusion Detection System (IDS), managing legacy systems continuously, employing encryption, and adopting a password management system.</w:t>
      </w:r>
    </w:p>
    <w:p w:rsidR="00000000" w:rsidDel="00000000" w:rsidP="00000000" w:rsidRDefault="00000000" w:rsidRPr="00000000" w14:paraId="00000079">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A">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address compliance shortcomings, Botium Toys should adopt controls such as Least Privilege, separation of duties, and encryption. Additionally, the company should accurately categorize its assets to identify potential controls that may be required to bolster its security stance and provide better safeguards for sensitive information.</w:t>
      </w:r>
    </w:p>
    <w:p w:rsidR="00000000" w:rsidDel="00000000" w:rsidP="00000000" w:rsidRDefault="00000000" w:rsidRPr="00000000" w14:paraId="0000007B">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