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r>
        <w:rPr>
          <w:rFonts w:ascii="Aptos" w:hAnsi="Aptos"/>
          <w:b/>
          <w:color w:val="1D6A96"/>
          <w:sz w:val="24"/>
        </w:rPr>
        <w:t>INFORME DE PRUEBAS</w:t>
      </w:r>
    </w:p>
    <w:p>
      <w:pPr>
        <w:pStyle w:val="Title"/>
      </w:pPr>
      <w:r>
        <w:t>Plan de pruebas</w:t>
      </w:r>
    </w:p>
    <w:p>
      <w:pPr>
        <w:spacing w:after="340"/>
      </w:pPr>
      <w:r>
        <w:rPr>
          <w:color w:val="526777"/>
          <w:sz w:val="38"/>
        </w:rPr>
        <w:t>Doctor Patient Portal</w:t>
      </w:r>
    </w:p>
    <w:p>
      <w:pPr>
        <w:spacing w:after="520"/>
      </w:pPr>
      <w:r>
        <w:rPr>
          <w:color w:val="243746"/>
          <w:sz w:val="26"/>
        </w:rPr>
        <w:t>Pruebas funcionales y automatización E2E con Cypress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vAlign w:val="center"/>
            <w:shd w:fill="12304A"/>
          </w:tcPr>
          <w:p>
            <w:pPr>
              <w:spacing w:after="20" w:before="20"/>
            </w:pPr>
            <w:r/>
            <w:r>
              <w:rPr>
                <w:rFonts w:ascii="Aptos" w:hAnsi="Aptos"/>
                <w:b/>
                <w:color w:val="FFFFFF"/>
                <w:sz w:val="17"/>
              </w:rPr>
              <w:t>Dato del proyecto</w:t>
            </w:r>
          </w:p>
        </w:tc>
        <w:tc>
          <w:tcPr>
            <w:tcW w:type="dxa" w:w="8496"/>
            <w:vAlign w:val="center"/>
            <w:shd w:fill="12304A"/>
          </w:tcPr>
          <w:p>
            <w:pPr>
              <w:spacing w:after="20" w:before="20"/>
            </w:pPr>
            <w:r/>
            <w:r>
              <w:rPr>
                <w:rFonts w:ascii="Aptos" w:hAnsi="Aptos"/>
                <w:b/>
                <w:color w:val="FFFFFF"/>
                <w:sz w:val="17"/>
              </w:rPr>
              <w:t>Detalle</w:t>
            </w:r>
          </w:p>
        </w:tc>
      </w:tr>
      <w:tr>
        <w:tc>
          <w:tcPr>
            <w:tcW w:type="dxa" w:w="2232"/>
            <w:vAlign w:val="center"/>
          </w:tcPr>
          <w:p>
            <w:pPr>
              <w:spacing w:after="20" w:before="20"/>
            </w:pPr>
            <w:r/>
            <w:r>
              <w:rPr>
                <w:rFonts w:ascii="Aptos" w:hAnsi="Aptos"/>
                <w:b w:val="0"/>
                <w:color w:val="243746"/>
                <w:sz w:val="18"/>
              </w:rPr>
              <w:t>Asignatura</w:t>
            </w:r>
          </w:p>
        </w:tc>
        <w:tc>
          <w:tcPr>
            <w:tcW w:type="dxa" w:w="8496"/>
            <w:vAlign w:val="center"/>
          </w:tcPr>
          <w:p>
            <w:pPr>
              <w:spacing w:after="20" w:before="20"/>
            </w:pPr>
            <w:r/>
            <w:r>
              <w:rPr>
                <w:rFonts w:ascii="Aptos" w:hAnsi="Aptos"/>
                <w:b w:val="0"/>
                <w:color w:val="243746"/>
                <w:sz w:val="18"/>
              </w:rPr>
              <w:t>Aseguramiento de la Calidad de Software</w:t>
            </w:r>
          </w:p>
        </w:tc>
      </w:tr>
      <w:tr>
        <w:tc>
          <w:tcPr>
            <w:tcW w:type="dxa" w:w="2232"/>
            <w:vAlign w:val="center"/>
            <w:shd w:fill="F4F8FA"/>
          </w:tcPr>
          <w:p>
            <w:pPr>
              <w:spacing w:after="20" w:before="20"/>
            </w:pPr>
            <w:r/>
            <w:r>
              <w:rPr>
                <w:rFonts w:ascii="Aptos" w:hAnsi="Aptos"/>
                <w:b w:val="0"/>
                <w:color w:val="243746"/>
                <w:sz w:val="18"/>
              </w:rPr>
              <w:t>Equipo</w:t>
            </w:r>
          </w:p>
        </w:tc>
        <w:tc>
          <w:tcPr>
            <w:tcW w:type="dxa" w:w="8496"/>
            <w:vAlign w:val="center"/>
            <w:shd w:fill="F4F8FA"/>
          </w:tcPr>
          <w:p>
            <w:pPr>
              <w:spacing w:after="20" w:before="20"/>
            </w:pPr>
            <w:r/>
            <w:r>
              <w:rPr>
                <w:rFonts w:ascii="Aptos" w:hAnsi="Aptos"/>
                <w:b w:val="0"/>
                <w:color w:val="243746"/>
                <w:sz w:val="18"/>
              </w:rPr>
              <w:t>Noemy Molina Garron · Wendy Ramirez Veizaga · Natalia Romero Cuqui · Alex Joshua Villegas Ibanez</w:t>
            </w:r>
          </w:p>
        </w:tc>
      </w:tr>
      <w:tr>
        <w:tc>
          <w:tcPr>
            <w:tcW w:type="dxa" w:w="2232"/>
            <w:vAlign w:val="center"/>
          </w:tcPr>
          <w:p>
            <w:pPr>
              <w:spacing w:after="20" w:before="20"/>
            </w:pPr>
            <w:r/>
            <w:r>
              <w:rPr>
                <w:rFonts w:ascii="Aptos" w:hAnsi="Aptos"/>
                <w:b w:val="0"/>
                <w:color w:val="243746"/>
                <w:sz w:val="18"/>
              </w:rPr>
              <w:t>Scrum Master</w:t>
            </w:r>
          </w:p>
        </w:tc>
        <w:tc>
          <w:tcPr>
            <w:tcW w:type="dxa" w:w="8496"/>
            <w:vAlign w:val="center"/>
          </w:tcPr>
          <w:p>
            <w:pPr>
              <w:spacing w:after="20" w:before="20"/>
            </w:pPr>
            <w:r/>
            <w:r>
              <w:rPr>
                <w:rFonts w:ascii="Aptos" w:hAnsi="Aptos"/>
                <w:b w:val="0"/>
                <w:color w:val="243746"/>
                <w:sz w:val="18"/>
              </w:rPr>
              <w:t>Noemy Molina Garron</w:t>
            </w:r>
          </w:p>
        </w:tc>
      </w:tr>
      <w:tr>
        <w:tc>
          <w:tcPr>
            <w:tcW w:type="dxa" w:w="2232"/>
            <w:vAlign w:val="center"/>
            <w:shd w:fill="F4F8FA"/>
          </w:tcPr>
          <w:p>
            <w:pPr>
              <w:spacing w:after="20" w:before="20"/>
            </w:pPr>
            <w:r/>
            <w:r>
              <w:rPr>
                <w:rFonts w:ascii="Aptos" w:hAnsi="Aptos"/>
                <w:b w:val="0"/>
                <w:color w:val="243746"/>
                <w:sz w:val="18"/>
              </w:rPr>
              <w:t>Periodo de trabajo</w:t>
            </w:r>
          </w:p>
        </w:tc>
        <w:tc>
          <w:tcPr>
            <w:tcW w:type="dxa" w:w="8496"/>
            <w:vAlign w:val="center"/>
            <w:shd w:fill="F4F8FA"/>
          </w:tcPr>
          <w:p>
            <w:pPr>
              <w:spacing w:after="20" w:before="20"/>
            </w:pPr>
            <w:r/>
            <w:r>
              <w:rPr>
                <w:rFonts w:ascii="Aptos" w:hAnsi="Aptos"/>
                <w:b w:val="0"/>
                <w:color w:val="243746"/>
                <w:sz w:val="18"/>
              </w:rPr>
              <w:t>12 al 19 de octubre de 2026 · presentación prevista para el 19/10</w:t>
            </w:r>
          </w:p>
        </w:tc>
      </w:tr>
      <w:tr>
        <w:tc>
          <w:tcPr>
            <w:tcW w:type="dxa" w:w="2232"/>
            <w:vAlign w:val="center"/>
          </w:tcPr>
          <w:p>
            <w:pPr>
              <w:spacing w:after="20" w:before="20"/>
            </w:pPr>
            <w:r/>
            <w:r>
              <w:rPr>
                <w:rFonts w:ascii="Aptos" w:hAnsi="Aptos"/>
                <w:b w:val="0"/>
                <w:color w:val="243746"/>
                <w:sz w:val="18"/>
              </w:rPr>
              <w:t>Entorno</w:t>
            </w:r>
          </w:p>
        </w:tc>
        <w:tc>
          <w:tcPr>
            <w:tcW w:type="dxa" w:w="8496"/>
            <w:vAlign w:val="center"/>
          </w:tcPr>
          <w:p>
            <w:pPr>
              <w:spacing w:after="20" w:before="20"/>
            </w:pPr>
            <w:r/>
            <w:r>
              <w:rPr>
                <w:rFonts w:ascii="Aptos" w:hAnsi="Aptos"/>
                <w:b w:val="0"/>
                <w:color w:val="243746"/>
                <w:sz w:val="18"/>
              </w:rPr>
              <w:t>Aplicación Java/JSP y MySQL en Docker; Cypress desde VS Code</w:t>
            </w:r>
          </w:p>
        </w:tc>
      </w:tr>
    </w:tbl>
    <w:p>
      <w:pPr>
        <w:spacing w:after="20"/>
      </w:pPr>
    </w:p>
    <w:p>
      <w:pPr>
        <w:spacing w:before="160"/>
      </w:pPr>
      <w:r>
        <w:rPr>
          <w:color w:val="526777"/>
          <w:sz w:val="18"/>
        </w:rPr>
        <w:t>Versión de entrega · 14 de octubre de 2026</w:t>
      </w:r>
    </w:p>
    <w:p>
      <w:r>
        <w:br w:type="page"/>
      </w:r>
    </w:p>
    <w:p>
      <w:pPr>
        <w:pStyle w:val="Heading1"/>
      </w:pPr>
      <w:r>
        <w:t>Resumen ejecutivo</w:t>
      </w:r>
    </w:p>
    <w:p>
      <w:r>
        <w:t>Este informe define el alcance, los criterios y la forma de ejecutar las pruebas funcionales del Doctor Patient Portal. La práctica cubre los flujos de visitante, administrador, paciente y doctor; conecta 20 historias de usuario con 23 casos, de los cuales 22 son automatizables con Cypress y uno documenta una función que el producto no ofrece: registrar otro administrador.</w:t>
      </w:r>
    </w:p>
    <w:p>
      <w:r>
        <w:t>La suite Cypress cuenta con un resultado histórico local del 14 de octubre de 2026: 22 casos aprobados, 0 fallidos y 0 pendientes. Ese dato corresponde a la ejecución registrada entonces; se debe ejecutar nuevamente en el entorno que se usará para la exposición y actualizar la evidencia antes de presentar.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vAlign w:val="center"/>
            <w:shd w:fill="12304A"/>
          </w:tcPr>
          <w:p>
            <w:pPr>
              <w:spacing w:after="20" w:before="20"/>
            </w:pPr>
            <w:r/>
            <w:r>
              <w:rPr>
                <w:rFonts w:ascii="Aptos" w:hAnsi="Aptos"/>
                <w:b/>
                <w:color w:val="FFFFFF"/>
                <w:sz w:val="17"/>
              </w:rPr>
              <w:t>Indicador</w:t>
            </w:r>
          </w:p>
        </w:tc>
        <w:tc>
          <w:tcPr>
            <w:tcW w:type="dxa" w:w="7848"/>
            <w:vAlign w:val="center"/>
            <w:shd w:fill="12304A"/>
          </w:tcPr>
          <w:p>
            <w:pPr>
              <w:spacing w:after="20" w:before="20"/>
            </w:pPr>
            <w:r/>
            <w:r>
              <w:rPr>
                <w:rFonts w:ascii="Aptos" w:hAnsi="Aptos"/>
                <w:b/>
                <w:color w:val="FFFFFF"/>
                <w:sz w:val="17"/>
              </w:rPr>
              <w:t>Alcance</w:t>
            </w:r>
          </w:p>
        </w:tc>
      </w:tr>
      <w:tr>
        <w:tc>
          <w:tcPr>
            <w:tcW w:type="dxa" w:w="2880"/>
            <w:vAlign w:val="center"/>
          </w:tcPr>
          <w:p>
            <w:pPr>
              <w:spacing w:after="20" w:before="20"/>
            </w:pPr>
            <w:r/>
            <w:r>
              <w:rPr>
                <w:rFonts w:ascii="Aptos" w:hAnsi="Aptos"/>
                <w:b w:val="0"/>
                <w:color w:val="243746"/>
                <w:sz w:val="16"/>
              </w:rPr>
              <w:t>Historias de usuario</w:t>
            </w:r>
          </w:p>
        </w:tc>
        <w:tc>
          <w:tcPr>
            <w:tcW w:type="dxa" w:w="7848"/>
            <w:vAlign w:val="center"/>
          </w:tcPr>
          <w:p>
            <w:pPr>
              <w:spacing w:after="20" w:before="20"/>
            </w:pPr>
            <w:r/>
            <w:r>
              <w:rPr>
                <w:rFonts w:ascii="Aptos" w:hAnsi="Aptos"/>
                <w:b w:val="0"/>
                <w:color w:val="243746"/>
                <w:sz w:val="16"/>
              </w:rPr>
              <w:t>20 (HU-01 a HU-20)</w:t>
            </w:r>
          </w:p>
        </w:tc>
      </w:tr>
      <w:tr>
        <w:tc>
          <w:tcPr>
            <w:tcW w:type="dxa" w:w="2880"/>
            <w:vAlign w:val="center"/>
            <w:shd w:fill="F4F8FA"/>
          </w:tcPr>
          <w:p>
            <w:pPr>
              <w:spacing w:after="20" w:before="20"/>
            </w:pPr>
            <w:r/>
            <w:r>
              <w:rPr>
                <w:rFonts w:ascii="Aptos" w:hAnsi="Aptos"/>
                <w:b w:val="0"/>
                <w:color w:val="243746"/>
                <w:sz w:val="16"/>
              </w:rPr>
              <w:t>Casos de prueba</w:t>
            </w:r>
          </w:p>
        </w:tc>
        <w:tc>
          <w:tcPr>
            <w:tcW w:type="dxa" w:w="7848"/>
            <w:vAlign w:val="center"/>
            <w:shd w:fill="F4F8FA"/>
          </w:tcPr>
          <w:p>
            <w:pPr>
              <w:spacing w:after="20" w:before="20"/>
            </w:pPr>
            <w:r/>
            <w:r>
              <w:rPr>
                <w:rFonts w:ascii="Aptos" w:hAnsi="Aptos"/>
                <w:b w:val="0"/>
                <w:color w:val="243746"/>
                <w:sz w:val="16"/>
              </w:rPr>
              <w:t>23 (CP-01 a CP-23)</w:t>
            </w:r>
          </w:p>
        </w:tc>
      </w:tr>
      <w:tr>
        <w:tc>
          <w:tcPr>
            <w:tcW w:type="dxa" w:w="2880"/>
            <w:vAlign w:val="center"/>
          </w:tcPr>
          <w:p>
            <w:pPr>
              <w:spacing w:after="20" w:before="20"/>
            </w:pPr>
            <w:r/>
            <w:r>
              <w:rPr>
                <w:rFonts w:ascii="Aptos" w:hAnsi="Aptos"/>
                <w:b w:val="0"/>
                <w:color w:val="243746"/>
                <w:sz w:val="16"/>
              </w:rPr>
              <w:t>Automatización</w:t>
            </w:r>
          </w:p>
        </w:tc>
        <w:tc>
          <w:tcPr>
            <w:tcW w:type="dxa" w:w="7848"/>
            <w:vAlign w:val="center"/>
          </w:tcPr>
          <w:p>
            <w:pPr>
              <w:spacing w:after="20" w:before="20"/>
            </w:pPr>
            <w:r/>
            <w:r>
              <w:rPr>
                <w:rFonts w:ascii="Aptos" w:hAnsi="Aptos"/>
                <w:b w:val="0"/>
                <w:color w:val="243746"/>
                <w:sz w:val="16"/>
              </w:rPr>
              <w:t>22 casos; CP-23 queda como brecha funcional</w:t>
            </w:r>
          </w:p>
        </w:tc>
      </w:tr>
      <w:tr>
        <w:tc>
          <w:tcPr>
            <w:tcW w:type="dxa" w:w="2880"/>
            <w:vAlign w:val="center"/>
            <w:shd w:fill="F4F8FA"/>
          </w:tcPr>
          <w:p>
            <w:pPr>
              <w:spacing w:after="20" w:before="20"/>
            </w:pPr>
            <w:r/>
            <w:r>
              <w:rPr>
                <w:rFonts w:ascii="Aptos" w:hAnsi="Aptos"/>
                <w:b w:val="0"/>
                <w:color w:val="243746"/>
                <w:sz w:val="16"/>
              </w:rPr>
              <w:t>Smoke test</w:t>
            </w:r>
          </w:p>
        </w:tc>
        <w:tc>
          <w:tcPr>
            <w:tcW w:type="dxa" w:w="7848"/>
            <w:vAlign w:val="center"/>
            <w:shd w:fill="F4F8FA"/>
          </w:tcPr>
          <w:p>
            <w:pPr>
              <w:spacing w:after="20" w:before="20"/>
            </w:pPr>
            <w:r/>
            <w:r>
              <w:rPr>
                <w:rFonts w:ascii="Aptos" w:hAnsi="Aptos"/>
                <w:b w:val="0"/>
                <w:color w:val="243746"/>
                <w:sz w:val="16"/>
              </w:rPr>
              <w:t>CP-01: portada, navegación, contenido principal y carrusel</w:t>
            </w:r>
          </w:p>
        </w:tc>
      </w:tr>
      <w:tr>
        <w:tc>
          <w:tcPr>
            <w:tcW w:type="dxa" w:w="2880"/>
            <w:vAlign w:val="center"/>
          </w:tcPr>
          <w:p>
            <w:pPr>
              <w:spacing w:after="20" w:before="20"/>
            </w:pPr>
            <w:r/>
            <w:r>
              <w:rPr>
                <w:rFonts w:ascii="Aptos" w:hAnsi="Aptos"/>
                <w:b w:val="0"/>
                <w:color w:val="243746"/>
                <w:sz w:val="16"/>
              </w:rPr>
              <w:t>Ejecución histórica</w:t>
            </w:r>
          </w:p>
        </w:tc>
        <w:tc>
          <w:tcPr>
            <w:tcW w:type="dxa" w:w="7848"/>
            <w:vAlign w:val="center"/>
          </w:tcPr>
          <w:p>
            <w:pPr>
              <w:spacing w:after="20" w:before="20"/>
            </w:pPr>
            <w:r/>
            <w:r>
              <w:rPr>
                <w:rFonts w:ascii="Aptos" w:hAnsi="Aptos"/>
                <w:b w:val="0"/>
                <w:color w:val="243746"/>
                <w:sz w:val="16"/>
              </w:rPr>
              <w:t>22 aprobados · 0 fallidos · 0 pendientes · 14/10/2026</w:t>
            </w:r>
          </w:p>
        </w:tc>
      </w:tr>
    </w:tbl>
    <w:p>
      <w:pPr>
        <w:spacing w:after="20"/>
      </w:pPr>
    </w:p>
    <w:p>
      <w:pPr>
        <w:pStyle w:val="Heading1"/>
      </w:pPr>
      <w:r>
        <w:t>1. Propósito y objetivos</w:t>
      </w:r>
    </w:p>
    <w:p>
      <w:r>
        <w:t>Comprobar mediante pruebas funcionales que los recorridos principales del portal responden a lo esperado y preparar evidencia reproducible para la práctica.</w:t>
      </w:r>
    </w:p>
    <w:p>
      <w:pPr>
        <w:pStyle w:val="ListBullet"/>
        <w:spacing w:after="40"/>
      </w:pPr>
      <w:r>
        <w:t>Validar la disponibilidad básica de la portada y sus accesos con un smoke test.</w:t>
      </w:r>
    </w:p>
    <w:p>
      <w:pPr>
        <w:pStyle w:val="ListBullet"/>
        <w:spacing w:after="40"/>
      </w:pPr>
      <w:r>
        <w:t>Comprobar autenticación, autorización por rol, administración de especialistas y doctores, registro de pacientes y citas, atención médica y cierre de sesión.</w:t>
      </w:r>
    </w:p>
    <w:p>
      <w:pPr>
        <w:pStyle w:val="ListBullet"/>
        <w:spacing w:after="40"/>
      </w:pPr>
      <w:r>
        <w:t>Automatizar los caminos implementados con Cypress E2E y relacionar cada prueba con una HU y un CP.</w:t>
      </w:r>
    </w:p>
    <w:p>
      <w:pPr>
        <w:pStyle w:val="ListBullet"/>
        <w:spacing w:after="40"/>
      </w:pPr>
      <w:r>
        <w:t>Dejar documentadas las limitaciones funcionales y los pasos para reproducir el entorno en VS Code con Docker.</w:t>
      </w:r>
    </w:p>
    <w:p>
      <w:pPr>
        <w:pStyle w:val="Heading1"/>
      </w:pPr>
      <w:r>
        <w:t>2. Alcance de las pruebas</w:t>
      </w:r>
    </w:p>
    <w:p>
      <w:pPr>
        <w:pStyle w:val="Heading2"/>
      </w:pPr>
      <w:r>
        <w:t>Incluido</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vAlign w:val="center"/>
            <w:shd w:fill="12304A"/>
          </w:tcPr>
          <w:p>
            <w:pPr>
              <w:spacing w:after="20" w:before="20"/>
            </w:pPr>
            <w:r/>
            <w:r>
              <w:rPr>
                <w:rFonts w:ascii="Aptos" w:hAnsi="Aptos"/>
                <w:b/>
                <w:color w:val="FFFFFF"/>
                <w:sz w:val="17"/>
              </w:rPr>
              <w:t>Área / rol</w:t>
            </w:r>
          </w:p>
        </w:tc>
        <w:tc>
          <w:tcPr>
            <w:tcW w:type="dxa" w:w="8784"/>
            <w:vAlign w:val="center"/>
            <w:shd w:fill="12304A"/>
          </w:tcPr>
          <w:p>
            <w:pPr>
              <w:spacing w:after="20" w:before="20"/>
            </w:pPr>
            <w:r/>
            <w:r>
              <w:rPr>
                <w:rFonts w:ascii="Aptos" w:hAnsi="Aptos"/>
                <w:b/>
                <w:color w:val="FFFFFF"/>
                <w:sz w:val="17"/>
              </w:rPr>
              <w:t>Funciones verificadas</w:t>
            </w:r>
          </w:p>
        </w:tc>
      </w:tr>
      <w:tr>
        <w:tc>
          <w:tcPr>
            <w:tcW w:type="dxa" w:w="1944"/>
            <w:vAlign w:val="center"/>
          </w:tcPr>
          <w:p>
            <w:pPr>
              <w:spacing w:after="20" w:before="20"/>
            </w:pPr>
            <w:r/>
            <w:r>
              <w:rPr>
                <w:rFonts w:ascii="Aptos" w:hAnsi="Aptos"/>
                <w:b w:val="0"/>
                <w:color w:val="243746"/>
                <w:sz w:val="16"/>
              </w:rPr>
              <w:t>Visitante</w:t>
            </w:r>
          </w:p>
        </w:tc>
        <w:tc>
          <w:tcPr>
            <w:tcW w:type="dxa" w:w="8784"/>
            <w:vAlign w:val="center"/>
          </w:tcPr>
          <w:p>
            <w:pPr>
              <w:spacing w:after="20" w:before="20"/>
            </w:pPr>
            <w:r/>
            <w:r>
              <w:rPr>
                <w:rFonts w:ascii="Aptos" w:hAnsi="Aptos"/>
                <w:b w:val="0"/>
                <w:color w:val="243746"/>
                <w:sz w:val="16"/>
              </w:rPr>
              <w:t>Portada, enlaces principales, contenido y carrusel; acceso al login al iniciar una cita.</w:t>
            </w:r>
          </w:p>
        </w:tc>
      </w:tr>
      <w:tr>
        <w:tc>
          <w:tcPr>
            <w:tcW w:type="dxa" w:w="1944"/>
            <w:vAlign w:val="center"/>
            <w:shd w:fill="F4F8FA"/>
          </w:tcPr>
          <w:p>
            <w:pPr>
              <w:spacing w:after="20" w:before="20"/>
            </w:pPr>
            <w:r/>
            <w:r>
              <w:rPr>
                <w:rFonts w:ascii="Aptos" w:hAnsi="Aptos"/>
                <w:b w:val="0"/>
                <w:color w:val="243746"/>
                <w:sz w:val="16"/>
              </w:rPr>
              <w:t>Administrador</w:t>
            </w:r>
          </w:p>
        </w:tc>
        <w:tc>
          <w:tcPr>
            <w:tcW w:type="dxa" w:w="8784"/>
            <w:vAlign w:val="center"/>
            <w:shd w:fill="F4F8FA"/>
          </w:tcPr>
          <w:p>
            <w:pPr>
              <w:spacing w:after="20" w:before="20"/>
            </w:pPr>
            <w:r/>
            <w:r>
              <w:rPr>
                <w:rFonts w:ascii="Aptos" w:hAnsi="Aptos"/>
                <w:b w:val="0"/>
                <w:color w:val="243746"/>
                <w:sz w:val="16"/>
              </w:rPr>
              <w:t>Login válido e inválido, contadores, alta de especialidad, alta/consulta/edición/eliminación de doctor, listado global y logout.</w:t>
            </w:r>
          </w:p>
        </w:tc>
      </w:tr>
      <w:tr>
        <w:tc>
          <w:tcPr>
            <w:tcW w:type="dxa" w:w="1944"/>
            <w:vAlign w:val="center"/>
          </w:tcPr>
          <w:p>
            <w:pPr>
              <w:spacing w:after="20" w:before="20"/>
            </w:pPr>
            <w:r/>
            <w:r>
              <w:rPr>
                <w:rFonts w:ascii="Aptos" w:hAnsi="Aptos"/>
                <w:b w:val="0"/>
                <w:color w:val="243746"/>
                <w:sz w:val="16"/>
              </w:rPr>
              <w:t>Paciente</w:t>
            </w:r>
          </w:p>
        </w:tc>
        <w:tc>
          <w:tcPr>
            <w:tcW w:type="dxa" w:w="8784"/>
            <w:vAlign w:val="center"/>
          </w:tcPr>
          <w:p>
            <w:pPr>
              <w:spacing w:after="20" w:before="20"/>
            </w:pPr>
            <w:r/>
            <w:r>
              <w:rPr>
                <w:rFonts w:ascii="Aptos" w:hAnsi="Aptos"/>
                <w:b w:val="0"/>
                <w:color w:val="243746"/>
                <w:sz w:val="16"/>
              </w:rPr>
              <w:t>Registro, login, menú de cuenta, solicitud y consulta de citas, cambio de contraseña, logout y protección de páginas.</w:t>
            </w:r>
          </w:p>
        </w:tc>
      </w:tr>
      <w:tr>
        <w:tc>
          <w:tcPr>
            <w:tcW w:type="dxa" w:w="1944"/>
            <w:vAlign w:val="center"/>
            <w:shd w:fill="F4F8FA"/>
          </w:tcPr>
          <w:p>
            <w:pPr>
              <w:spacing w:after="20" w:before="20"/>
            </w:pPr>
            <w:r/>
            <w:r>
              <w:rPr>
                <w:rFonts w:ascii="Aptos" w:hAnsi="Aptos"/>
                <w:b w:val="0"/>
                <w:color w:val="243746"/>
                <w:sz w:val="16"/>
              </w:rPr>
              <w:t>Doctor</w:t>
            </w:r>
          </w:p>
        </w:tc>
        <w:tc>
          <w:tcPr>
            <w:tcW w:type="dxa" w:w="8784"/>
            <w:vAlign w:val="center"/>
            <w:shd w:fill="F4F8FA"/>
          </w:tcPr>
          <w:p>
            <w:pPr>
              <w:spacing w:after="20" w:before="20"/>
            </w:pPr>
            <w:r/>
            <w:r>
              <w:rPr>
                <w:rFonts w:ascii="Aptos" w:hAnsi="Aptos"/>
                <w:b w:val="0"/>
                <w:color w:val="243746"/>
                <w:sz w:val="16"/>
              </w:rPr>
              <w:t>Login, dashboard, lista y atención de pacientes, actualización de perfil y contraseña, logout y protección de páginas.</w:t>
            </w:r>
          </w:p>
        </w:tc>
      </w:tr>
    </w:tbl>
    <w:p>
      <w:pPr>
        <w:spacing w:after="20"/>
      </w:pPr>
    </w:p>
    <w:p>
      <w:pPr>
        <w:pStyle w:val="Heading2"/>
      </w:pPr>
      <w:r>
        <w:t>Fuera de alcance o no disponible</w:t>
      </w:r>
    </w:p>
    <w:p>
      <w:pPr>
        <w:pStyle w:val="ListBullet"/>
        <w:spacing w:after="40"/>
      </w:pPr>
      <w:r>
        <w:t>Registro de un segundo administrador: la versión revisada no ofrece formulario ni endpoint; se registra como CP-23, no como prueba aprobada.</w:t>
      </w:r>
    </w:p>
    <w:p>
      <w:pPr>
        <w:pStyle w:val="ListBullet"/>
        <w:spacing w:after="40"/>
      </w:pPr>
      <w:r>
        <w:t>Edición/eliminación de especialistas, recuperación de contraseña, rendimiento, seguridad avanzada, accesibilidad completa, concurrencia y validación exhaustiva de todas las combinaciones de datos.</w:t>
      </w:r>
    </w:p>
    <w:p>
      <w:pPr>
        <w:pStyle w:val="ListBullet"/>
        <w:spacing w:after="40"/>
      </w:pPr>
      <w:r>
        <w:t>El reporte no certifica que todos los defectos posibles estén cubiertos. Los casos recorren páginas y caminos funcionales principales.</w:t>
      </w:r>
    </w:p>
    <w:p>
      <w:pPr>
        <w:pStyle w:val="Heading1"/>
      </w:pPr>
      <w:r>
        <w:t>3. Estrategia y tipos de prueba</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16"/>
            <w:vAlign w:val="center"/>
            <w:shd w:fill="12304A"/>
          </w:tcPr>
          <w:p>
            <w:pPr>
              <w:spacing w:after="20" w:before="20"/>
            </w:pPr>
            <w:r/>
            <w:r>
              <w:rPr>
                <w:rFonts w:ascii="Aptos" w:hAnsi="Aptos"/>
                <w:b/>
                <w:color w:val="FFFFFF"/>
                <w:sz w:val="17"/>
              </w:rPr>
              <w:t>Tipo</w:t>
            </w:r>
          </w:p>
        </w:tc>
        <w:tc>
          <w:tcPr>
            <w:tcW w:type="dxa" w:w="8712"/>
            <w:vAlign w:val="center"/>
            <w:shd w:fill="12304A"/>
          </w:tcPr>
          <w:p>
            <w:pPr>
              <w:spacing w:after="20" w:before="20"/>
            </w:pPr>
            <w:r/>
            <w:r>
              <w:rPr>
                <w:rFonts w:ascii="Aptos" w:hAnsi="Aptos"/>
                <w:b/>
                <w:color w:val="FFFFFF"/>
                <w:sz w:val="17"/>
              </w:rPr>
              <w:t>Aplicación en esta práctica</w:t>
            </w:r>
          </w:p>
        </w:tc>
      </w:tr>
      <w:tr>
        <w:tc>
          <w:tcPr>
            <w:tcW w:type="dxa" w:w="2016"/>
            <w:vAlign w:val="center"/>
          </w:tcPr>
          <w:p>
            <w:pPr>
              <w:spacing w:after="20" w:before="20"/>
            </w:pPr>
            <w:r/>
            <w:r>
              <w:rPr>
                <w:rFonts w:ascii="Aptos" w:hAnsi="Aptos"/>
                <w:b w:val="0"/>
                <w:color w:val="243746"/>
                <w:sz w:val="16"/>
              </w:rPr>
              <w:t>Smoke</w:t>
            </w:r>
          </w:p>
        </w:tc>
        <w:tc>
          <w:tcPr>
            <w:tcW w:type="dxa" w:w="8712"/>
            <w:vAlign w:val="center"/>
          </w:tcPr>
          <w:p>
            <w:pPr>
              <w:spacing w:after="20" w:before="20"/>
            </w:pPr>
            <w:r/>
            <w:r>
              <w:rPr>
                <w:rFonts w:ascii="Aptos" w:hAnsi="Aptos"/>
                <w:b w:val="0"/>
                <w:color w:val="243746"/>
                <w:sz w:val="16"/>
              </w:rPr>
              <w:t>CP-01 comprueba que la portada y navegación básica permiten iniciar una sesión de prueba.</w:t>
            </w:r>
          </w:p>
        </w:tc>
      </w:tr>
      <w:tr>
        <w:tc>
          <w:tcPr>
            <w:tcW w:type="dxa" w:w="2016"/>
            <w:vAlign w:val="center"/>
            <w:shd w:fill="F4F8FA"/>
          </w:tcPr>
          <w:p>
            <w:pPr>
              <w:spacing w:after="20" w:before="20"/>
            </w:pPr>
            <w:r/>
            <w:r>
              <w:rPr>
                <w:rFonts w:ascii="Aptos" w:hAnsi="Aptos"/>
                <w:b w:val="0"/>
                <w:color w:val="243746"/>
                <w:sz w:val="16"/>
              </w:rPr>
              <w:t>Funcional E2E</w:t>
            </w:r>
          </w:p>
        </w:tc>
        <w:tc>
          <w:tcPr>
            <w:tcW w:type="dxa" w:w="8712"/>
            <w:vAlign w:val="center"/>
            <w:shd w:fill="F4F8FA"/>
          </w:tcPr>
          <w:p>
            <w:pPr>
              <w:spacing w:after="20" w:before="20"/>
            </w:pPr>
            <w:r/>
            <w:r>
              <w:rPr>
                <w:rFonts w:ascii="Aptos" w:hAnsi="Aptos"/>
                <w:b w:val="0"/>
                <w:color w:val="243746"/>
                <w:sz w:val="16"/>
              </w:rPr>
              <w:t>Cypress ejecuta recorridos desde el navegador y valida respuestas visibles y cambios reflejados en listados.</w:t>
            </w:r>
          </w:p>
        </w:tc>
      </w:tr>
      <w:tr>
        <w:tc>
          <w:tcPr>
            <w:tcW w:type="dxa" w:w="2016"/>
            <w:vAlign w:val="center"/>
          </w:tcPr>
          <w:p>
            <w:pPr>
              <w:spacing w:after="20" w:before="20"/>
            </w:pPr>
            <w:r/>
            <w:r>
              <w:rPr>
                <w:rFonts w:ascii="Aptos" w:hAnsi="Aptos"/>
                <w:b w:val="0"/>
                <w:color w:val="243746"/>
                <w:sz w:val="16"/>
              </w:rPr>
              <w:t>Negativa</w:t>
            </w:r>
          </w:p>
        </w:tc>
        <w:tc>
          <w:tcPr>
            <w:tcW w:type="dxa" w:w="8712"/>
            <w:vAlign w:val="center"/>
          </w:tcPr>
          <w:p>
            <w:pPr>
              <w:spacing w:after="20" w:before="20"/>
            </w:pPr>
            <w:r/>
            <w:r>
              <w:rPr>
                <w:rFonts w:ascii="Aptos" w:hAnsi="Aptos"/>
                <w:b w:val="0"/>
                <w:color w:val="243746"/>
                <w:sz w:val="16"/>
              </w:rPr>
              <w:t>CP-02, CP-09 y CP-17 verifican rechazo de credenciales inválidas; CP-14 y CP-20 validan la contraseña anterior.</w:t>
            </w:r>
          </w:p>
        </w:tc>
      </w:tr>
      <w:tr>
        <w:tc>
          <w:tcPr>
            <w:tcW w:type="dxa" w:w="2016"/>
            <w:vAlign w:val="center"/>
            <w:shd w:fill="F4F8FA"/>
          </w:tcPr>
          <w:p>
            <w:pPr>
              <w:spacing w:after="20" w:before="20"/>
            </w:pPr>
            <w:r/>
            <w:r>
              <w:rPr>
                <w:rFonts w:ascii="Aptos" w:hAnsi="Aptos"/>
                <w:b w:val="0"/>
                <w:color w:val="243746"/>
                <w:sz w:val="16"/>
              </w:rPr>
              <w:t>Regresión de sesión</w:t>
            </w:r>
          </w:p>
        </w:tc>
        <w:tc>
          <w:tcPr>
            <w:tcW w:type="dxa" w:w="8712"/>
            <w:vAlign w:val="center"/>
            <w:shd w:fill="F4F8FA"/>
          </w:tcPr>
          <w:p>
            <w:pPr>
              <w:spacing w:after="20" w:before="20"/>
            </w:pPr>
            <w:r/>
            <w:r>
              <w:rPr>
                <w:rFonts w:ascii="Aptos" w:hAnsi="Aptos"/>
                <w:b w:val="0"/>
                <w:color w:val="243746"/>
                <w:sz w:val="16"/>
              </w:rPr>
              <w:t>CP-07, CP-15 y CP-21 comprueban logout y redirección al intentar abrir páginas privadas.</w:t>
            </w:r>
          </w:p>
        </w:tc>
      </w:tr>
      <w:tr>
        <w:tc>
          <w:tcPr>
            <w:tcW w:type="dxa" w:w="2016"/>
            <w:vAlign w:val="center"/>
          </w:tcPr>
          <w:p>
            <w:pPr>
              <w:spacing w:after="20" w:before="20"/>
            </w:pPr>
            <w:r/>
            <w:r>
              <w:rPr>
                <w:rFonts w:ascii="Aptos" w:hAnsi="Aptos"/>
                <w:b w:val="0"/>
                <w:color w:val="243746"/>
                <w:sz w:val="16"/>
              </w:rPr>
              <w:t>Exploratoria/manual</w:t>
            </w:r>
          </w:p>
        </w:tc>
        <w:tc>
          <w:tcPr>
            <w:tcW w:type="dxa" w:w="8712"/>
            <w:vAlign w:val="center"/>
          </w:tcPr>
          <w:p>
            <w:pPr>
              <w:spacing w:after="20" w:before="20"/>
            </w:pPr>
            <w:r/>
            <w:r>
              <w:rPr>
                <w:rFonts w:ascii="Aptos" w:hAnsi="Aptos"/>
                <w:b w:val="0"/>
                <w:color w:val="243746"/>
                <w:sz w:val="16"/>
              </w:rPr>
              <w:t>La revisión de tablas, formularios, disponibilidad del entorno y evidencias complementa la automatización.</w:t>
            </w:r>
          </w:p>
        </w:tc>
      </w:tr>
    </w:tbl>
    <w:p>
      <w:pPr>
        <w:spacing w:after="20"/>
      </w:pPr>
    </w:p>
    <w:p>
      <w:r>
        <w:t>El spec de Cypress está en cypress/e2e/test.cy.js. Cada título automatizado contiene su identificador CP; la matriz Excel conserva el detalle de precondiciones, datos, pasos, resultado esperado, resultado registrado y evidencia de trazabilidad.</w:t>
      </w:r>
    </w:p>
    <w:p>
      <w:pPr>
        <w:pStyle w:val="Heading1"/>
      </w:pPr>
      <w:r>
        <w:t>4. Entorno de pruebas y datos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vAlign w:val="center"/>
            <w:shd w:fill="12304A"/>
          </w:tcPr>
          <w:p>
            <w:pPr>
              <w:spacing w:after="20" w:before="20"/>
            </w:pPr>
            <w:r/>
            <w:r>
              <w:rPr>
                <w:rFonts w:ascii="Aptos" w:hAnsi="Aptos"/>
                <w:b/>
                <w:color w:val="FFFFFF"/>
                <w:sz w:val="17"/>
              </w:rPr>
              <w:t>Componente</w:t>
            </w:r>
          </w:p>
        </w:tc>
        <w:tc>
          <w:tcPr>
            <w:tcW w:type="dxa" w:w="8496"/>
            <w:vAlign w:val="center"/>
            <w:shd w:fill="12304A"/>
          </w:tcPr>
          <w:p>
            <w:pPr>
              <w:spacing w:after="20" w:before="20"/>
            </w:pPr>
            <w:r/>
            <w:r>
              <w:rPr>
                <w:rFonts w:ascii="Aptos" w:hAnsi="Aptos"/>
                <w:b/>
                <w:color w:val="FFFFFF"/>
                <w:sz w:val="17"/>
              </w:rPr>
              <w:t>Configuración de la práctica</w:t>
            </w:r>
          </w:p>
        </w:tc>
      </w:tr>
      <w:tr>
        <w:tc>
          <w:tcPr>
            <w:tcW w:type="dxa" w:w="2232"/>
            <w:vAlign w:val="center"/>
          </w:tcPr>
          <w:p>
            <w:pPr>
              <w:spacing w:after="20" w:before="20"/>
            </w:pPr>
            <w:r/>
            <w:r>
              <w:rPr>
                <w:rFonts w:ascii="Aptos" w:hAnsi="Aptos"/>
                <w:b w:val="0"/>
                <w:color w:val="243746"/>
                <w:sz w:val="16"/>
              </w:rPr>
              <w:t>Aplicación</w:t>
            </w:r>
          </w:p>
        </w:tc>
        <w:tc>
          <w:tcPr>
            <w:tcW w:type="dxa" w:w="8496"/>
            <w:vAlign w:val="center"/>
          </w:tcPr>
          <w:p>
            <w:pPr>
              <w:spacing w:after="20" w:before="20"/>
            </w:pPr>
            <w:r/>
            <w:r>
              <w:rPr>
                <w:rFonts w:ascii="Aptos" w:hAnsi="Aptos"/>
                <w:b w:val="0"/>
                <w:color w:val="243746"/>
                <w:sz w:val="16"/>
              </w:rPr>
              <w:t>Doctor Patient Portal Java/JSP desplegado en Tomcat mediante Docker Compose. URL local: http://localhost:8080.</w:t>
            </w:r>
          </w:p>
        </w:tc>
      </w:tr>
      <w:tr>
        <w:tc>
          <w:tcPr>
            <w:tcW w:type="dxa" w:w="2232"/>
            <w:vAlign w:val="center"/>
            <w:shd w:fill="F4F8FA"/>
          </w:tcPr>
          <w:p>
            <w:pPr>
              <w:spacing w:after="20" w:before="20"/>
            </w:pPr>
            <w:r/>
            <w:r>
              <w:rPr>
                <w:rFonts w:ascii="Aptos" w:hAnsi="Aptos"/>
                <w:b w:val="0"/>
                <w:color w:val="243746"/>
                <w:sz w:val="16"/>
              </w:rPr>
              <w:t>Base de datos</w:t>
            </w:r>
          </w:p>
        </w:tc>
        <w:tc>
          <w:tcPr>
            <w:tcW w:type="dxa" w:w="8496"/>
            <w:vAlign w:val="center"/>
            <w:shd w:fill="F4F8FA"/>
          </w:tcPr>
          <w:p>
            <w:pPr>
              <w:spacing w:after="20" w:before="20"/>
            </w:pPr>
            <w:r/>
            <w:r>
              <w:rPr>
                <w:rFonts w:ascii="Aptos" w:hAnsi="Aptos"/>
                <w:b w:val="0"/>
                <w:color w:val="243746"/>
                <w:sz w:val="16"/>
              </w:rPr>
              <w:t>MySQL 8.0.28 en contenedor Docker; base hospital; esquema inicial ubicado en database/.</w:t>
            </w:r>
          </w:p>
        </w:tc>
      </w:tr>
      <w:tr>
        <w:tc>
          <w:tcPr>
            <w:tcW w:type="dxa" w:w="2232"/>
            <w:vAlign w:val="center"/>
          </w:tcPr>
          <w:p>
            <w:pPr>
              <w:spacing w:after="20" w:before="20"/>
            </w:pPr>
            <w:r/>
            <w:r>
              <w:rPr>
                <w:rFonts w:ascii="Aptos" w:hAnsi="Aptos"/>
                <w:b w:val="0"/>
                <w:color w:val="243746"/>
                <w:sz w:val="16"/>
              </w:rPr>
              <w:t>Automatización</w:t>
            </w:r>
          </w:p>
        </w:tc>
        <w:tc>
          <w:tcPr>
            <w:tcW w:type="dxa" w:w="8496"/>
            <w:vAlign w:val="center"/>
          </w:tcPr>
          <w:p>
            <w:pPr>
              <w:spacing w:after="20" w:before="20"/>
            </w:pPr>
            <w:r/>
            <w:r>
              <w:rPr>
                <w:rFonts w:ascii="Aptos" w:hAnsi="Aptos"/>
                <w:b w:val="0"/>
                <w:color w:val="243746"/>
                <w:sz w:val="16"/>
              </w:rPr>
              <w:t>Cypress 16.1.1, spec E2E en el repositorio; ejecución en navegador Electron.</w:t>
            </w:r>
          </w:p>
        </w:tc>
      </w:tr>
      <w:tr>
        <w:tc>
          <w:tcPr>
            <w:tcW w:type="dxa" w:w="2232"/>
            <w:vAlign w:val="center"/>
            <w:shd w:fill="F4F8FA"/>
          </w:tcPr>
          <w:p>
            <w:pPr>
              <w:spacing w:after="20" w:before="20"/>
            </w:pPr>
            <w:r/>
            <w:r>
              <w:rPr>
                <w:rFonts w:ascii="Aptos" w:hAnsi="Aptos"/>
                <w:b w:val="0"/>
                <w:color w:val="243746"/>
                <w:sz w:val="16"/>
              </w:rPr>
              <w:t>Inicio desde VS Code</w:t>
            </w:r>
          </w:p>
        </w:tc>
        <w:tc>
          <w:tcPr>
            <w:tcW w:type="dxa" w:w="8496"/>
            <w:vAlign w:val="center"/>
            <w:shd w:fill="F4F8FA"/>
          </w:tcPr>
          <w:p>
            <w:pPr>
              <w:spacing w:after="20" w:before="20"/>
            </w:pPr>
            <w:r/>
            <w:r>
              <w:rPr>
                <w:rFonts w:ascii="Aptos" w:hAnsi="Aptos"/>
                <w:b w:val="0"/>
                <w:color w:val="243746"/>
                <w:sz w:val="16"/>
              </w:rPr>
              <w:t>Desde la raíz: docker compose up --build -d, revisar docker compose ps, luego npm run cy:open o npm run cy:run.</w:t>
            </w:r>
          </w:p>
        </w:tc>
      </w:tr>
      <w:tr>
        <w:tc>
          <w:tcPr>
            <w:tcW w:type="dxa" w:w="2232"/>
            <w:vAlign w:val="center"/>
          </w:tcPr>
          <w:p>
            <w:pPr>
              <w:spacing w:after="20" w:before="20"/>
            </w:pPr>
            <w:r/>
            <w:r>
              <w:rPr>
                <w:rFonts w:ascii="Aptos" w:hAnsi="Aptos"/>
                <w:b w:val="0"/>
                <w:color w:val="243746"/>
                <w:sz w:val="16"/>
              </w:rPr>
              <w:t>Login web admin</w:t>
            </w:r>
          </w:p>
        </w:tc>
        <w:tc>
          <w:tcPr>
            <w:tcW w:type="dxa" w:w="8496"/>
            <w:vAlign w:val="center"/>
          </w:tcPr>
          <w:p>
            <w:pPr>
              <w:spacing w:after="20" w:before="20"/>
            </w:pPr>
            <w:r/>
            <w:r>
              <w:rPr>
                <w:rFonts w:ascii="Aptos" w:hAnsi="Aptos"/>
                <w:b w:val="0"/>
                <w:color w:val="243746"/>
                <w:sz w:val="16"/>
              </w:rPr>
              <w:t>La aplicación de esta versión usa admin@gmail.com / admin. La nota root/root no corresponde a este login.</w:t>
            </w:r>
          </w:p>
        </w:tc>
      </w:tr>
      <w:tr>
        <w:tc>
          <w:tcPr>
            <w:tcW w:type="dxa" w:w="2232"/>
            <w:vAlign w:val="center"/>
            <w:shd w:fill="F4F8FA"/>
          </w:tcPr>
          <w:p>
            <w:pPr>
              <w:spacing w:after="20" w:before="20"/>
            </w:pPr>
            <w:r/>
            <w:r>
              <w:rPr>
                <w:rFonts w:ascii="Aptos" w:hAnsi="Aptos"/>
                <w:b w:val="0"/>
                <w:color w:val="243746"/>
                <w:sz w:val="16"/>
              </w:rPr>
              <w:t>Datos de prueba</w:t>
            </w:r>
          </w:p>
        </w:tc>
        <w:tc>
          <w:tcPr>
            <w:tcW w:type="dxa" w:w="8496"/>
            <w:vAlign w:val="center"/>
            <w:shd w:fill="F4F8FA"/>
          </w:tcPr>
          <w:p>
            <w:pPr>
              <w:spacing w:after="20" w:before="20"/>
            </w:pPr>
            <w:r/>
            <w:r>
              <w:rPr>
                <w:rFonts w:ascii="Aptos" w:hAnsi="Aptos"/>
                <w:b w:val="0"/>
                <w:color w:val="243746"/>
                <w:sz w:val="16"/>
              </w:rPr>
              <w:t>Nombres/emails sintéticos únicos con dominio example.test; no usar datos personales o pacientes reales.</w:t>
            </w:r>
          </w:p>
        </w:tc>
      </w:tr>
    </w:tbl>
    <w:p>
      <w:pPr>
        <w:spacing w:after="20"/>
      </w:pPr>
    </w:p>
    <w:p>
      <w:r>
        <w:t>Las credenciales de la aplicación web y las credenciales de MySQL del contenedor son distintas. La configuración de MySQL debe revisarse en docker-compose.yml y no copiarse como credencial de usuario. El caso CP-22 elimina el doctor sintético generado por la suite; las demás altas de prueba pueden permanecer en el volumen local, por lo que el equipo debe mantener una base de práctica y no usar información real.</w:t>
      </w:r>
    </w:p>
    <w:p>
      <w:pPr>
        <w:pStyle w:val="Heading1"/>
      </w:pPr>
      <w:r>
        <w:t>5. Criterios de entrada, salida y suspensión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vAlign w:val="center"/>
            <w:shd w:fill="12304A"/>
          </w:tcPr>
          <w:p>
            <w:pPr>
              <w:spacing w:after="20" w:before="20"/>
            </w:pPr>
            <w:r/>
            <w:r>
              <w:rPr>
                <w:rFonts w:ascii="Aptos" w:hAnsi="Aptos"/>
                <w:b/>
                <w:color w:val="FFFFFF"/>
                <w:sz w:val="17"/>
              </w:rPr>
              <w:t>Momento</w:t>
            </w:r>
          </w:p>
        </w:tc>
        <w:tc>
          <w:tcPr>
            <w:tcW w:type="dxa" w:w="8784"/>
            <w:vAlign w:val="center"/>
            <w:shd w:fill="12304A"/>
          </w:tcPr>
          <w:p>
            <w:pPr>
              <w:spacing w:after="20" w:before="20"/>
            </w:pPr>
            <w:r/>
            <w:r>
              <w:rPr>
                <w:rFonts w:ascii="Aptos" w:hAnsi="Aptos"/>
                <w:b/>
                <w:color w:val="FFFFFF"/>
                <w:sz w:val="17"/>
              </w:rPr>
              <w:t>Criterio</w:t>
            </w:r>
          </w:p>
        </w:tc>
      </w:tr>
      <w:tr>
        <w:tc>
          <w:tcPr>
            <w:tcW w:type="dxa" w:w="1944"/>
            <w:vAlign w:val="center"/>
          </w:tcPr>
          <w:p>
            <w:pPr>
              <w:spacing w:after="20" w:before="20"/>
            </w:pPr>
            <w:r/>
            <w:r>
              <w:rPr>
                <w:rFonts w:ascii="Aptos" w:hAnsi="Aptos"/>
                <w:b w:val="0"/>
                <w:color w:val="243746"/>
                <w:sz w:val="16"/>
              </w:rPr>
              <w:t>Entrada</w:t>
            </w:r>
          </w:p>
        </w:tc>
        <w:tc>
          <w:tcPr>
            <w:tcW w:type="dxa" w:w="8784"/>
            <w:vAlign w:val="center"/>
          </w:tcPr>
          <w:p>
            <w:pPr>
              <w:spacing w:after="20" w:before="20"/>
            </w:pPr>
            <w:r/>
            <w:r>
              <w:rPr>
                <w:rFonts w:ascii="Aptos" w:hAnsi="Aptos"/>
                <w:b w:val="0"/>
                <w:color w:val="243746"/>
                <w:sz w:val="16"/>
              </w:rPr>
              <w:t>Docker Desktop disponible; contenedores app y MySQL activos; MySQL saludable; aplicación accesible; Cypress preparado en el proyecto; datos de prueba sintéticos.</w:t>
            </w:r>
          </w:p>
        </w:tc>
      </w:tr>
      <w:tr>
        <w:tc>
          <w:tcPr>
            <w:tcW w:type="dxa" w:w="1944"/>
            <w:vAlign w:val="center"/>
            <w:shd w:fill="F4F8FA"/>
          </w:tcPr>
          <w:p>
            <w:pPr>
              <w:spacing w:after="20" w:before="20"/>
            </w:pPr>
            <w:r/>
            <w:r>
              <w:rPr>
                <w:rFonts w:ascii="Aptos" w:hAnsi="Aptos"/>
                <w:b w:val="0"/>
                <w:color w:val="243746"/>
                <w:sz w:val="16"/>
              </w:rPr>
              <w:t>Salida</w:t>
            </w:r>
          </w:p>
        </w:tc>
        <w:tc>
          <w:tcPr>
            <w:tcW w:type="dxa" w:w="8784"/>
            <w:vAlign w:val="center"/>
            <w:shd w:fill="F4F8FA"/>
          </w:tcPr>
          <w:p>
            <w:pPr>
              <w:spacing w:after="20" w:before="20"/>
            </w:pPr>
            <w:r/>
            <w:r>
              <w:rPr>
                <w:rFonts w:ascii="Aptos" w:hAnsi="Aptos"/>
                <w:b w:val="0"/>
                <w:color w:val="243746"/>
                <w:sz w:val="16"/>
              </w:rPr>
              <w:t>Smoke test ejecutado; casos planeados con resultado; fallos y brechas registrados; evidencia ligada a CP; suite reejecutada antes de exposición.</w:t>
            </w:r>
          </w:p>
        </w:tc>
      </w:tr>
      <w:tr>
        <w:tc>
          <w:tcPr>
            <w:tcW w:type="dxa" w:w="1944"/>
            <w:vAlign w:val="center"/>
          </w:tcPr>
          <w:p>
            <w:pPr>
              <w:spacing w:after="20" w:before="20"/>
            </w:pPr>
            <w:r/>
            <w:r>
              <w:rPr>
                <w:rFonts w:ascii="Aptos" w:hAnsi="Aptos"/>
                <w:b w:val="0"/>
                <w:color w:val="243746"/>
                <w:sz w:val="16"/>
              </w:rPr>
              <w:t>Suspensión</w:t>
            </w:r>
          </w:p>
        </w:tc>
        <w:tc>
          <w:tcPr>
            <w:tcW w:type="dxa" w:w="8784"/>
            <w:vAlign w:val="center"/>
          </w:tcPr>
          <w:p>
            <w:pPr>
              <w:spacing w:after="20" w:before="20"/>
            </w:pPr>
            <w:r/>
            <w:r>
              <w:rPr>
                <w:rFonts w:ascii="Aptos" w:hAnsi="Aptos"/>
                <w:b w:val="0"/>
                <w:color w:val="243746"/>
                <w:sz w:val="16"/>
              </w:rPr>
              <w:t>Aplicación no accesible, MySQL no saludable, Cypress sin binario local o datos/estado que impidan obtener un resultado confiable. Registrar el bloqueo y reanudar al restablecer el entorno.</w:t>
            </w:r>
          </w:p>
        </w:tc>
      </w:tr>
    </w:tbl>
    <w:p>
      <w:pPr>
        <w:spacing w:after="20"/>
      </w:pPr>
    </w:p>
    <w:p>
      <w:r>
        <w:t>No marcar como aprobado un caso no ejecutado. Para CP-23, la salida esperada es registrar que la función no existe en el producto bajo prueba.</w:t>
      </w:r>
    </w:p>
    <w:p>
      <w:pPr>
        <w:pStyle w:val="Heading1"/>
      </w:pPr>
      <w:r>
        <w:t>6. Resumen de historias y casos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vAlign w:val="center"/>
            <w:shd w:fill="12304A"/>
          </w:tcPr>
          <w:p>
            <w:pPr>
              <w:spacing w:after="20" w:before="20"/>
            </w:pPr>
            <w:r/>
            <w:r>
              <w:rPr>
                <w:rFonts w:ascii="Aptos" w:hAnsi="Aptos"/>
                <w:b/>
                <w:color w:val="FFFFFF"/>
                <w:sz w:val="17"/>
              </w:rPr>
              <w:t>HU</w:t>
            </w:r>
          </w:p>
        </w:tc>
        <w:tc>
          <w:tcPr>
            <w:tcW w:type="dxa" w:w="6696"/>
            <w:vAlign w:val="center"/>
            <w:shd w:fill="12304A"/>
          </w:tcPr>
          <w:p>
            <w:pPr>
              <w:spacing w:after="20" w:before="20"/>
            </w:pPr>
            <w:r/>
            <w:r>
              <w:rPr>
                <w:rFonts w:ascii="Aptos" w:hAnsi="Aptos"/>
                <w:b/>
                <w:color w:val="FFFFFF"/>
                <w:sz w:val="17"/>
              </w:rPr>
              <w:t>Flujo</w:t>
            </w:r>
          </w:p>
        </w:tc>
        <w:tc>
          <w:tcPr>
            <w:tcW w:type="dxa" w:w="2448"/>
            <w:vAlign w:val="center"/>
            <w:shd w:fill="12304A"/>
          </w:tcPr>
          <w:p>
            <w:pPr>
              <w:spacing w:after="20" w:before="20"/>
            </w:pPr>
            <w:r/>
            <w:r>
              <w:rPr>
                <w:rFonts w:ascii="Aptos" w:hAnsi="Aptos"/>
                <w:b/>
                <w:color w:val="FFFFFF"/>
                <w:sz w:val="17"/>
              </w:rPr>
              <w:t>Casos</w:t>
            </w:r>
          </w:p>
        </w:tc>
      </w:tr>
      <w:tr>
        <w:tc>
          <w:tcPr>
            <w:tcW w:type="dxa" w:w="1584"/>
            <w:vAlign w:val="center"/>
          </w:tcPr>
          <w:p>
            <w:pPr>
              <w:spacing w:after="20" w:before="20"/>
            </w:pPr>
            <w:r/>
            <w:r>
              <w:rPr>
                <w:rFonts w:ascii="Aptos" w:hAnsi="Aptos"/>
                <w:b w:val="0"/>
                <w:color w:val="243746"/>
                <w:sz w:val="16"/>
              </w:rPr>
              <w:t>HU-01</w:t>
            </w:r>
          </w:p>
        </w:tc>
        <w:tc>
          <w:tcPr>
            <w:tcW w:type="dxa" w:w="6696"/>
            <w:vAlign w:val="center"/>
          </w:tcPr>
          <w:p>
            <w:pPr>
              <w:spacing w:after="20" w:before="20"/>
            </w:pPr>
            <w:r/>
            <w:r>
              <w:rPr>
                <w:rFonts w:ascii="Aptos" w:hAnsi="Aptos"/>
                <w:b w:val="0"/>
                <w:color w:val="243746"/>
                <w:sz w:val="16"/>
              </w:rPr>
              <w:t>Visitante: portada y accesos</w:t>
            </w:r>
          </w:p>
        </w:tc>
        <w:tc>
          <w:tcPr>
            <w:tcW w:type="dxa" w:w="2448"/>
            <w:vAlign w:val="center"/>
          </w:tcPr>
          <w:p>
            <w:pPr>
              <w:spacing w:after="20" w:before="20"/>
            </w:pPr>
            <w:r/>
            <w:r>
              <w:rPr>
                <w:rFonts w:ascii="Aptos" w:hAnsi="Aptos"/>
                <w:b w:val="0"/>
                <w:color w:val="243746"/>
                <w:sz w:val="16"/>
              </w:rPr>
              <w:t>CP-01</w:t>
            </w:r>
          </w:p>
        </w:tc>
      </w:tr>
      <w:tr>
        <w:tc>
          <w:tcPr>
            <w:tcW w:type="dxa" w:w="1584"/>
            <w:vAlign w:val="center"/>
            <w:shd w:fill="F4F8FA"/>
          </w:tcPr>
          <w:p>
            <w:pPr>
              <w:spacing w:after="20" w:before="20"/>
            </w:pPr>
            <w:r/>
            <w:r>
              <w:rPr>
                <w:rFonts w:ascii="Aptos" w:hAnsi="Aptos"/>
                <w:b w:val="0"/>
                <w:color w:val="243746"/>
                <w:sz w:val="16"/>
              </w:rPr>
              <w:t>HU-02 a HU-06</w:t>
            </w:r>
          </w:p>
        </w:tc>
        <w:tc>
          <w:tcPr>
            <w:tcW w:type="dxa" w:w="6696"/>
            <w:vAlign w:val="center"/>
            <w:shd w:fill="F4F8FA"/>
          </w:tcPr>
          <w:p>
            <w:pPr>
              <w:spacing w:after="20" w:before="20"/>
            </w:pPr>
            <w:r/>
            <w:r>
              <w:rPr>
                <w:rFonts w:ascii="Aptos" w:hAnsi="Aptos"/>
                <w:b w:val="0"/>
                <w:color w:val="243746"/>
                <w:sz w:val="16"/>
              </w:rPr>
              <w:t>Administrador: login, dashboard, especialidades, doctores y logout</w:t>
            </w:r>
          </w:p>
        </w:tc>
        <w:tc>
          <w:tcPr>
            <w:tcW w:type="dxa" w:w="2448"/>
            <w:vAlign w:val="center"/>
            <w:shd w:fill="F4F8FA"/>
          </w:tcPr>
          <w:p>
            <w:pPr>
              <w:spacing w:after="20" w:before="20"/>
            </w:pPr>
            <w:r/>
            <w:r>
              <w:rPr>
                <w:rFonts w:ascii="Aptos" w:hAnsi="Aptos"/>
                <w:b w:val="0"/>
                <w:color w:val="243746"/>
                <w:sz w:val="16"/>
              </w:rPr>
              <w:t>CP-02 a CP-07, CP-22</w:t>
            </w:r>
          </w:p>
        </w:tc>
      </w:tr>
      <w:tr>
        <w:tc>
          <w:tcPr>
            <w:tcW w:type="dxa" w:w="1584"/>
            <w:vAlign w:val="center"/>
          </w:tcPr>
          <w:p>
            <w:pPr>
              <w:spacing w:after="20" w:before="20"/>
            </w:pPr>
            <w:r/>
            <w:r>
              <w:rPr>
                <w:rFonts w:ascii="Aptos" w:hAnsi="Aptos"/>
                <w:b w:val="0"/>
                <w:color w:val="243746"/>
                <w:sz w:val="16"/>
              </w:rPr>
              <w:t>HU-07 a HU-13</w:t>
            </w:r>
          </w:p>
        </w:tc>
        <w:tc>
          <w:tcPr>
            <w:tcW w:type="dxa" w:w="6696"/>
            <w:vAlign w:val="center"/>
          </w:tcPr>
          <w:p>
            <w:pPr>
              <w:spacing w:after="20" w:before="20"/>
            </w:pPr>
            <w:r/>
            <w:r>
              <w:rPr>
                <w:rFonts w:ascii="Aptos" w:hAnsi="Aptos"/>
                <w:b w:val="0"/>
                <w:color w:val="243746"/>
                <w:sz w:val="16"/>
              </w:rPr>
              <w:t>Paciente: registro, login, cita, consulta, contraseña y logout</w:t>
            </w:r>
          </w:p>
        </w:tc>
        <w:tc>
          <w:tcPr>
            <w:tcW w:type="dxa" w:w="2448"/>
            <w:vAlign w:val="center"/>
          </w:tcPr>
          <w:p>
            <w:pPr>
              <w:spacing w:after="20" w:before="20"/>
            </w:pPr>
            <w:r/>
            <w:r>
              <w:rPr>
                <w:rFonts w:ascii="Aptos" w:hAnsi="Aptos"/>
                <w:b w:val="0"/>
                <w:color w:val="243746"/>
                <w:sz w:val="16"/>
              </w:rPr>
              <w:t>CP-08 a CP-15</w:t>
            </w:r>
          </w:p>
        </w:tc>
      </w:tr>
      <w:tr>
        <w:tc>
          <w:tcPr>
            <w:tcW w:type="dxa" w:w="1584"/>
            <w:vAlign w:val="center"/>
            <w:shd w:fill="F4F8FA"/>
          </w:tcPr>
          <w:p>
            <w:pPr>
              <w:spacing w:after="20" w:before="20"/>
            </w:pPr>
            <w:r/>
            <w:r>
              <w:rPr>
                <w:rFonts w:ascii="Aptos" w:hAnsi="Aptos"/>
                <w:b w:val="0"/>
                <w:color w:val="243746"/>
                <w:sz w:val="16"/>
              </w:rPr>
              <w:t>HU-14</w:t>
            </w:r>
          </w:p>
        </w:tc>
        <w:tc>
          <w:tcPr>
            <w:tcW w:type="dxa" w:w="6696"/>
            <w:vAlign w:val="center"/>
            <w:shd w:fill="F4F8FA"/>
          </w:tcPr>
          <w:p>
            <w:pPr>
              <w:spacing w:after="20" w:before="20"/>
            </w:pPr>
            <w:r/>
            <w:r>
              <w:rPr>
                <w:rFonts w:ascii="Aptos" w:hAnsi="Aptos"/>
                <w:b w:val="0"/>
                <w:color w:val="243746"/>
                <w:sz w:val="16"/>
              </w:rPr>
              <w:t>Administrador: listado general de citas/pacientes</w:t>
            </w:r>
          </w:p>
        </w:tc>
        <w:tc>
          <w:tcPr>
            <w:tcW w:type="dxa" w:w="2448"/>
            <w:vAlign w:val="center"/>
            <w:shd w:fill="F4F8FA"/>
          </w:tcPr>
          <w:p>
            <w:pPr>
              <w:spacing w:after="20" w:before="20"/>
            </w:pPr>
            <w:r/>
            <w:r>
              <w:rPr>
                <w:rFonts w:ascii="Aptos" w:hAnsi="Aptos"/>
                <w:b w:val="0"/>
                <w:color w:val="243746"/>
                <w:sz w:val="16"/>
              </w:rPr>
              <w:t>CP-16</w:t>
            </w:r>
          </w:p>
        </w:tc>
      </w:tr>
      <w:tr>
        <w:tc>
          <w:tcPr>
            <w:tcW w:type="dxa" w:w="1584"/>
            <w:vAlign w:val="center"/>
          </w:tcPr>
          <w:p>
            <w:pPr>
              <w:spacing w:after="20" w:before="20"/>
            </w:pPr>
            <w:r/>
            <w:r>
              <w:rPr>
                <w:rFonts w:ascii="Aptos" w:hAnsi="Aptos"/>
                <w:b w:val="0"/>
                <w:color w:val="243746"/>
                <w:sz w:val="16"/>
              </w:rPr>
              <w:t>HU-15 a HU-19</w:t>
            </w:r>
          </w:p>
        </w:tc>
        <w:tc>
          <w:tcPr>
            <w:tcW w:type="dxa" w:w="6696"/>
            <w:vAlign w:val="center"/>
          </w:tcPr>
          <w:p>
            <w:pPr>
              <w:spacing w:after="20" w:before="20"/>
            </w:pPr>
            <w:r/>
            <w:r>
              <w:rPr>
                <w:rFonts w:ascii="Aptos" w:hAnsi="Aptos"/>
                <w:b w:val="0"/>
                <w:color w:val="243746"/>
                <w:sz w:val="16"/>
              </w:rPr>
              <w:t>Doctor: login, dashboard, pacientes, perfil y logout</w:t>
            </w:r>
          </w:p>
        </w:tc>
        <w:tc>
          <w:tcPr>
            <w:tcW w:type="dxa" w:w="2448"/>
            <w:vAlign w:val="center"/>
          </w:tcPr>
          <w:p>
            <w:pPr>
              <w:spacing w:after="20" w:before="20"/>
            </w:pPr>
            <w:r/>
            <w:r>
              <w:rPr>
                <w:rFonts w:ascii="Aptos" w:hAnsi="Aptos"/>
                <w:b w:val="0"/>
                <w:color w:val="243746"/>
                <w:sz w:val="16"/>
              </w:rPr>
              <w:t>CP-17 a CP-21</w:t>
            </w:r>
          </w:p>
        </w:tc>
      </w:tr>
      <w:tr>
        <w:tc>
          <w:tcPr>
            <w:tcW w:type="dxa" w:w="1584"/>
            <w:vAlign w:val="center"/>
            <w:shd w:fill="F4F8FA"/>
          </w:tcPr>
          <w:p>
            <w:pPr>
              <w:spacing w:after="20" w:before="20"/>
            </w:pPr>
            <w:r/>
            <w:r>
              <w:rPr>
                <w:rFonts w:ascii="Aptos" w:hAnsi="Aptos"/>
                <w:b w:val="0"/>
                <w:color w:val="243746"/>
                <w:sz w:val="16"/>
              </w:rPr>
              <w:t>HU-20</w:t>
            </w:r>
          </w:p>
        </w:tc>
        <w:tc>
          <w:tcPr>
            <w:tcW w:type="dxa" w:w="6696"/>
            <w:vAlign w:val="center"/>
            <w:shd w:fill="F4F8FA"/>
          </w:tcPr>
          <w:p>
            <w:pPr>
              <w:spacing w:after="20" w:before="20"/>
            </w:pPr>
            <w:r/>
            <w:r>
              <w:rPr>
                <w:rFonts w:ascii="Aptos" w:hAnsi="Aptos"/>
                <w:b w:val="0"/>
                <w:color w:val="243746"/>
                <w:sz w:val="16"/>
              </w:rPr>
              <w:t>Administrador: alta de otra cuenta (brecha no disponible)</w:t>
            </w:r>
          </w:p>
        </w:tc>
        <w:tc>
          <w:tcPr>
            <w:tcW w:type="dxa" w:w="2448"/>
            <w:vAlign w:val="center"/>
            <w:shd w:fill="F4F8FA"/>
          </w:tcPr>
          <w:p>
            <w:pPr>
              <w:spacing w:after="20" w:before="20"/>
            </w:pPr>
            <w:r/>
            <w:r>
              <w:rPr>
                <w:rFonts w:ascii="Aptos" w:hAnsi="Aptos"/>
                <w:b w:val="0"/>
                <w:color w:val="243746"/>
                <w:sz w:val="16"/>
              </w:rPr>
              <w:t>CP-23</w:t>
            </w:r>
          </w:p>
        </w:tc>
      </w:tr>
    </w:tbl>
    <w:p>
      <w:pPr>
        <w:spacing w:after="20"/>
      </w:pPr>
    </w:p>
    <w:p>
      <w:r>
        <w:t>El detalle completo de cada historia y caso está en entregables/02-Historias-y-Casos-de-Prueba.xlsx, con criterios de aceptación, prioridad, tipo, precondiciones, datos, pasos numerados, resultado esperado y evidencia. La misma matriz queda disponible en docs/02-HISTORIAS-Y-CASOS.md.</w:t>
      </w:r>
    </w:p>
    <w:p>
      <w:pPr>
        <w:pStyle w:val="Heading1"/>
      </w:pPr>
      <w:r>
        <w:t>7. Riesgos y respuestas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vAlign w:val="center"/>
            <w:shd w:fill="12304A"/>
          </w:tcPr>
          <w:p>
            <w:pPr>
              <w:spacing w:after="20" w:before="20"/>
            </w:pPr>
            <w:r/>
            <w:r>
              <w:rPr>
                <w:rFonts w:ascii="Aptos" w:hAnsi="Aptos"/>
                <w:b/>
                <w:color w:val="FFFFFF"/>
                <w:sz w:val="17"/>
              </w:rPr>
              <w:t>Riesgo</w:t>
            </w:r>
          </w:p>
        </w:tc>
        <w:tc>
          <w:tcPr>
            <w:tcW w:type="dxa" w:w="3096"/>
            <w:vAlign w:val="center"/>
            <w:shd w:fill="12304A"/>
          </w:tcPr>
          <w:p>
            <w:pPr>
              <w:spacing w:after="20" w:before="20"/>
            </w:pPr>
            <w:r/>
            <w:r>
              <w:rPr>
                <w:rFonts w:ascii="Aptos" w:hAnsi="Aptos"/>
                <w:b/>
                <w:color w:val="FFFFFF"/>
                <w:sz w:val="17"/>
              </w:rPr>
              <w:t>Efecto</w:t>
            </w:r>
          </w:p>
        </w:tc>
        <w:tc>
          <w:tcPr>
            <w:tcW w:type="dxa" w:w="5400"/>
            <w:vAlign w:val="center"/>
            <w:shd w:fill="12304A"/>
          </w:tcPr>
          <w:p>
            <w:pPr>
              <w:spacing w:after="20" w:before="20"/>
            </w:pPr>
            <w:r/>
            <w:r>
              <w:rPr>
                <w:rFonts w:ascii="Aptos" w:hAnsi="Aptos"/>
                <w:b/>
                <w:color w:val="FFFFFF"/>
                <w:sz w:val="17"/>
              </w:rPr>
              <w:t>Respuesta prevista</w:t>
            </w:r>
          </w:p>
        </w:tc>
      </w:tr>
      <w:tr>
        <w:tc>
          <w:tcPr>
            <w:tcW w:type="dxa" w:w="2232"/>
            <w:vAlign w:val="center"/>
          </w:tcPr>
          <w:p>
            <w:pPr>
              <w:spacing w:after="20" w:before="20"/>
            </w:pPr>
            <w:r/>
            <w:r>
              <w:rPr>
                <w:rFonts w:ascii="Aptos" w:hAnsi="Aptos"/>
                <w:b w:val="0"/>
                <w:color w:val="243746"/>
                <w:sz w:val="16"/>
              </w:rPr>
              <w:t>Datos residuales en MySQL</w:t>
            </w:r>
          </w:p>
        </w:tc>
        <w:tc>
          <w:tcPr>
            <w:tcW w:type="dxa" w:w="3096"/>
            <w:vAlign w:val="center"/>
          </w:tcPr>
          <w:p>
            <w:pPr>
              <w:spacing w:after="20" w:before="20"/>
            </w:pPr>
            <w:r/>
            <w:r>
              <w:rPr>
                <w:rFonts w:ascii="Aptos" w:hAnsi="Aptos"/>
                <w:b w:val="0"/>
                <w:color w:val="243746"/>
                <w:sz w:val="16"/>
              </w:rPr>
              <w:t>Duplicados o resultados distintos entre ejecuciones.</w:t>
            </w:r>
          </w:p>
        </w:tc>
        <w:tc>
          <w:tcPr>
            <w:tcW w:type="dxa" w:w="5400"/>
            <w:vAlign w:val="center"/>
          </w:tcPr>
          <w:p>
            <w:pPr>
              <w:spacing w:after="20" w:before="20"/>
            </w:pPr>
            <w:r/>
            <w:r>
              <w:rPr>
                <w:rFonts w:ascii="Aptos" w:hAnsi="Aptos"/>
                <w:b w:val="0"/>
                <w:color w:val="243746"/>
                <w:sz w:val="16"/>
              </w:rPr>
              <w:t>Usar emails únicos example.test; limpiar solo registros sintéticos cuando sea necesario; no borrar el volumen sin respaldar datos requeridos.</w:t>
            </w:r>
          </w:p>
        </w:tc>
      </w:tr>
      <w:tr>
        <w:tc>
          <w:tcPr>
            <w:tcW w:type="dxa" w:w="2232"/>
            <w:vAlign w:val="center"/>
            <w:shd w:fill="F4F8FA"/>
          </w:tcPr>
          <w:p>
            <w:pPr>
              <w:spacing w:after="20" w:before="20"/>
            </w:pPr>
            <w:r/>
            <w:r>
              <w:rPr>
                <w:rFonts w:ascii="Aptos" w:hAnsi="Aptos"/>
                <w:b w:val="0"/>
                <w:color w:val="243746"/>
                <w:sz w:val="16"/>
              </w:rPr>
              <w:t>Entorno Docker no listo</w:t>
            </w:r>
          </w:p>
        </w:tc>
        <w:tc>
          <w:tcPr>
            <w:tcW w:type="dxa" w:w="3096"/>
            <w:vAlign w:val="center"/>
            <w:shd w:fill="F4F8FA"/>
          </w:tcPr>
          <w:p>
            <w:pPr>
              <w:spacing w:after="20" w:before="20"/>
            </w:pPr>
            <w:r/>
            <w:r>
              <w:rPr>
                <w:rFonts w:ascii="Aptos" w:hAnsi="Aptos"/>
                <w:b w:val="0"/>
                <w:color w:val="243746"/>
                <w:sz w:val="16"/>
              </w:rPr>
              <w:t>La suite falla antes de validar el flujo.</w:t>
            </w:r>
          </w:p>
        </w:tc>
        <w:tc>
          <w:tcPr>
            <w:tcW w:type="dxa" w:w="5400"/>
            <w:vAlign w:val="center"/>
            <w:shd w:fill="F4F8FA"/>
          </w:tcPr>
          <w:p>
            <w:pPr>
              <w:spacing w:after="20" w:before="20"/>
            </w:pPr>
            <w:r/>
            <w:r>
              <w:rPr>
                <w:rFonts w:ascii="Aptos" w:hAnsi="Aptos"/>
                <w:b w:val="0"/>
                <w:color w:val="243746"/>
                <w:sz w:val="16"/>
              </w:rPr>
              <w:t>Revisar docker compose ps, salud de MySQL y URL de la aplicación antes de abrir Cypress.</w:t>
            </w:r>
          </w:p>
        </w:tc>
      </w:tr>
      <w:tr>
        <w:tc>
          <w:tcPr>
            <w:tcW w:type="dxa" w:w="2232"/>
            <w:vAlign w:val="center"/>
          </w:tcPr>
          <w:p>
            <w:pPr>
              <w:spacing w:after="20" w:before="20"/>
            </w:pPr>
            <w:r/>
            <w:r>
              <w:rPr>
                <w:rFonts w:ascii="Aptos" w:hAnsi="Aptos"/>
                <w:b w:val="0"/>
                <w:color w:val="243746"/>
                <w:sz w:val="16"/>
              </w:rPr>
              <w:t>Cambios de datos durante pruebas de rol</w:t>
            </w:r>
          </w:p>
        </w:tc>
        <w:tc>
          <w:tcPr>
            <w:tcW w:type="dxa" w:w="3096"/>
            <w:vAlign w:val="center"/>
          </w:tcPr>
          <w:p>
            <w:pPr>
              <w:spacing w:after="20" w:before="20"/>
            </w:pPr>
            <w:r/>
            <w:r>
              <w:rPr>
                <w:rFonts w:ascii="Aptos" w:hAnsi="Aptos"/>
                <w:b w:val="0"/>
                <w:color w:val="243746"/>
                <w:sz w:val="16"/>
              </w:rPr>
              <w:t>El orden puede influir en citas, doctor y contraseñas.</w:t>
            </w:r>
          </w:p>
        </w:tc>
        <w:tc>
          <w:tcPr>
            <w:tcW w:type="dxa" w:w="5400"/>
            <w:vAlign w:val="center"/>
          </w:tcPr>
          <w:p>
            <w:pPr>
              <w:spacing w:after="20" w:before="20"/>
            </w:pPr>
            <w:r/>
            <w:r>
              <w:rPr>
                <w:rFonts w:ascii="Aptos" w:hAnsi="Aptos"/>
                <w:b w:val="0"/>
                <w:color w:val="243746"/>
                <w:sz w:val="16"/>
              </w:rPr>
              <w:t>Ejecutar la suite completa en una BD de práctica; no usar datos reales ni simultanear ediciones manuales.</w:t>
            </w:r>
          </w:p>
        </w:tc>
      </w:tr>
      <w:tr>
        <w:tc>
          <w:tcPr>
            <w:tcW w:type="dxa" w:w="2232"/>
            <w:vAlign w:val="center"/>
            <w:shd w:fill="F4F8FA"/>
          </w:tcPr>
          <w:p>
            <w:pPr>
              <w:spacing w:after="20" w:before="20"/>
            </w:pPr>
            <w:r/>
            <w:r>
              <w:rPr>
                <w:rFonts w:ascii="Aptos" w:hAnsi="Aptos"/>
                <w:b w:val="0"/>
                <w:color w:val="243746"/>
                <w:sz w:val="16"/>
              </w:rPr>
              <w:t>Funcionalidad incompleta</w:t>
            </w:r>
          </w:p>
        </w:tc>
        <w:tc>
          <w:tcPr>
            <w:tcW w:type="dxa" w:w="3096"/>
            <w:vAlign w:val="center"/>
            <w:shd w:fill="F4F8FA"/>
          </w:tcPr>
          <w:p>
            <w:pPr>
              <w:spacing w:after="20" w:before="20"/>
            </w:pPr>
            <w:r/>
            <w:r>
              <w:rPr>
                <w:rFonts w:ascii="Aptos" w:hAnsi="Aptos"/>
                <w:b w:val="0"/>
                <w:color w:val="243746"/>
                <w:sz w:val="16"/>
              </w:rPr>
              <w:t>Expectativas no cubiertas por la aplicación.</w:t>
            </w:r>
          </w:p>
        </w:tc>
        <w:tc>
          <w:tcPr>
            <w:tcW w:type="dxa" w:w="5400"/>
            <w:vAlign w:val="center"/>
            <w:shd w:fill="F4F8FA"/>
          </w:tcPr>
          <w:p>
            <w:pPr>
              <w:spacing w:after="20" w:before="20"/>
            </w:pPr>
            <w:r/>
            <w:r>
              <w:rPr>
                <w:rFonts w:ascii="Aptos" w:hAnsi="Aptos"/>
                <w:b w:val="0"/>
                <w:color w:val="243746"/>
                <w:sz w:val="16"/>
              </w:rPr>
              <w:t>Registrar una brecha por separado; CP-23 documenta la falta de alta de administradores.</w:t>
            </w:r>
          </w:p>
        </w:tc>
      </w:tr>
      <w:tr>
        <w:tc>
          <w:tcPr>
            <w:tcW w:type="dxa" w:w="2232"/>
            <w:vAlign w:val="center"/>
          </w:tcPr>
          <w:p>
            <w:pPr>
              <w:spacing w:after="20" w:before="20"/>
            </w:pPr>
            <w:r/>
            <w:r>
              <w:rPr>
                <w:rFonts w:ascii="Aptos" w:hAnsi="Aptos"/>
                <w:b w:val="0"/>
                <w:color w:val="243746"/>
                <w:sz w:val="16"/>
              </w:rPr>
              <w:t>Evidencia histórica desactualizada</w:t>
            </w:r>
          </w:p>
        </w:tc>
        <w:tc>
          <w:tcPr>
            <w:tcW w:type="dxa" w:w="3096"/>
            <w:vAlign w:val="center"/>
          </w:tcPr>
          <w:p>
            <w:pPr>
              <w:spacing w:after="20" w:before="20"/>
            </w:pPr>
            <w:r/>
            <w:r>
              <w:rPr>
                <w:rFonts w:ascii="Aptos" w:hAnsi="Aptos"/>
                <w:b w:val="0"/>
                <w:color w:val="243746"/>
                <w:sz w:val="16"/>
              </w:rPr>
              <w:t>La exposición podría atribuir al estado actual una ejecución pasada.</w:t>
            </w:r>
          </w:p>
        </w:tc>
        <w:tc>
          <w:tcPr>
            <w:tcW w:type="dxa" w:w="5400"/>
            <w:vAlign w:val="center"/>
          </w:tcPr>
          <w:p>
            <w:pPr>
              <w:spacing w:after="20" w:before="20"/>
            </w:pPr>
            <w:r/>
            <w:r>
              <w:rPr>
                <w:rFonts w:ascii="Aptos" w:hAnsi="Aptos"/>
                <w:b w:val="0"/>
                <w:color w:val="243746"/>
                <w:sz w:val="16"/>
              </w:rPr>
              <w:t>Volver a ejecutar npm run cy:run el 18/10 o antes de presentar y actualizar los resultados con la salida real.</w:t>
            </w:r>
          </w:p>
        </w:tc>
      </w:tr>
    </w:tbl>
    <w:p>
      <w:pPr>
        <w:spacing w:after="20"/>
      </w:pPr>
    </w:p>
    <w:p>
      <w:pPr>
        <w:pStyle w:val="Heading1"/>
      </w:pPr>
      <w:r>
        <w:t>8. Equipo, Scrum y cronograma</w:t>
      </w:r>
    </w:p>
    <w:p>
      <w:r>
        <w:t>El equipo se organiza con Scrum ligero para priorizar historias, revisar avances y preparar una entrega demostrable. Noemy Molina Garron facilita el proceso como Scrum Master. La asignación técnica de las otras integrantes se presenta como propuesta y debe ajustarse a lo que cada persona efectivamente realizó.</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vAlign w:val="center"/>
            <w:shd w:fill="12304A"/>
          </w:tcPr>
          <w:p>
            <w:pPr>
              <w:spacing w:after="20" w:before="20"/>
            </w:pPr>
            <w:r/>
            <w:r>
              <w:rPr>
                <w:rFonts w:ascii="Aptos" w:hAnsi="Aptos"/>
                <w:b/>
                <w:color w:val="FFFFFF"/>
                <w:sz w:val="17"/>
              </w:rPr>
              <w:t>Integrante</w:t>
            </w:r>
          </w:p>
        </w:tc>
        <w:tc>
          <w:tcPr>
            <w:tcW w:type="dxa" w:w="7560"/>
            <w:vAlign w:val="center"/>
            <w:shd w:fill="12304A"/>
          </w:tcPr>
          <w:p>
            <w:pPr>
              <w:spacing w:after="20" w:before="20"/>
            </w:pPr>
            <w:r/>
            <w:r>
              <w:rPr>
                <w:rFonts w:ascii="Aptos" w:hAnsi="Aptos"/>
                <w:b/>
                <w:color w:val="FFFFFF"/>
                <w:sz w:val="17"/>
              </w:rPr>
              <w:t>Responsabilidad</w:t>
            </w:r>
          </w:p>
        </w:tc>
      </w:tr>
      <w:tr>
        <w:tc>
          <w:tcPr>
            <w:tcW w:type="dxa" w:w="3168"/>
            <w:vAlign w:val="center"/>
          </w:tcPr>
          <w:p>
            <w:pPr>
              <w:spacing w:after="20" w:before="20"/>
            </w:pPr>
            <w:r/>
            <w:r>
              <w:rPr>
                <w:rFonts w:ascii="Aptos" w:hAnsi="Aptos"/>
                <w:b w:val="0"/>
                <w:color w:val="243746"/>
                <w:sz w:val="16"/>
              </w:rPr>
              <w:t>Noemy Molina Garron</w:t>
            </w:r>
          </w:p>
        </w:tc>
        <w:tc>
          <w:tcPr>
            <w:tcW w:type="dxa" w:w="7560"/>
            <w:vAlign w:val="center"/>
          </w:tcPr>
          <w:p>
            <w:pPr>
              <w:spacing w:after="20" w:before="20"/>
            </w:pPr>
            <w:r/>
            <w:r>
              <w:rPr>
                <w:rFonts w:ascii="Aptos" w:hAnsi="Aptos"/>
                <w:b w:val="0"/>
                <w:color w:val="243746"/>
                <w:sz w:val="16"/>
              </w:rPr>
              <w:t>Scrum Master; facilitar reuniones, mantener visible el trabajo y ayudar a resolver impedimentos; apoyo en Docker/Cypress e integración.</w:t>
            </w:r>
          </w:p>
        </w:tc>
      </w:tr>
      <w:tr>
        <w:tc>
          <w:tcPr>
            <w:tcW w:type="dxa" w:w="3168"/>
            <w:vAlign w:val="center"/>
            <w:shd w:fill="F4F8FA"/>
          </w:tcPr>
          <w:p>
            <w:pPr>
              <w:spacing w:after="20" w:before="20"/>
            </w:pPr>
            <w:r/>
            <w:r>
              <w:rPr>
                <w:rFonts w:ascii="Aptos" w:hAnsi="Aptos"/>
                <w:b w:val="0"/>
                <w:color w:val="243746"/>
                <w:sz w:val="16"/>
              </w:rPr>
              <w:t>Wendy Ramirez Veizaga</w:t>
            </w:r>
          </w:p>
        </w:tc>
        <w:tc>
          <w:tcPr>
            <w:tcW w:type="dxa" w:w="7560"/>
            <w:vAlign w:val="center"/>
            <w:shd w:fill="F4F8FA"/>
          </w:tcPr>
          <w:p>
            <w:pPr>
              <w:spacing w:after="20" w:before="20"/>
            </w:pPr>
            <w:r/>
            <w:r>
              <w:rPr>
                <w:rFonts w:ascii="Aptos" w:hAnsi="Aptos"/>
                <w:b w:val="0"/>
                <w:color w:val="243746"/>
                <w:sz w:val="16"/>
              </w:rPr>
              <w:t>Plan de pruebas y smoke test; revisión de flujos administrativos CP-01–CP-07.</w:t>
            </w:r>
          </w:p>
        </w:tc>
      </w:tr>
      <w:tr>
        <w:tc>
          <w:tcPr>
            <w:tcW w:type="dxa" w:w="3168"/>
            <w:vAlign w:val="center"/>
          </w:tcPr>
          <w:p>
            <w:pPr>
              <w:spacing w:after="20" w:before="20"/>
            </w:pPr>
            <w:r/>
            <w:r>
              <w:rPr>
                <w:rFonts w:ascii="Aptos" w:hAnsi="Aptos"/>
                <w:b w:val="0"/>
                <w:color w:val="243746"/>
                <w:sz w:val="16"/>
              </w:rPr>
              <w:t>Natalia Romero Cuqui</w:t>
            </w:r>
          </w:p>
        </w:tc>
        <w:tc>
          <w:tcPr>
            <w:tcW w:type="dxa" w:w="7560"/>
            <w:vAlign w:val="center"/>
          </w:tcPr>
          <w:p>
            <w:pPr>
              <w:spacing w:after="20" w:before="20"/>
            </w:pPr>
            <w:r/>
            <w:r>
              <w:rPr>
                <w:rFonts w:ascii="Aptos" w:hAnsi="Aptos"/>
                <w:b w:val="0"/>
                <w:color w:val="243746"/>
                <w:sz w:val="16"/>
              </w:rPr>
              <w:t>Historias y casos de paciente; registro, login y citas HU-07–HU-13 / CP-08–CP-15.</w:t>
            </w:r>
          </w:p>
        </w:tc>
      </w:tr>
      <w:tr>
        <w:tc>
          <w:tcPr>
            <w:tcW w:type="dxa" w:w="3168"/>
            <w:vAlign w:val="center"/>
            <w:shd w:fill="F4F8FA"/>
          </w:tcPr>
          <w:p>
            <w:pPr>
              <w:spacing w:after="20" w:before="20"/>
            </w:pPr>
            <w:r/>
            <w:r>
              <w:rPr>
                <w:rFonts w:ascii="Aptos" w:hAnsi="Aptos"/>
                <w:b w:val="0"/>
                <w:color w:val="243746"/>
                <w:sz w:val="16"/>
              </w:rPr>
              <w:t>Alex Joshua Villegas Ibanez</w:t>
            </w:r>
          </w:p>
        </w:tc>
        <w:tc>
          <w:tcPr>
            <w:tcW w:type="dxa" w:w="7560"/>
            <w:vAlign w:val="center"/>
            <w:shd w:fill="F4F8FA"/>
          </w:tcPr>
          <w:p>
            <w:pPr>
              <w:spacing w:after="20" w:before="20"/>
            </w:pPr>
            <w:r/>
            <w:r>
              <w:rPr>
                <w:rFonts w:ascii="Aptos" w:hAnsi="Aptos"/>
                <w:b w:val="0"/>
                <w:color w:val="243746"/>
                <w:sz w:val="16"/>
              </w:rPr>
              <w:t>Casos de doctor CP-17–CP-21; revisión de regresión y guion/demo GitHub.</w:t>
            </w:r>
          </w:p>
        </w:tc>
      </w:tr>
    </w:tbl>
    <w:p>
      <w:pPr>
        <w:spacing w:after="20"/>
      </w:pPr>
    </w:p>
    <w:p>
      <w:r>
        <w:t>El reparto técnico es una propuesta de trabajo acordada para esta práctica y puede ajustarse por el equipo. No representa actividades ya terminadas. La Scrum Master facilita la coordinación; la responsabilidad de completar y revisar los entregables es compartida.</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3528"/>
            <w:vAlign w:val="center"/>
            <w:shd w:fill="12304A"/>
          </w:tcPr>
          <w:p>
            <w:pPr>
              <w:spacing w:after="20" w:before="20"/>
            </w:pPr>
            <w:r/>
            <w:r>
              <w:rPr>
                <w:rFonts w:ascii="Aptos" w:hAnsi="Aptos"/>
                <w:b/>
                <w:color w:val="FFFFFF"/>
                <w:sz w:val="17"/>
              </w:rPr>
              <w:t>Bloque</w:t>
            </w:r>
          </w:p>
        </w:tc>
        <w:tc>
          <w:tcPr>
            <w:tcW w:type="dxa" w:w="2592"/>
            <w:vAlign w:val="center"/>
            <w:shd w:fill="12304A"/>
          </w:tcPr>
          <w:p>
            <w:pPr>
              <w:spacing w:after="20" w:before="20"/>
            </w:pPr>
            <w:r/>
            <w:r>
              <w:rPr>
                <w:rFonts w:ascii="Aptos" w:hAnsi="Aptos"/>
                <w:b/>
                <w:color w:val="FFFFFF"/>
                <w:sz w:val="17"/>
              </w:rPr>
              <w:t>Responsable</w:t>
            </w:r>
          </w:p>
        </w:tc>
        <w:tc>
          <w:tcPr>
            <w:tcW w:type="dxa" w:w="1440"/>
            <w:vAlign w:val="center"/>
            <w:shd w:fill="12304A"/>
          </w:tcPr>
          <w:p>
            <w:pPr>
              <w:spacing w:after="20" w:before="20"/>
            </w:pPr>
            <w:r/>
            <w:r>
              <w:rPr>
                <w:rFonts w:ascii="Aptos" w:hAnsi="Aptos"/>
                <w:b/>
                <w:color w:val="FFFFFF"/>
                <w:sz w:val="17"/>
              </w:rPr>
              <w:t>Fecha objetivo</w:t>
            </w:r>
          </w:p>
        </w:tc>
        <w:tc>
          <w:tcPr>
            <w:tcW w:type="dxa" w:w="3168"/>
            <w:vAlign w:val="center"/>
            <w:shd w:fill="12304A"/>
          </w:tcPr>
          <w:p>
            <w:pPr>
              <w:spacing w:after="20" w:before="20"/>
            </w:pPr>
            <w:r/>
            <w:r>
              <w:rPr>
                <w:rFonts w:ascii="Aptos" w:hAnsi="Aptos"/>
                <w:b/>
                <w:color w:val="FFFFFF"/>
                <w:sz w:val="17"/>
              </w:rPr>
              <w:t>Criterio de aceptación</w:t>
            </w:r>
          </w:p>
        </w:tc>
      </w:tr>
      <w:tr>
        <w:tc>
          <w:tcPr>
            <w:tcW w:type="dxa" w:w="3528"/>
            <w:vAlign w:val="center"/>
          </w:tcPr>
          <w:p>
            <w:pPr>
              <w:spacing w:after="20" w:before="20"/>
            </w:pPr>
            <w:r/>
            <w:r>
              <w:rPr>
                <w:rFonts w:ascii="Aptos" w:hAnsi="Aptos"/>
                <w:b w:val="0"/>
                <w:color w:val="243746"/>
                <w:sz w:val="15"/>
              </w:rPr>
              <w:t>SQA-01/02 · Scrum, entorno y guía VS Code</w:t>
            </w:r>
          </w:p>
        </w:tc>
        <w:tc>
          <w:tcPr>
            <w:tcW w:type="dxa" w:w="2592"/>
            <w:vAlign w:val="center"/>
          </w:tcPr>
          <w:p>
            <w:pPr>
              <w:spacing w:after="20" w:before="20"/>
            </w:pPr>
            <w:r/>
            <w:r>
              <w:rPr>
                <w:rFonts w:ascii="Aptos" w:hAnsi="Aptos"/>
                <w:b w:val="0"/>
                <w:color w:val="243746"/>
                <w:sz w:val="15"/>
              </w:rPr>
              <w:t>Noemy Molina Garron</w:t>
            </w:r>
          </w:p>
        </w:tc>
        <w:tc>
          <w:tcPr>
            <w:tcW w:type="dxa" w:w="1440"/>
            <w:vAlign w:val="center"/>
          </w:tcPr>
          <w:p>
            <w:pPr>
              <w:spacing w:after="20" w:before="20"/>
            </w:pPr>
            <w:r/>
            <w:r>
              <w:rPr>
                <w:rFonts w:ascii="Aptos" w:hAnsi="Aptos"/>
                <w:b w:val="0"/>
                <w:color w:val="243746"/>
                <w:sz w:val="15"/>
              </w:rPr>
              <w:t>14–18/10</w:t>
            </w:r>
          </w:p>
        </w:tc>
        <w:tc>
          <w:tcPr>
            <w:tcW w:type="dxa" w:w="3168"/>
            <w:vAlign w:val="center"/>
          </w:tcPr>
          <w:p>
            <w:pPr>
              <w:spacing w:after="20" w:before="20"/>
            </w:pPr>
            <w:r/>
            <w:r>
              <w:rPr>
                <w:rFonts w:ascii="Aptos" w:hAnsi="Aptos"/>
                <w:b w:val="0"/>
                <w:color w:val="243746"/>
                <w:sz w:val="15"/>
              </w:rPr>
              <w:t>Tablero visible; Docker/MySQL y pasos de Cypress documentados; acuerdos y bloqueos registrados.</w:t>
            </w:r>
          </w:p>
        </w:tc>
      </w:tr>
      <w:tr>
        <w:tc>
          <w:tcPr>
            <w:tcW w:type="dxa" w:w="3528"/>
            <w:vAlign w:val="center"/>
            <w:shd w:fill="F4F8FA"/>
          </w:tcPr>
          <w:p>
            <w:pPr>
              <w:spacing w:after="20" w:before="20"/>
            </w:pPr>
            <w:r/>
            <w:r>
              <w:rPr>
                <w:rFonts w:ascii="Aptos" w:hAnsi="Aptos"/>
                <w:b w:val="0"/>
                <w:color w:val="243746"/>
                <w:sz w:val="15"/>
              </w:rPr>
              <w:t>SQA-03/04 · plan, smoke y casos admin</w:t>
            </w:r>
          </w:p>
        </w:tc>
        <w:tc>
          <w:tcPr>
            <w:tcW w:type="dxa" w:w="2592"/>
            <w:vAlign w:val="center"/>
            <w:shd w:fill="F4F8FA"/>
          </w:tcPr>
          <w:p>
            <w:pPr>
              <w:spacing w:after="20" w:before="20"/>
            </w:pPr>
            <w:r/>
            <w:r>
              <w:rPr>
                <w:rFonts w:ascii="Aptos" w:hAnsi="Aptos"/>
                <w:b w:val="0"/>
                <w:color w:val="243746"/>
                <w:sz w:val="15"/>
              </w:rPr>
              <w:t>Wendy Ramirez Veizaga</w:t>
            </w:r>
          </w:p>
        </w:tc>
        <w:tc>
          <w:tcPr>
            <w:tcW w:type="dxa" w:w="1440"/>
            <w:vAlign w:val="center"/>
            <w:shd w:fill="F4F8FA"/>
          </w:tcPr>
          <w:p>
            <w:pPr>
              <w:spacing w:after="20" w:before="20"/>
            </w:pPr>
            <w:r/>
            <w:r>
              <w:rPr>
                <w:rFonts w:ascii="Aptos" w:hAnsi="Aptos"/>
                <w:b w:val="0"/>
                <w:color w:val="243746"/>
                <w:sz w:val="15"/>
              </w:rPr>
              <w:t>15–16/10</w:t>
            </w:r>
          </w:p>
        </w:tc>
        <w:tc>
          <w:tcPr>
            <w:tcW w:type="dxa" w:w="3168"/>
            <w:vAlign w:val="center"/>
            <w:shd w:fill="F4F8FA"/>
          </w:tcPr>
          <w:p>
            <w:pPr>
              <w:spacing w:after="20" w:before="20"/>
            </w:pPr>
            <w:r/>
            <w:r>
              <w:rPr>
                <w:rFonts w:ascii="Aptos" w:hAnsi="Aptos"/>
                <w:b w:val="0"/>
                <w:color w:val="243746"/>
                <w:sz w:val="15"/>
              </w:rPr>
              <w:t>Plan y CP-01–CP-07 concuerdan con matriz, aplicación y resultados esperados.</w:t>
            </w:r>
          </w:p>
        </w:tc>
      </w:tr>
      <w:tr>
        <w:tc>
          <w:tcPr>
            <w:tcW w:type="dxa" w:w="3528"/>
            <w:vAlign w:val="center"/>
          </w:tcPr>
          <w:p>
            <w:pPr>
              <w:spacing w:after="20" w:before="20"/>
            </w:pPr>
            <w:r/>
            <w:r>
              <w:rPr>
                <w:rFonts w:ascii="Aptos" w:hAnsi="Aptos"/>
                <w:b w:val="0"/>
                <w:color w:val="243746"/>
                <w:sz w:val="15"/>
              </w:rPr>
              <w:t>SQA-05/08 · historias y Excel paciente</w:t>
            </w:r>
          </w:p>
        </w:tc>
        <w:tc>
          <w:tcPr>
            <w:tcW w:type="dxa" w:w="2592"/>
            <w:vAlign w:val="center"/>
          </w:tcPr>
          <w:p>
            <w:pPr>
              <w:spacing w:after="20" w:before="20"/>
            </w:pPr>
            <w:r/>
            <w:r>
              <w:rPr>
                <w:rFonts w:ascii="Aptos" w:hAnsi="Aptos"/>
                <w:b w:val="0"/>
                <w:color w:val="243746"/>
                <w:sz w:val="15"/>
              </w:rPr>
              <w:t>Natalia Romero Cuqui</w:t>
            </w:r>
          </w:p>
        </w:tc>
        <w:tc>
          <w:tcPr>
            <w:tcW w:type="dxa" w:w="1440"/>
            <w:vAlign w:val="center"/>
          </w:tcPr>
          <w:p>
            <w:pPr>
              <w:spacing w:after="20" w:before="20"/>
            </w:pPr>
            <w:r/>
            <w:r>
              <w:rPr>
                <w:rFonts w:ascii="Aptos" w:hAnsi="Aptos"/>
                <w:b w:val="0"/>
                <w:color w:val="243746"/>
                <w:sz w:val="15"/>
              </w:rPr>
              <w:t>16–17/10</w:t>
            </w:r>
          </w:p>
        </w:tc>
        <w:tc>
          <w:tcPr>
            <w:tcW w:type="dxa" w:w="3168"/>
            <w:vAlign w:val="center"/>
          </w:tcPr>
          <w:p>
            <w:pPr>
              <w:spacing w:after="20" w:before="20"/>
            </w:pPr>
            <w:r/>
            <w:r>
              <w:rPr>
                <w:rFonts w:ascii="Aptos" w:hAnsi="Aptos"/>
                <w:b w:val="0"/>
                <w:color w:val="243746"/>
                <w:sz w:val="15"/>
              </w:rPr>
              <w:t>HU-07–HU-13 y CP-08–CP-15 trazables; matriz revisada y datos de prueba sintéticos.</w:t>
            </w:r>
          </w:p>
        </w:tc>
      </w:tr>
      <w:tr>
        <w:tc>
          <w:tcPr>
            <w:tcW w:type="dxa" w:w="3528"/>
            <w:vAlign w:val="center"/>
            <w:shd w:fill="F4F8FA"/>
          </w:tcPr>
          <w:p>
            <w:pPr>
              <w:spacing w:after="20" w:before="20"/>
            </w:pPr>
            <w:r/>
            <w:r>
              <w:rPr>
                <w:rFonts w:ascii="Aptos" w:hAnsi="Aptos"/>
                <w:b w:val="0"/>
                <w:color w:val="243746"/>
                <w:sz w:val="15"/>
              </w:rPr>
              <w:t>SQA-06/09 · casos doctor, regresión y exposición</w:t>
            </w:r>
          </w:p>
        </w:tc>
        <w:tc>
          <w:tcPr>
            <w:tcW w:type="dxa" w:w="2592"/>
            <w:vAlign w:val="center"/>
            <w:shd w:fill="F4F8FA"/>
          </w:tcPr>
          <w:p>
            <w:pPr>
              <w:spacing w:after="20" w:before="20"/>
            </w:pPr>
            <w:r/>
            <w:r>
              <w:rPr>
                <w:rFonts w:ascii="Aptos" w:hAnsi="Aptos"/>
                <w:b w:val="0"/>
                <w:color w:val="243746"/>
                <w:sz w:val="15"/>
              </w:rPr>
              <w:t>Alex Joshua Villegas Ibanez</w:t>
            </w:r>
          </w:p>
        </w:tc>
        <w:tc>
          <w:tcPr>
            <w:tcW w:type="dxa" w:w="1440"/>
            <w:vAlign w:val="center"/>
            <w:shd w:fill="F4F8FA"/>
          </w:tcPr>
          <w:p>
            <w:pPr>
              <w:spacing w:after="20" w:before="20"/>
            </w:pPr>
            <w:r/>
            <w:r>
              <w:rPr>
                <w:rFonts w:ascii="Aptos" w:hAnsi="Aptos"/>
                <w:b w:val="0"/>
                <w:color w:val="243746"/>
                <w:sz w:val="15"/>
              </w:rPr>
              <w:t>17–18/10</w:t>
            </w:r>
          </w:p>
        </w:tc>
        <w:tc>
          <w:tcPr>
            <w:tcW w:type="dxa" w:w="3168"/>
            <w:vAlign w:val="center"/>
            <w:shd w:fill="F4F8FA"/>
          </w:tcPr>
          <w:p>
            <w:pPr>
              <w:spacing w:after="20" w:before="20"/>
            </w:pPr>
            <w:r/>
            <w:r>
              <w:rPr>
                <w:rFonts w:ascii="Aptos" w:hAnsi="Aptos"/>
                <w:b w:val="0"/>
                <w:color w:val="243746"/>
                <w:sz w:val="15"/>
              </w:rPr>
              <w:t>CP-17–CP-21 revisados; guion y ensayo listos con evidencia real.</w:t>
            </w:r>
          </w:p>
        </w:tc>
      </w:tr>
      <w:tr>
        <w:tc>
          <w:tcPr>
            <w:tcW w:type="dxa" w:w="3528"/>
            <w:vAlign w:val="center"/>
          </w:tcPr>
          <w:p>
            <w:pPr>
              <w:spacing w:after="20" w:before="20"/>
            </w:pPr>
            <w:r/>
            <w:r>
              <w:rPr>
                <w:rFonts w:ascii="Aptos" w:hAnsi="Aptos"/>
                <w:b w:val="0"/>
                <w:color w:val="243746"/>
                <w:sz w:val="15"/>
              </w:rPr>
              <w:t>SQA-07/10 · integración y presentación</w:t>
            </w:r>
          </w:p>
        </w:tc>
        <w:tc>
          <w:tcPr>
            <w:tcW w:type="dxa" w:w="2592"/>
            <w:vAlign w:val="center"/>
          </w:tcPr>
          <w:p>
            <w:pPr>
              <w:spacing w:after="20" w:before="20"/>
            </w:pPr>
            <w:r/>
            <w:r>
              <w:rPr>
                <w:rFonts w:ascii="Aptos" w:hAnsi="Aptos"/>
                <w:b w:val="0"/>
                <w:color w:val="243746"/>
                <w:sz w:val="15"/>
              </w:rPr>
              <w:t>Todo el equipo; facilita Noemy</w:t>
            </w:r>
          </w:p>
        </w:tc>
        <w:tc>
          <w:tcPr>
            <w:tcW w:type="dxa" w:w="1440"/>
            <w:vAlign w:val="center"/>
          </w:tcPr>
          <w:p>
            <w:pPr>
              <w:spacing w:after="20" w:before="20"/>
            </w:pPr>
            <w:r/>
            <w:r>
              <w:rPr>
                <w:rFonts w:ascii="Aptos" w:hAnsi="Aptos"/>
                <w:b w:val="0"/>
                <w:color w:val="243746"/>
                <w:sz w:val="15"/>
              </w:rPr>
              <w:t>18–19/10</w:t>
            </w:r>
          </w:p>
        </w:tc>
        <w:tc>
          <w:tcPr>
            <w:tcW w:type="dxa" w:w="3168"/>
            <w:vAlign w:val="center"/>
          </w:tcPr>
          <w:p>
            <w:pPr>
              <w:spacing w:after="20" w:before="20"/>
            </w:pPr>
            <w:r/>
            <w:r>
              <w:rPr>
                <w:rFonts w:ascii="Aptos" w:hAnsi="Aptos"/>
                <w:b w:val="0"/>
                <w:color w:val="243746"/>
                <w:sz w:val="15"/>
              </w:rPr>
              <w:t>Suite reejecutada; resultados observados registrados; cuatro entregables revisados y presentados.</w:t>
            </w:r>
          </w:p>
        </w:tc>
      </w:tr>
    </w:tbl>
    <w:p>
      <w:pPr>
        <w:spacing w:after="20"/>
      </w:pPr>
    </w:p>
    <w:p>
      <w:r>
        <w:t>El detalle de las diez tareas, estados iniciales, criterios y ceremonias está en docs/05-TABLERO-SCRUM.md y en la hoja «Tablero Scrum» del Excel. Las reuniones posteriores al 14/10 son planificadas; añadir asistencia y acuerdos solo después de realizarlas.</w:t>
      </w:r>
    </w:p>
    <w:p>
      <w:r>
        <w:br w:type="page"/>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vAlign w:val="center"/>
            <w:shd w:fill="12304A"/>
          </w:tcPr>
          <w:p>
            <w:pPr>
              <w:spacing w:after="20" w:before="20"/>
            </w:pPr>
            <w:r/>
            <w:r>
              <w:rPr>
                <w:rFonts w:ascii="Aptos" w:hAnsi="Aptos"/>
                <w:b/>
                <w:color w:val="FFFFFF"/>
                <w:sz w:val="17"/>
              </w:rPr>
              <w:t>Fecha</w:t>
            </w:r>
          </w:p>
        </w:tc>
        <w:tc>
          <w:tcPr>
            <w:tcW w:type="dxa" w:w="2880"/>
            <w:vAlign w:val="center"/>
            <w:shd w:fill="12304A"/>
          </w:tcPr>
          <w:p>
            <w:pPr>
              <w:spacing w:after="20" w:before="20"/>
            </w:pPr>
            <w:r/>
            <w:r>
              <w:rPr>
                <w:rFonts w:ascii="Aptos" w:hAnsi="Aptos"/>
                <w:b/>
                <w:color w:val="FFFFFF"/>
                <w:sz w:val="17"/>
              </w:rPr>
              <w:t>Reunión o actividad</w:t>
            </w:r>
          </w:p>
        </w:tc>
        <w:tc>
          <w:tcPr>
            <w:tcW w:type="dxa" w:w="6408"/>
            <w:vAlign w:val="center"/>
            <w:shd w:fill="12304A"/>
          </w:tcPr>
          <w:p>
            <w:pPr>
              <w:spacing w:after="20" w:before="20"/>
            </w:pPr>
            <w:r/>
            <w:r>
              <w:rPr>
                <w:rFonts w:ascii="Aptos" w:hAnsi="Aptos"/>
                <w:b/>
                <w:color w:val="FFFFFF"/>
                <w:sz w:val="17"/>
              </w:rPr>
              <w:t>Resultado esperado / estado</w:t>
            </w:r>
          </w:p>
        </w:tc>
      </w:tr>
      <w:tr>
        <w:tc>
          <w:tcPr>
            <w:tcW w:type="dxa" w:w="1440"/>
            <w:vAlign w:val="center"/>
          </w:tcPr>
          <w:p>
            <w:pPr>
              <w:spacing w:after="20" w:before="20"/>
            </w:pPr>
            <w:r/>
            <w:r>
              <w:rPr>
                <w:rFonts w:ascii="Aptos" w:hAnsi="Aptos"/>
                <w:b w:val="0"/>
                <w:color w:val="243746"/>
                <w:sz w:val="16"/>
              </w:rPr>
              <w:t>Lun 12/10</w:t>
            </w:r>
          </w:p>
        </w:tc>
        <w:tc>
          <w:tcPr>
            <w:tcW w:type="dxa" w:w="2880"/>
            <w:vAlign w:val="center"/>
          </w:tcPr>
          <w:p>
            <w:pPr>
              <w:spacing w:after="20" w:before="20"/>
            </w:pPr>
            <w:r/>
            <w:r>
              <w:rPr>
                <w:rFonts w:ascii="Aptos" w:hAnsi="Aptos"/>
                <w:b w:val="0"/>
                <w:color w:val="243746"/>
                <w:sz w:val="16"/>
              </w:rPr>
              <w:t>Preparación del entorno</w:t>
            </w:r>
          </w:p>
        </w:tc>
        <w:tc>
          <w:tcPr>
            <w:tcW w:type="dxa" w:w="6408"/>
            <w:vAlign w:val="center"/>
          </w:tcPr>
          <w:p>
            <w:pPr>
              <w:spacing w:after="20" w:before="20"/>
            </w:pPr>
            <w:r/>
            <w:r>
              <w:rPr>
                <w:rFonts w:ascii="Aptos" w:hAnsi="Aptos"/>
                <w:b w:val="0"/>
                <w:color w:val="243746"/>
                <w:sz w:val="16"/>
              </w:rPr>
              <w:t>Docker y MySQL levantados, según lo reportado por el equipo. Realizado.</w:t>
            </w:r>
          </w:p>
        </w:tc>
      </w:tr>
      <w:tr>
        <w:tc>
          <w:tcPr>
            <w:tcW w:type="dxa" w:w="1440"/>
            <w:vAlign w:val="center"/>
            <w:shd w:fill="F4F8FA"/>
          </w:tcPr>
          <w:p>
            <w:pPr>
              <w:spacing w:after="20" w:before="20"/>
            </w:pPr>
            <w:r/>
            <w:r>
              <w:rPr>
                <w:rFonts w:ascii="Aptos" w:hAnsi="Aptos"/>
                <w:b w:val="0"/>
                <w:color w:val="243746"/>
                <w:sz w:val="16"/>
              </w:rPr>
              <w:t>Mié 14/10</w:t>
            </w:r>
          </w:p>
        </w:tc>
        <w:tc>
          <w:tcPr>
            <w:tcW w:type="dxa" w:w="2880"/>
            <w:vAlign w:val="center"/>
            <w:shd w:fill="F4F8FA"/>
          </w:tcPr>
          <w:p>
            <w:pPr>
              <w:spacing w:after="20" w:before="20"/>
            </w:pPr>
            <w:r/>
            <w:r>
              <w:rPr>
                <w:rFonts w:ascii="Aptos" w:hAnsi="Aptos"/>
                <w:b w:val="0"/>
                <w:color w:val="243746"/>
                <w:sz w:val="16"/>
              </w:rPr>
              <w:t>Planificación y refinamiento</w:t>
            </w:r>
          </w:p>
        </w:tc>
        <w:tc>
          <w:tcPr>
            <w:tcW w:type="dxa" w:w="6408"/>
            <w:vAlign w:val="center"/>
            <w:shd w:fill="F4F8FA"/>
          </w:tcPr>
          <w:p>
            <w:pPr>
              <w:spacing w:after="20" w:before="20"/>
            </w:pPr>
            <w:r/>
            <w:r>
              <w:rPr>
                <w:rFonts w:ascii="Aptos" w:hAnsi="Aptos"/>
                <w:b w:val="0"/>
                <w:color w:val="243746"/>
                <w:sz w:val="16"/>
              </w:rPr>
              <w:t>Acordar alcance, roles, prioridades y entregables; iniciar consolidación. Actividad en curso según la fecha de este informe.</w:t>
            </w:r>
          </w:p>
        </w:tc>
      </w:tr>
      <w:tr>
        <w:tc>
          <w:tcPr>
            <w:tcW w:type="dxa" w:w="1440"/>
            <w:vAlign w:val="center"/>
          </w:tcPr>
          <w:p>
            <w:pPr>
              <w:spacing w:after="20" w:before="20"/>
            </w:pPr>
            <w:r/>
            <w:r>
              <w:rPr>
                <w:rFonts w:ascii="Aptos" w:hAnsi="Aptos"/>
                <w:b w:val="0"/>
                <w:color w:val="243746"/>
                <w:sz w:val="16"/>
              </w:rPr>
              <w:t>Jue 15/10</w:t>
            </w:r>
          </w:p>
        </w:tc>
        <w:tc>
          <w:tcPr>
            <w:tcW w:type="dxa" w:w="2880"/>
            <w:vAlign w:val="center"/>
          </w:tcPr>
          <w:p>
            <w:pPr>
              <w:spacing w:after="20" w:before="20"/>
            </w:pPr>
            <w:r/>
            <w:r>
              <w:rPr>
                <w:rFonts w:ascii="Aptos" w:hAnsi="Aptos"/>
                <w:b w:val="0"/>
                <w:color w:val="243746"/>
                <w:sz w:val="16"/>
              </w:rPr>
              <w:t>Seguimiento y revisión de casos</w:t>
            </w:r>
          </w:p>
        </w:tc>
        <w:tc>
          <w:tcPr>
            <w:tcW w:type="dxa" w:w="6408"/>
            <w:vAlign w:val="center"/>
          </w:tcPr>
          <w:p>
            <w:pPr>
              <w:spacing w:after="20" w:before="20"/>
            </w:pPr>
            <w:r/>
            <w:r>
              <w:rPr>
                <w:rFonts w:ascii="Aptos" w:hAnsi="Aptos"/>
                <w:b w:val="0"/>
                <w:color w:val="243746"/>
                <w:sz w:val="16"/>
              </w:rPr>
              <w:t>Revisar pasos, precondiciones, datos y criterios; registrar impedimentos. Planificado.</w:t>
            </w:r>
          </w:p>
        </w:tc>
      </w:tr>
      <w:tr>
        <w:tc>
          <w:tcPr>
            <w:tcW w:type="dxa" w:w="1440"/>
            <w:vAlign w:val="center"/>
            <w:shd w:fill="F4F8FA"/>
          </w:tcPr>
          <w:p>
            <w:pPr>
              <w:spacing w:after="20" w:before="20"/>
            </w:pPr>
            <w:r/>
            <w:r>
              <w:rPr>
                <w:rFonts w:ascii="Aptos" w:hAnsi="Aptos"/>
                <w:b w:val="0"/>
                <w:color w:val="243746"/>
                <w:sz w:val="16"/>
              </w:rPr>
              <w:t>Vie 16/10</w:t>
            </w:r>
          </w:p>
        </w:tc>
        <w:tc>
          <w:tcPr>
            <w:tcW w:type="dxa" w:w="2880"/>
            <w:vAlign w:val="center"/>
            <w:shd w:fill="F4F8FA"/>
          </w:tcPr>
          <w:p>
            <w:pPr>
              <w:spacing w:after="20" w:before="20"/>
            </w:pPr>
            <w:r/>
            <w:r>
              <w:rPr>
                <w:rFonts w:ascii="Aptos" w:hAnsi="Aptos"/>
                <w:b w:val="0"/>
                <w:color w:val="243746"/>
                <w:sz w:val="16"/>
              </w:rPr>
              <w:t>Seguimiento de automatización</w:t>
            </w:r>
          </w:p>
        </w:tc>
        <w:tc>
          <w:tcPr>
            <w:tcW w:type="dxa" w:w="6408"/>
            <w:vAlign w:val="center"/>
            <w:shd w:fill="F4F8FA"/>
          </w:tcPr>
          <w:p>
            <w:pPr>
              <w:spacing w:after="20" w:before="20"/>
            </w:pPr>
            <w:r/>
            <w:r>
              <w:rPr>
                <w:rFonts w:ascii="Aptos" w:hAnsi="Aptos"/>
                <w:b w:val="0"/>
                <w:color w:val="243746"/>
                <w:sz w:val="16"/>
              </w:rPr>
              <w:t>Relacionar casos con el spec y revisar los flujos implementados. Planificado.</w:t>
            </w:r>
          </w:p>
        </w:tc>
      </w:tr>
      <w:tr>
        <w:tc>
          <w:tcPr>
            <w:tcW w:type="dxa" w:w="1440"/>
            <w:vAlign w:val="center"/>
          </w:tcPr>
          <w:p>
            <w:pPr>
              <w:spacing w:after="20" w:before="20"/>
            </w:pPr>
            <w:r/>
            <w:r>
              <w:rPr>
                <w:rFonts w:ascii="Aptos" w:hAnsi="Aptos"/>
                <w:b w:val="0"/>
                <w:color w:val="243746"/>
                <w:sz w:val="16"/>
              </w:rPr>
              <w:t>Sáb 17/10</w:t>
            </w:r>
          </w:p>
        </w:tc>
        <w:tc>
          <w:tcPr>
            <w:tcW w:type="dxa" w:w="2880"/>
            <w:vAlign w:val="center"/>
          </w:tcPr>
          <w:p>
            <w:pPr>
              <w:spacing w:after="20" w:before="20"/>
            </w:pPr>
            <w:r/>
            <w:r>
              <w:rPr>
                <w:rFonts w:ascii="Aptos" w:hAnsi="Aptos"/>
                <w:b w:val="0"/>
                <w:color w:val="243746"/>
                <w:sz w:val="16"/>
              </w:rPr>
              <w:t>Revisión de documentos y evidencias</w:t>
            </w:r>
          </w:p>
        </w:tc>
        <w:tc>
          <w:tcPr>
            <w:tcW w:type="dxa" w:w="6408"/>
            <w:vAlign w:val="center"/>
          </w:tcPr>
          <w:p>
            <w:pPr>
              <w:spacing w:after="20" w:before="20"/>
            </w:pPr>
            <w:r/>
            <w:r>
              <w:rPr>
                <w:rFonts w:ascii="Aptos" w:hAnsi="Aptos"/>
                <w:b w:val="0"/>
                <w:color w:val="243746"/>
                <w:sz w:val="16"/>
              </w:rPr>
              <w:t>Consolidar Word, Excel, resultados y trazabilidad. Planificado.</w:t>
            </w:r>
          </w:p>
        </w:tc>
      </w:tr>
      <w:tr>
        <w:tc>
          <w:tcPr>
            <w:tcW w:type="dxa" w:w="1440"/>
            <w:vAlign w:val="center"/>
            <w:shd w:fill="F4F8FA"/>
          </w:tcPr>
          <w:p>
            <w:pPr>
              <w:spacing w:after="20" w:before="20"/>
            </w:pPr>
            <w:r/>
            <w:r>
              <w:rPr>
                <w:rFonts w:ascii="Aptos" w:hAnsi="Aptos"/>
                <w:b w:val="0"/>
                <w:color w:val="243746"/>
                <w:sz w:val="16"/>
              </w:rPr>
              <w:t>Dom 18/10</w:t>
            </w:r>
          </w:p>
        </w:tc>
        <w:tc>
          <w:tcPr>
            <w:tcW w:type="dxa" w:w="2880"/>
            <w:vAlign w:val="center"/>
            <w:shd w:fill="F4F8FA"/>
          </w:tcPr>
          <w:p>
            <w:pPr>
              <w:spacing w:after="20" w:before="20"/>
            </w:pPr>
            <w:r/>
            <w:r>
              <w:rPr>
                <w:rFonts w:ascii="Aptos" w:hAnsi="Aptos"/>
                <w:b w:val="0"/>
                <w:color w:val="243746"/>
                <w:sz w:val="16"/>
              </w:rPr>
              <w:t>Revisión final y ensayo</w:t>
            </w:r>
          </w:p>
        </w:tc>
        <w:tc>
          <w:tcPr>
            <w:tcW w:type="dxa" w:w="6408"/>
            <w:vAlign w:val="center"/>
            <w:shd w:fill="F4F8FA"/>
          </w:tcPr>
          <w:p>
            <w:pPr>
              <w:spacing w:after="20" w:before="20"/>
            </w:pPr>
            <w:r/>
            <w:r>
              <w:rPr>
                <w:rFonts w:ascii="Aptos" w:hAnsi="Aptos"/>
                <w:b w:val="0"/>
                <w:color w:val="243746"/>
                <w:sz w:val="16"/>
              </w:rPr>
              <w:t>Reejecutar Cypress, actualizar evidencia y practicar la presentación. Planificado.</w:t>
            </w:r>
          </w:p>
        </w:tc>
      </w:tr>
      <w:tr>
        <w:tc>
          <w:tcPr>
            <w:tcW w:type="dxa" w:w="1440"/>
            <w:vAlign w:val="center"/>
          </w:tcPr>
          <w:p>
            <w:pPr>
              <w:spacing w:after="20" w:before="20"/>
            </w:pPr>
            <w:r/>
            <w:r>
              <w:rPr>
                <w:rFonts w:ascii="Aptos" w:hAnsi="Aptos"/>
                <w:b w:val="0"/>
                <w:color w:val="243746"/>
                <w:sz w:val="16"/>
              </w:rPr>
              <w:t>Lun 19/10</w:t>
            </w:r>
          </w:p>
        </w:tc>
        <w:tc>
          <w:tcPr>
            <w:tcW w:type="dxa" w:w="2880"/>
            <w:vAlign w:val="center"/>
          </w:tcPr>
          <w:p>
            <w:pPr>
              <w:spacing w:after="20" w:before="20"/>
            </w:pPr>
            <w:r/>
            <w:r>
              <w:rPr>
                <w:rFonts w:ascii="Aptos" w:hAnsi="Aptos"/>
                <w:b w:val="0"/>
                <w:color w:val="243746"/>
                <w:sz w:val="16"/>
              </w:rPr>
              <w:t>Presentación</w:t>
            </w:r>
          </w:p>
        </w:tc>
        <w:tc>
          <w:tcPr>
            <w:tcW w:type="dxa" w:w="6408"/>
            <w:vAlign w:val="center"/>
          </w:tcPr>
          <w:p>
            <w:pPr>
              <w:spacing w:after="20" w:before="20"/>
            </w:pPr>
            <w:r/>
            <w:r>
              <w:rPr>
                <w:rFonts w:ascii="Aptos" w:hAnsi="Aptos"/>
                <w:b w:val="0"/>
                <w:color w:val="243746"/>
                <w:sz w:val="16"/>
              </w:rPr>
              <w:t>Exponer entregables, entorno, cobertura, resultados y organización del equipo. Fecha de presentación.</w:t>
            </w:r>
          </w:p>
        </w:tc>
      </w:tr>
    </w:tbl>
    <w:p>
      <w:pPr>
        <w:spacing w:after="20"/>
      </w:pPr>
    </w:p>
    <w:p>
      <w:r>
        <w:t>Las reuniones del 15 al 18 son parte del calendario propuesto; registrar participantes, acuerdos y bloqueos después de cada reunión para que el informe final refleje lo que realmente ocurrió.</w:t>
      </w:r>
    </w:p>
    <w:p>
      <w:r>
        <w:br w:type="page"/>
      </w:r>
    </w:p>
    <w:p>
      <w:pPr>
        <w:pStyle w:val="Heading1"/>
      </w:pPr>
      <w:r>
        <w:t>9. Colaboración con Git y GitHub</w:t>
      </w:r>
    </w:p>
    <w:p>
      <w:r>
        <w:t>Git registra versiones y ramas en el proyecto. GitHub aloja el repositorio compartido bajo la cuenta personal Lurey14 (Noemy), no bajo una organización. El repositorio público es github.com/Lurey14/doctor-patient-portal-sqa-cypress y el tablero Scrum es github.com/users/Lurey14/projects/1/views/1; ambos permiten consultar archivos y las 10 tareas SQA sin invitación. Para contribuir mediante push o Pull Request se requiere permiso. Los responsables se indican por nombre completo; los usernames de Wendy, Natalia y Alex hacen falta para invitarlas con escritura. El código fuente original pertenece al repositorio indicado por el curso; esta entrega es una copia académica y no reemplaza ni modifica el original.</w:t>
      </w:r>
    </w:p>
    <w:p>
      <w:pPr>
        <w:pStyle w:val="ListBullet"/>
        <w:spacing w:after="40"/>
      </w:pPr>
      <w:r>
        <w:t>main: versión integrada y revisada para presentar.</w:t>
      </w:r>
    </w:p>
    <w:p>
      <w:pPr>
        <w:pStyle w:val="ListBullet"/>
        <w:spacing w:after="40"/>
      </w:pPr>
      <w:r>
        <w:t>Ramas breves por tarea, por ejemplo docs/plan-pruebas, docs/historias-casos o test/cypress-paciente.</w:t>
      </w:r>
    </w:p>
    <w:p>
      <w:pPr>
        <w:pStyle w:val="ListBullet"/>
        <w:spacing w:after="40"/>
      </w:pPr>
      <w:r>
        <w:t>Commits descriptivos y Pull Requests revisados por otra integrante, vinculados a HU, CP o tarea del tablero.</w:t>
      </w:r>
    </w:p>
    <w:p>
      <w:pPr>
        <w:pStyle w:val="ListBullet"/>
        <w:spacing w:after="40"/>
      </w:pPr>
      <w:r>
        <w:t>No subir contraseñas personales, archivos .env, información clínica real, node_modules, target ni resultados temporales.</w:t>
      </w:r>
    </w:p>
    <w:p>
      <w:pPr>
        <w:pStyle w:val="Heading1"/>
      </w:pPr>
      <w:r>
        <w:t>10. Entregables y evidencia para presentar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vAlign w:val="center"/>
            <w:shd w:fill="12304A"/>
          </w:tcPr>
          <w:p>
            <w:pPr>
              <w:spacing w:after="20" w:before="20"/>
            </w:pPr>
            <w:r/>
            <w:r>
              <w:rPr>
                <w:rFonts w:ascii="Aptos" w:hAnsi="Aptos"/>
                <w:b/>
                <w:color w:val="FFFFFF"/>
                <w:sz w:val="17"/>
              </w:rPr>
              <w:t>Entregable</w:t>
            </w:r>
          </w:p>
        </w:tc>
        <w:tc>
          <w:tcPr>
            <w:tcW w:type="dxa" w:w="4464"/>
            <w:vAlign w:val="center"/>
            <w:shd w:fill="12304A"/>
          </w:tcPr>
          <w:p>
            <w:pPr>
              <w:spacing w:after="20" w:before="20"/>
            </w:pPr>
            <w:r/>
            <w:r>
              <w:rPr>
                <w:rFonts w:ascii="Aptos" w:hAnsi="Aptos"/>
                <w:b/>
                <w:color w:val="FFFFFF"/>
                <w:sz w:val="17"/>
              </w:rPr>
              <w:t>Archivo de entrega</w:t>
            </w:r>
          </w:p>
        </w:tc>
        <w:tc>
          <w:tcPr>
            <w:tcW w:type="dxa" w:w="3888"/>
            <w:vAlign w:val="center"/>
            <w:shd w:fill="12304A"/>
          </w:tcPr>
          <w:p>
            <w:pPr>
              <w:spacing w:after="20" w:before="20"/>
            </w:pPr>
            <w:r/>
            <w:r>
              <w:rPr>
                <w:rFonts w:ascii="Aptos" w:hAnsi="Aptos"/>
                <w:b/>
                <w:color w:val="FFFFFF"/>
                <w:sz w:val="17"/>
              </w:rPr>
              <w:t>Uso durante la exposición</w:t>
            </w:r>
          </w:p>
        </w:tc>
      </w:tr>
      <w:tr>
        <w:tc>
          <w:tcPr>
            <w:tcW w:type="dxa" w:w="2376"/>
            <w:vAlign w:val="center"/>
          </w:tcPr>
          <w:p>
            <w:pPr>
              <w:spacing w:after="20" w:before="20"/>
            </w:pPr>
            <w:r/>
            <w:r>
              <w:rPr>
                <w:rFonts w:ascii="Aptos" w:hAnsi="Aptos"/>
                <w:b w:val="0"/>
                <w:color w:val="243746"/>
                <w:sz w:val="16"/>
              </w:rPr>
              <w:t>1. Plan de pruebas / smoke test</w:t>
            </w:r>
          </w:p>
        </w:tc>
        <w:tc>
          <w:tcPr>
            <w:tcW w:type="dxa" w:w="4464"/>
            <w:vAlign w:val="center"/>
          </w:tcPr>
          <w:p>
            <w:pPr>
              <w:spacing w:after="20" w:before="20"/>
            </w:pPr>
            <w:r/>
            <w:r>
              <w:rPr>
                <w:rFonts w:ascii="Aptos" w:hAnsi="Aptos"/>
                <w:b w:val="0"/>
                <w:color w:val="243746"/>
                <w:sz w:val="16"/>
              </w:rPr>
              <w:t>Este informe Word actualizado; fuentes complementarias docs/01-PLAN-DE-PRUEBAS.md y docs/05-TABLERO-SCRUM.md.</w:t>
            </w:r>
          </w:p>
        </w:tc>
        <w:tc>
          <w:tcPr>
            <w:tcW w:type="dxa" w:w="3888"/>
            <w:vAlign w:val="center"/>
          </w:tcPr>
          <w:p>
            <w:pPr>
              <w:spacing w:after="20" w:before="20"/>
            </w:pPr>
            <w:r/>
            <w:r>
              <w:rPr>
                <w:rFonts w:ascii="Aptos" w:hAnsi="Aptos"/>
                <w:b w:val="0"/>
                <w:color w:val="243746"/>
                <w:sz w:val="16"/>
              </w:rPr>
              <w:t>Explicar propósito, alcance, entorno, riesgos, tareas y resultados registrados.</w:t>
            </w:r>
          </w:p>
        </w:tc>
      </w:tr>
      <w:tr>
        <w:tc>
          <w:tcPr>
            <w:tcW w:type="dxa" w:w="2376"/>
            <w:vAlign w:val="center"/>
            <w:shd w:fill="F4F8FA"/>
          </w:tcPr>
          <w:p>
            <w:pPr>
              <w:spacing w:after="20" w:before="20"/>
            </w:pPr>
            <w:r/>
            <w:r>
              <w:rPr>
                <w:rFonts w:ascii="Aptos" w:hAnsi="Aptos"/>
                <w:b w:val="0"/>
                <w:color w:val="243746"/>
                <w:sz w:val="16"/>
              </w:rPr>
              <w:t>2. Historias y casos de prueba</w:t>
            </w:r>
          </w:p>
        </w:tc>
        <w:tc>
          <w:tcPr>
            <w:tcW w:type="dxa" w:w="4464"/>
            <w:vAlign w:val="center"/>
            <w:shd w:fill="F4F8FA"/>
          </w:tcPr>
          <w:p>
            <w:pPr>
              <w:spacing w:after="20" w:before="20"/>
            </w:pPr>
            <w:r/>
            <w:r>
              <w:rPr>
                <w:rFonts w:ascii="Aptos" w:hAnsi="Aptos"/>
                <w:b w:val="0"/>
                <w:color w:val="243746"/>
                <w:sz w:val="16"/>
              </w:rPr>
              <w:t>entregables/02-Historias-y-Casos-de-Prueba.xlsx.</w:t>
            </w:r>
          </w:p>
        </w:tc>
        <w:tc>
          <w:tcPr>
            <w:tcW w:type="dxa" w:w="3888"/>
            <w:vAlign w:val="center"/>
            <w:shd w:fill="F4F8FA"/>
          </w:tcPr>
          <w:p>
            <w:pPr>
              <w:spacing w:after="20" w:before="20"/>
            </w:pPr>
            <w:r/>
            <w:r>
              <w:rPr>
                <w:rFonts w:ascii="Aptos" w:hAnsi="Aptos"/>
                <w:b w:val="0"/>
                <w:color w:val="243746"/>
                <w:sz w:val="16"/>
              </w:rPr>
              <w:t>Mostrar HUs, criterios, casos, pasos, estados y trazabilidad.</w:t>
            </w:r>
          </w:p>
        </w:tc>
      </w:tr>
      <w:tr>
        <w:tc>
          <w:tcPr>
            <w:tcW w:type="dxa" w:w="2376"/>
            <w:vAlign w:val="center"/>
          </w:tcPr>
          <w:p>
            <w:pPr>
              <w:spacing w:after="20" w:before="20"/>
            </w:pPr>
            <w:r/>
            <w:r>
              <w:rPr>
                <w:rFonts w:ascii="Aptos" w:hAnsi="Aptos"/>
                <w:b w:val="0"/>
                <w:color w:val="243746"/>
                <w:sz w:val="16"/>
              </w:rPr>
              <w:t>3. Automatización Cypress</w:t>
            </w:r>
          </w:p>
        </w:tc>
        <w:tc>
          <w:tcPr>
            <w:tcW w:type="dxa" w:w="4464"/>
            <w:vAlign w:val="center"/>
          </w:tcPr>
          <w:p>
            <w:pPr>
              <w:spacing w:after="20" w:before="20"/>
            </w:pPr>
            <w:r/>
            <w:r>
              <w:rPr>
                <w:rFonts w:ascii="Aptos" w:hAnsi="Aptos"/>
                <w:b w:val="0"/>
                <w:color w:val="243746"/>
                <w:sz w:val="16"/>
              </w:rPr>
              <w:t>cypress/e2e/test.cy.js.</w:t>
            </w:r>
          </w:p>
        </w:tc>
        <w:tc>
          <w:tcPr>
            <w:tcW w:type="dxa" w:w="3888"/>
            <w:vAlign w:val="center"/>
          </w:tcPr>
          <w:p>
            <w:pPr>
              <w:spacing w:after="20" w:before="20"/>
            </w:pPr>
            <w:r/>
            <w:r>
              <w:rPr>
                <w:rFonts w:ascii="Aptos" w:hAnsi="Aptos"/>
                <w:b w:val="0"/>
                <w:color w:val="243746"/>
                <w:sz w:val="16"/>
              </w:rPr>
              <w:t>Abrir Cypress desde VS Code y demostrar CP-01 y la suite acordada.</w:t>
            </w:r>
          </w:p>
        </w:tc>
      </w:tr>
      <w:tr>
        <w:tc>
          <w:tcPr>
            <w:tcW w:type="dxa" w:w="2376"/>
            <w:vAlign w:val="center"/>
            <w:shd w:fill="F4F8FA"/>
          </w:tcPr>
          <w:p>
            <w:pPr>
              <w:spacing w:after="20" w:before="20"/>
            </w:pPr>
            <w:r/>
            <w:r>
              <w:rPr>
                <w:rFonts w:ascii="Aptos" w:hAnsi="Aptos"/>
                <w:b w:val="0"/>
                <w:color w:val="243746"/>
                <w:sz w:val="16"/>
              </w:rPr>
              <w:t>4. Exposición y organización</w:t>
            </w:r>
          </w:p>
        </w:tc>
        <w:tc>
          <w:tcPr>
            <w:tcW w:type="dxa" w:w="4464"/>
            <w:vAlign w:val="center"/>
            <w:shd w:fill="F4F8FA"/>
          </w:tcPr>
          <w:p>
            <w:pPr>
              <w:spacing w:after="20" w:before="20"/>
            </w:pPr>
            <w:r/>
            <w:r>
              <w:rPr>
                <w:rFonts w:ascii="Aptos" w:hAnsi="Aptos"/>
                <w:b w:val="0"/>
                <w:color w:val="243746"/>
                <w:sz w:val="16"/>
              </w:rPr>
              <w:t>entregables/04-Exposicion-Organizacion-Git.pptx; guía en docs/04-EXPOSICION-Y-ORGANIZACION-GIT.md.</w:t>
            </w:r>
          </w:p>
        </w:tc>
        <w:tc>
          <w:tcPr>
            <w:tcW w:type="dxa" w:w="3888"/>
            <w:vAlign w:val="center"/>
            <w:shd w:fill="F4F8FA"/>
          </w:tcPr>
          <w:p>
            <w:pPr>
              <w:spacing w:after="20" w:before="20"/>
            </w:pPr>
            <w:r/>
            <w:r>
              <w:rPr>
                <w:rFonts w:ascii="Aptos" w:hAnsi="Aptos"/>
                <w:b w:val="0"/>
                <w:color w:val="243746"/>
                <w:sz w:val="16"/>
              </w:rPr>
              <w:t>Presentar equipo, Scrum, cobertura, resultados, calendario y flujo de Git/GitHub.</w:t>
            </w:r>
          </w:p>
        </w:tc>
      </w:tr>
    </w:tbl>
    <w:p>
      <w:pPr>
        <w:spacing w:after="20"/>
      </w:pPr>
    </w:p>
    <w:p>
      <w:pPr>
        <w:pStyle w:val="Heading1"/>
      </w:pPr>
      <w:r>
        <w:t>Cierre</w:t>
      </w:r>
    </w:p>
    <w:p>
      <w:r>
        <w:t>El trabajo documenta una ruta verificable desde el entorno local hasta la automatización de los principales recorridos del portal. Antes de entregar, el equipo debe realizar la revisión final, actualizar los estados del cronograma y repetir Cypress en el mismo entorno de la presentación. La matriz Excel y el spec Cypress aportan el detalle operativo de cada caso.</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777"/>
        <w:sz w:val="16"/>
      </w:rPr>
      <w:t xml:space="preserve">SQA · Doctor Patient Portal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1D6A96"/>
        <w:sz w:val="16"/>
      </w:rPr>
      <w:t>UNIVALLE  /  ASEGURAMIENTO DE LA CALIDAD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1D6A96"/>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eastAsia="Aptos"/>
      <w:b/>
      <w:bCs/>
      <w:color w:val="1230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eastAsia="Aptos Display"/>
      <w:b w:val="0"/>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Doctor Patient Portal</dc:title>
  <dc:subject>Pruebas funcionales, smoke test y automatización E2E con Cypress</dc:subject>
  <dc:creator>Equipo SQA - Noemy Molina Garron, Wendy Ramirez Veizaga, Natalia Romero Cuqui y Alex Joshua Villegas Ibanez</dc:creator>
  <cp:keywords/>
  <dc:description>generated by python-docx</dc:description>
  <cp:lastModifiedBy/>
  <cp:revision>1</cp:revision>
  <dcterms:created xsi:type="dcterms:W3CDTF">2013-12-23T23:15:00Z</dcterms:created>
  <dcterms:modified xsi:type="dcterms:W3CDTF">2013-12-23T23:15:00Z</dcterms:modified>
  <cp:category/>
</cp:coreProperties>
</file>