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</w:pPr>
      <w:r>
        <w:rPr>
          <w:rFonts w:ascii="Aptos" w:hAnsi="Aptos"/>
          <w:b/>
          <w:color w:val="1D6A96"/>
          <w:sz w:val="24"/>
        </w:rPr>
        <w:t>INFORME DE PRUEBAS</w:t>
      </w:r>
    </w:p>
    <w:p>
      <w:pPr>
        <w:pStyle w:val="Title"/>
      </w:pPr>
      <w:r>
        <w:t>Plan de pruebas</w:t>
      </w:r>
    </w:p>
    <w:p>
      <w:pPr>
        <w:spacing w:after="340"/>
      </w:pPr>
      <w:r>
        <w:rPr>
          <w:color w:val="526777"/>
          <w:sz w:val="38"/>
        </w:rPr>
        <w:t>Doctor Patient Portal</w:t>
      </w:r>
    </w:p>
    <w:p>
      <w:pPr>
        <w:spacing w:after="520"/>
      </w:pPr>
      <w:r>
        <w:rPr>
          <w:color w:val="243746"/>
          <w:sz w:val="26"/>
        </w:rPr>
        <w:t>Pruebas funcionales y automatización E2E con Cypress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2232"/>
            <w:vAlign w:val="center"/>
            <w:shd w:fill="12304A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Dato del proyecto</w:t>
            </w:r>
          </w:p>
        </w:tc>
        <w:tc>
          <w:tcPr>
            <w:tcW w:type="dxa" w:w="8496"/>
            <w:vAlign w:val="center"/>
            <w:shd w:fill="12304A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Detalle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8"/>
              </w:rPr>
              <w:t>Asignatura</w:t>
            </w:r>
          </w:p>
        </w:tc>
        <w:tc>
          <w:tcPr>
            <w:tcW w:type="dxa" w:w="8496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8"/>
              </w:rPr>
              <w:t>Aseguramiento de la Calidad de Software</w:t>
            </w:r>
          </w:p>
        </w:tc>
      </w:tr>
      <w:tr>
        <w:tc>
          <w:tcPr>
            <w:tcW w:type="dxa" w:w="2232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8"/>
              </w:rPr>
              <w:t>Equipo</w:t>
            </w:r>
          </w:p>
        </w:tc>
        <w:tc>
          <w:tcPr>
            <w:tcW w:type="dxa" w:w="8496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8"/>
              </w:rPr>
              <w:t>Noemy Molina Garron · Wendy Ramirez Veizaga · Natalia Romero Cuqui · Alex Joshua Villegas Ibanez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8"/>
              </w:rPr>
              <w:t>Scrum Master</w:t>
            </w:r>
          </w:p>
        </w:tc>
        <w:tc>
          <w:tcPr>
            <w:tcW w:type="dxa" w:w="8496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8"/>
              </w:rPr>
              <w:t>Noemy Molina Garron</w:t>
            </w:r>
          </w:p>
        </w:tc>
      </w:tr>
      <w:tr>
        <w:tc>
          <w:tcPr>
            <w:tcW w:type="dxa" w:w="2232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8"/>
              </w:rPr>
              <w:t>Periodo de trabajo</w:t>
            </w:r>
          </w:p>
        </w:tc>
        <w:tc>
          <w:tcPr>
            <w:tcW w:type="dxa" w:w="8496"/>
            <w:vAlign w:val="center"/>
            <w:shd w:fill="F4F8FA"/>
          </w:tcPr>
          <w:p>
            <w:r>
              <w:t>12 al 19 de octubre de 2026 · presentación el 19/10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8"/>
              </w:rPr>
              <w:t>Entorno</w:t>
            </w:r>
          </w:p>
        </w:tc>
        <w:tc>
          <w:tcPr>
            <w:tcW w:type="dxa" w:w="8496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8"/>
              </w:rPr>
              <w:t>Aplicación Java/JSP y MySQL en Docker; Cypress desde VS Code</w:t>
            </w:r>
          </w:p>
        </w:tc>
      </w:tr>
    </w:tbl>
    <w:p>
      <w:pPr>
        <w:spacing w:after="20"/>
      </w:pPr>
    </w:p>
    <w:p>
      <w:pPr>
        <w:spacing w:before="160"/>
      </w:pPr>
      <w:r>
        <w:rPr>
          <w:color w:val="526777"/>
          <w:sz w:val="18"/>
        </w:rPr>
        <w:t>Versión de entrega · 14 de octubre de 2026</w:t>
      </w:r>
    </w:p>
    <w:p>
      <w:r>
        <w:br w:type="page"/>
      </w:r>
    </w:p>
    <w:p>
      <w:pPr>
        <w:pStyle w:val="Heading1"/>
      </w:pPr>
      <w:r>
        <w:t>Resumen ejecutivo</w:t>
      </w:r>
    </w:p>
    <w:p>
      <w:r>
        <w:t>Este informe define el alcance, los criterios y la forma de ejecutar las pruebas funcionales del Doctor Patient Portal. La práctica cubre los flujos de visitante, administrador, paciente y doctor; conecta 20 historias de usuario con 23 casos, de los cuales 22 son automatizables con Cypress y uno documenta una función que el producto no ofrece: registrar otro administrador.</w:t>
      </w:r>
    </w:p>
    <w:p>
      <w:r>
        <w:t>La ejecución local de Cypress registrada el 14 de octubre de 2026 obtuvo 22 casos aprobados, 0 fallidos y 0 pendientes. El resultado se presenta con su fecha como evidencia de la suite automatizada.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2880"/>
            <w:vAlign w:val="center"/>
            <w:shd w:fill="12304A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Indicador</w:t>
            </w:r>
          </w:p>
        </w:tc>
        <w:tc>
          <w:tcPr>
            <w:tcW w:type="dxa" w:w="7848"/>
            <w:vAlign w:val="center"/>
            <w:shd w:fill="12304A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Alcance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Historias de usuario</w:t>
            </w:r>
          </w:p>
        </w:tc>
        <w:tc>
          <w:tcPr>
            <w:tcW w:type="dxa" w:w="7848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20 (HU-01 a HU-20)</w:t>
            </w:r>
          </w:p>
        </w:tc>
      </w:tr>
      <w:tr>
        <w:tc>
          <w:tcPr>
            <w:tcW w:type="dxa" w:w="2880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Casos de prueba</w:t>
            </w:r>
          </w:p>
        </w:tc>
        <w:tc>
          <w:tcPr>
            <w:tcW w:type="dxa" w:w="7848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23 (CP-01 a CP-23)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Automatización</w:t>
            </w:r>
          </w:p>
        </w:tc>
        <w:tc>
          <w:tcPr>
            <w:tcW w:type="dxa" w:w="7848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22 casos; CP-23 queda como brecha funcional</w:t>
            </w:r>
          </w:p>
        </w:tc>
      </w:tr>
      <w:tr>
        <w:tc>
          <w:tcPr>
            <w:tcW w:type="dxa" w:w="2880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Smoke test</w:t>
            </w:r>
          </w:p>
        </w:tc>
        <w:tc>
          <w:tcPr>
            <w:tcW w:type="dxa" w:w="7848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CP-01: portada, navegación, contenido principal y carrusel</w:t>
            </w:r>
          </w:p>
        </w:tc>
      </w:tr>
      <w:tr>
        <w:tc>
          <w:tcPr>
            <w:tcW w:type="dxa" w:w="2880"/>
            <w:vAlign w:val="center"/>
          </w:tcPr>
          <w:p>
            <w:r>
              <w:t>Ejecución registrada (14/10/2026)</w:t>
            </w:r>
          </w:p>
        </w:tc>
        <w:tc>
          <w:tcPr>
            <w:tcW w:type="dxa" w:w="7848"/>
            <w:vAlign w:val="center"/>
          </w:tcPr>
          <w:p>
            <w:r>
              <w:t>22 aprobados · 0 fallidos · 0 pendientes</w:t>
            </w:r>
          </w:p>
        </w:tc>
      </w:tr>
    </w:tbl>
    <w:p>
      <w:pPr>
        <w:spacing w:after="20"/>
      </w:pPr>
    </w:p>
    <w:p>
      <w:pPr>
        <w:pStyle w:val="Heading1"/>
      </w:pPr>
      <w:r>
        <w:t>1. Propósito y objetivos</w:t>
      </w:r>
    </w:p>
    <w:p>
      <w:r>
        <w:t>Comprobar mediante pruebas funcionales que los recorridos principales del portal responden a lo esperado y preparar evidencia reproducible para la práctica.</w:t>
      </w:r>
    </w:p>
    <w:p>
      <w:pPr>
        <w:pStyle w:val="ListBullet"/>
        <w:spacing w:after="40"/>
      </w:pPr>
      <w:r>
        <w:t>Validar la disponibilidad básica de la portada y sus accesos con un smoke test.</w:t>
      </w:r>
    </w:p>
    <w:p>
      <w:pPr>
        <w:pStyle w:val="ListBullet"/>
        <w:spacing w:after="40"/>
      </w:pPr>
      <w:r>
        <w:t>Comprobar autenticación, autorización por rol, administración de especialistas y doctores, registro de pacientes y citas, atención médica y cierre de sesión.</w:t>
      </w:r>
    </w:p>
    <w:p>
      <w:pPr>
        <w:pStyle w:val="ListBullet"/>
        <w:spacing w:after="40"/>
      </w:pPr>
      <w:r>
        <w:t>Automatizar los caminos implementados con Cypress E2E y relacionar cada prueba con una HU y un CP.</w:t>
      </w:r>
    </w:p>
    <w:p>
      <w:pPr>
        <w:pStyle w:val="ListBullet"/>
        <w:spacing w:after="40"/>
      </w:pPr>
      <w:r>
        <w:t>Dejar documentadas las limitaciones funcionales y los pasos para reproducir el entorno en VS Code con Docker.</w:t>
      </w:r>
    </w:p>
    <w:p>
      <w:pPr>
        <w:pStyle w:val="Heading1"/>
      </w:pPr>
      <w:r>
        <w:t>2. Alcance de las pruebas</w:t>
      </w:r>
    </w:p>
    <w:p>
      <w:pPr>
        <w:pStyle w:val="Heading2"/>
      </w:pPr>
      <w:r>
        <w:t>Incluido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944"/>
            <w:vAlign w:val="center"/>
            <w:shd w:fill="12304A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Área / rol</w:t>
            </w:r>
          </w:p>
        </w:tc>
        <w:tc>
          <w:tcPr>
            <w:tcW w:type="dxa" w:w="8784"/>
            <w:vAlign w:val="center"/>
            <w:shd w:fill="12304A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Funciones verificadas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Visitante</w:t>
            </w:r>
          </w:p>
        </w:tc>
        <w:tc>
          <w:tcPr>
            <w:tcW w:type="dxa" w:w="8784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Portada, enlaces principales, contenido y carrusel; acceso al login al iniciar una cita.</w:t>
            </w:r>
          </w:p>
        </w:tc>
      </w:tr>
      <w:tr>
        <w:tc>
          <w:tcPr>
            <w:tcW w:type="dxa" w:w="1944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Administrador</w:t>
            </w:r>
          </w:p>
        </w:tc>
        <w:tc>
          <w:tcPr>
            <w:tcW w:type="dxa" w:w="8784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Login válido e inválido, contadores, alta de especialidad, alta/consulta/edición/eliminación de doctor, listado global y logout.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Paciente</w:t>
            </w:r>
          </w:p>
        </w:tc>
        <w:tc>
          <w:tcPr>
            <w:tcW w:type="dxa" w:w="8784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Registro, login, menú de cuenta, solicitud y consulta de citas, cambio de contraseña, logout y protección de páginas.</w:t>
            </w:r>
          </w:p>
        </w:tc>
      </w:tr>
      <w:tr>
        <w:tc>
          <w:tcPr>
            <w:tcW w:type="dxa" w:w="1944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Doctor</w:t>
            </w:r>
          </w:p>
        </w:tc>
        <w:tc>
          <w:tcPr>
            <w:tcW w:type="dxa" w:w="8784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Login, dashboard, lista y atención de pacientes, actualización de perfil y contraseña, logout y protección de páginas.</w:t>
            </w:r>
          </w:p>
        </w:tc>
      </w:tr>
    </w:tbl>
    <w:p>
      <w:pPr>
        <w:spacing w:after="20"/>
      </w:pPr>
    </w:p>
    <w:p>
      <w:pPr>
        <w:pStyle w:val="Heading2"/>
      </w:pPr>
      <w:r>
        <w:t>Fuera de alcance o no disponible</w:t>
      </w:r>
    </w:p>
    <w:p>
      <w:pPr>
        <w:pStyle w:val="ListBullet"/>
        <w:spacing w:after="40"/>
      </w:pPr>
      <w:r>
        <w:t>Registro de un segundo administrador: la versión revisada no ofrece formulario ni endpoint; se registra como CP-23, no como prueba aprobada.</w:t>
      </w:r>
    </w:p>
    <w:p>
      <w:pPr>
        <w:pStyle w:val="ListBullet"/>
        <w:spacing w:after="40"/>
      </w:pPr>
      <w:r>
        <w:t>Edición/eliminación de especialistas, recuperación de contraseña, rendimiento, seguridad avanzada, accesibilidad completa, concurrencia y validación exhaustiva de todas las combinaciones de datos.</w:t>
      </w:r>
    </w:p>
    <w:p>
      <w:pPr>
        <w:pStyle w:val="ListBullet"/>
        <w:spacing w:after="40"/>
      </w:pPr>
      <w:r>
        <w:t>El reporte no certifica que todos los defectos posibles estén cubiertos. Los casos recorren páginas y caminos funcionales principales.</w:t>
      </w:r>
    </w:p>
    <w:p>
      <w:pPr>
        <w:pStyle w:val="Heading1"/>
      </w:pPr>
      <w:r>
        <w:t>3. Estrategia y tipos de prueba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2016"/>
            <w:vAlign w:val="center"/>
            <w:shd w:fill="12304A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Tipo</w:t>
            </w:r>
          </w:p>
        </w:tc>
        <w:tc>
          <w:tcPr>
            <w:tcW w:type="dxa" w:w="8712"/>
            <w:vAlign w:val="center"/>
            <w:shd w:fill="12304A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Aplicación en esta práctica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Smoke</w:t>
            </w:r>
          </w:p>
        </w:tc>
        <w:tc>
          <w:tcPr>
            <w:tcW w:type="dxa" w:w="8712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CP-01 comprueba que la portada y navegación básica permiten iniciar una sesión de prueba.</w:t>
            </w:r>
          </w:p>
        </w:tc>
      </w:tr>
      <w:tr>
        <w:tc>
          <w:tcPr>
            <w:tcW w:type="dxa" w:w="2016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Funcional E2E</w:t>
            </w:r>
          </w:p>
        </w:tc>
        <w:tc>
          <w:tcPr>
            <w:tcW w:type="dxa" w:w="8712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Cypress ejecuta recorridos desde el navegador y valida respuestas visibles y cambios reflejados en listados.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Negativa</w:t>
            </w:r>
          </w:p>
        </w:tc>
        <w:tc>
          <w:tcPr>
            <w:tcW w:type="dxa" w:w="8712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CP-02, CP-09 y CP-17 verifican rechazo de credenciales inválidas; CP-14 y CP-20 validan la contraseña anterior.</w:t>
            </w:r>
          </w:p>
        </w:tc>
      </w:tr>
      <w:tr>
        <w:tc>
          <w:tcPr>
            <w:tcW w:type="dxa" w:w="2016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Regresión de sesión</w:t>
            </w:r>
          </w:p>
        </w:tc>
        <w:tc>
          <w:tcPr>
            <w:tcW w:type="dxa" w:w="8712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CP-07, CP-15 y CP-21 comprueban logout y redirección al intentar abrir páginas privadas.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Exploratoria/manual</w:t>
            </w:r>
          </w:p>
        </w:tc>
        <w:tc>
          <w:tcPr>
            <w:tcW w:type="dxa" w:w="8712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La revisión de tablas, formularios, disponibilidad del entorno y evidencias complementa la automatización.</w:t>
            </w:r>
          </w:p>
        </w:tc>
      </w:tr>
    </w:tbl>
    <w:p>
      <w:pPr>
        <w:spacing w:after="20"/>
      </w:pPr>
    </w:p>
    <w:p>
      <w:r>
        <w:t>El spec de Cypress está en cypress/e2e/test.cy.js. Cada título automatizado contiene su identificador CP; la matriz Excel conserva el detalle de precondiciones, datos, pasos, resultado esperado, resultado registrado y evidencia de trazabilidad.</w:t>
      </w:r>
    </w:p>
    <w:p>
      <w:pPr>
        <w:pStyle w:val="Heading1"/>
      </w:pPr>
      <w:r>
        <w:t>4. Entorno de pruebas y datos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2232"/>
            <w:vAlign w:val="center"/>
            <w:shd w:fill="12304A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Componente</w:t>
            </w:r>
          </w:p>
        </w:tc>
        <w:tc>
          <w:tcPr>
            <w:tcW w:type="dxa" w:w="8496"/>
            <w:vAlign w:val="center"/>
            <w:shd w:fill="12304A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Configuración de la práctica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Aplicación</w:t>
            </w:r>
          </w:p>
        </w:tc>
        <w:tc>
          <w:tcPr>
            <w:tcW w:type="dxa" w:w="8496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Doctor Patient Portal Java/JSP desplegado en Tomcat mediante Docker Compose. URL local: http://localhost:8080.</w:t>
            </w:r>
          </w:p>
        </w:tc>
      </w:tr>
      <w:tr>
        <w:tc>
          <w:tcPr>
            <w:tcW w:type="dxa" w:w="2232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Base de datos</w:t>
            </w:r>
          </w:p>
        </w:tc>
        <w:tc>
          <w:tcPr>
            <w:tcW w:type="dxa" w:w="8496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MySQL 8.0.28 en contenedor Docker; base hospital; esquema inicial ubicado en database/.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Automatización</w:t>
            </w:r>
          </w:p>
        </w:tc>
        <w:tc>
          <w:tcPr>
            <w:tcW w:type="dxa" w:w="8496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Cypress 16.1.1, spec E2E en el repositorio; ejecución en navegador Electron.</w:t>
            </w:r>
          </w:p>
        </w:tc>
      </w:tr>
      <w:tr>
        <w:tc>
          <w:tcPr>
            <w:tcW w:type="dxa" w:w="2232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Inicio desde VS Code</w:t>
            </w:r>
          </w:p>
        </w:tc>
        <w:tc>
          <w:tcPr>
            <w:tcW w:type="dxa" w:w="8496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Desde la raíz: docker compose up --build -d, revisar docker compose ps, luego npm run cy:open o npm run cy:run.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Login web admin</w:t>
            </w:r>
          </w:p>
        </w:tc>
        <w:tc>
          <w:tcPr>
            <w:tcW w:type="dxa" w:w="8496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La aplicación de esta versión usa admin@gmail.com / admin. La nota root/root no corresponde a este login.</w:t>
            </w:r>
          </w:p>
        </w:tc>
      </w:tr>
      <w:tr>
        <w:tc>
          <w:tcPr>
            <w:tcW w:type="dxa" w:w="2232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Datos de prueba</w:t>
            </w:r>
          </w:p>
        </w:tc>
        <w:tc>
          <w:tcPr>
            <w:tcW w:type="dxa" w:w="8496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Nombres/emails sintéticos únicos con dominio example.test; no usar datos personales o pacientes reales.</w:t>
            </w:r>
          </w:p>
        </w:tc>
      </w:tr>
    </w:tbl>
    <w:p>
      <w:pPr>
        <w:spacing w:after="20"/>
      </w:pPr>
    </w:p>
    <w:p>
      <w:r>
        <w:t>Las credenciales de la aplicación web y las credenciales de MySQL del contenedor son distintas. La configuración de MySQL debe revisarse en docker-compose.yml y no copiarse como credencial de usuario. El caso CP-22 elimina el doctor sintético generado por la suite; las demás altas de prueba pueden permanecer en el volumen local, por lo que el equipo debe mantener una base de práctica y no usar información real.</w:t>
      </w:r>
    </w:p>
    <w:p>
      <w:pPr>
        <w:pStyle w:val="Heading1"/>
      </w:pPr>
      <w:r>
        <w:t>5. Criterios de entrada, salida y suspensión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944"/>
            <w:vAlign w:val="center"/>
            <w:shd w:fill="12304A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Momento</w:t>
            </w:r>
          </w:p>
        </w:tc>
        <w:tc>
          <w:tcPr>
            <w:tcW w:type="dxa" w:w="8784"/>
            <w:vAlign w:val="center"/>
            <w:shd w:fill="12304A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Criterio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Entrada</w:t>
            </w:r>
          </w:p>
        </w:tc>
        <w:tc>
          <w:tcPr>
            <w:tcW w:type="dxa" w:w="8784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Docker Desktop disponible; contenedores app y MySQL activos; MySQL saludable; aplicación accesible; Cypress preparado en el proyecto; datos de prueba sintéticos.</w:t>
            </w:r>
          </w:p>
        </w:tc>
      </w:tr>
      <w:tr>
        <w:tc>
          <w:tcPr>
            <w:tcW w:type="dxa" w:w="1944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Salida</w:t>
            </w:r>
          </w:p>
        </w:tc>
        <w:tc>
          <w:tcPr>
            <w:tcW w:type="dxa" w:w="8784"/>
            <w:vAlign w:val="center"/>
            <w:shd w:fill="F4F8FA"/>
          </w:tcPr>
          <w:p>
            <w:r>
              <w:t>Casos ejecutados con fecha y resultado; fallos y brechas identificados; evidencia vinculada a CP.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Suspensión</w:t>
            </w:r>
          </w:p>
        </w:tc>
        <w:tc>
          <w:tcPr>
            <w:tcW w:type="dxa" w:w="8784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Aplicación no accesible, MySQL no saludable, Cypress sin binario local o datos/estado que impidan obtener un resultado confiable. Registrar el bloqueo y reanudar al restablecer el entorno.</w:t>
            </w:r>
          </w:p>
        </w:tc>
      </w:tr>
    </w:tbl>
    <w:p>
      <w:pPr>
        <w:spacing w:after="20"/>
      </w:pPr>
    </w:p>
    <w:p>
      <w:r>
        <w:t>No marcar como aprobado un caso no ejecutado. Para CP-23, la salida esperada es registrar que la función no existe en el producto bajo prueba.</w:t>
      </w:r>
    </w:p>
    <w:p>
      <w:pPr>
        <w:pStyle w:val="Heading1"/>
      </w:pPr>
      <w:r>
        <w:t>6. Resumen de historias y casos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1584"/>
            <w:vAlign w:val="center"/>
            <w:shd w:fill="12304A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HU</w:t>
            </w:r>
          </w:p>
        </w:tc>
        <w:tc>
          <w:tcPr>
            <w:tcW w:type="dxa" w:w="6696"/>
            <w:vAlign w:val="center"/>
            <w:shd w:fill="12304A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Flujo</w:t>
            </w:r>
          </w:p>
        </w:tc>
        <w:tc>
          <w:tcPr>
            <w:tcW w:type="dxa" w:w="2448"/>
            <w:vAlign w:val="center"/>
            <w:shd w:fill="12304A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Casos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HU-01</w:t>
            </w:r>
          </w:p>
        </w:tc>
        <w:tc>
          <w:tcPr>
            <w:tcW w:type="dxa" w:w="6696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Visitante: portada y accesos</w:t>
            </w:r>
          </w:p>
        </w:tc>
        <w:tc>
          <w:tcPr>
            <w:tcW w:type="dxa" w:w="2448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CP-01</w:t>
            </w:r>
          </w:p>
        </w:tc>
      </w:tr>
      <w:tr>
        <w:tc>
          <w:tcPr>
            <w:tcW w:type="dxa" w:w="1584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HU-02 a HU-06</w:t>
            </w:r>
          </w:p>
        </w:tc>
        <w:tc>
          <w:tcPr>
            <w:tcW w:type="dxa" w:w="6696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Administrador: login, dashboard, especialidades, doctores y logout</w:t>
            </w:r>
          </w:p>
        </w:tc>
        <w:tc>
          <w:tcPr>
            <w:tcW w:type="dxa" w:w="2448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CP-02 a CP-07, CP-22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HU-07 a HU-13</w:t>
            </w:r>
          </w:p>
        </w:tc>
        <w:tc>
          <w:tcPr>
            <w:tcW w:type="dxa" w:w="6696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Paciente: registro, login, cita, consulta, contraseña y logout</w:t>
            </w:r>
          </w:p>
        </w:tc>
        <w:tc>
          <w:tcPr>
            <w:tcW w:type="dxa" w:w="2448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CP-08 a CP-15</w:t>
            </w:r>
          </w:p>
        </w:tc>
      </w:tr>
      <w:tr>
        <w:tc>
          <w:tcPr>
            <w:tcW w:type="dxa" w:w="1584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HU-14</w:t>
            </w:r>
          </w:p>
        </w:tc>
        <w:tc>
          <w:tcPr>
            <w:tcW w:type="dxa" w:w="6696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Administrador: listado general de citas/pacientes</w:t>
            </w:r>
          </w:p>
        </w:tc>
        <w:tc>
          <w:tcPr>
            <w:tcW w:type="dxa" w:w="2448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CP-16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HU-15 a HU-19</w:t>
            </w:r>
          </w:p>
        </w:tc>
        <w:tc>
          <w:tcPr>
            <w:tcW w:type="dxa" w:w="6696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Doctor: login, dashboard, pacientes, perfil y logout</w:t>
            </w:r>
          </w:p>
        </w:tc>
        <w:tc>
          <w:tcPr>
            <w:tcW w:type="dxa" w:w="2448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CP-17 a CP-21</w:t>
            </w:r>
          </w:p>
        </w:tc>
      </w:tr>
      <w:tr>
        <w:tc>
          <w:tcPr>
            <w:tcW w:type="dxa" w:w="1584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HU-20</w:t>
            </w:r>
          </w:p>
        </w:tc>
        <w:tc>
          <w:tcPr>
            <w:tcW w:type="dxa" w:w="6696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Administrador: alta de otra cuenta (brecha no disponible)</w:t>
            </w:r>
          </w:p>
        </w:tc>
        <w:tc>
          <w:tcPr>
            <w:tcW w:type="dxa" w:w="2448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CP-23</w:t>
            </w:r>
          </w:p>
        </w:tc>
      </w:tr>
    </w:tbl>
    <w:p>
      <w:pPr>
        <w:spacing w:after="20"/>
      </w:pPr>
    </w:p>
    <w:p>
      <w:r>
        <w:t>El detalle completo de cada historia y caso está en entregables/02-Historias-y-Casos-de-Prueba.xlsx, con criterios de aceptación, prioridad, tipo, precondiciones, datos, pasos numerados, resultado esperado y evidencia. La misma matriz queda disponible en docs/02-HISTORIAS-Y-CASOS.md.</w:t>
      </w:r>
    </w:p>
    <w:p>
      <w:pPr>
        <w:pStyle w:val="Heading1"/>
      </w:pPr>
      <w:r>
        <w:t>7. Riesgos y respuestas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2232"/>
            <w:vAlign w:val="center"/>
            <w:shd w:fill="12304A"/>
          </w:tcPr>
          <w:p>
            <w:pPr>
              <w:spacing w:after="20" w:before="2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7"/>
              </w:rPr>
              <w:t>Riesgo</w:t>
            </w:r>
          </w:p>
        </w:tc>
        <w:tc>
          <w:tcPr>
            <w:tcW w:type="dxa" w:w="3096"/>
            <w:vAlign w:val="center"/>
            <w:shd w:fill="12304A"/>
          </w:tcPr>
          <w:p>
            <w:pPr>
              <w:spacing w:after="20" w:before="2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7"/>
              </w:rPr>
              <w:t>Efecto</w:t>
            </w:r>
          </w:p>
        </w:tc>
        <w:tc>
          <w:tcPr>
            <w:tcW w:type="dxa" w:w="5400"/>
            <w:vAlign w:val="center"/>
            <w:shd w:fill="12304A"/>
          </w:tcPr>
          <w:p>
            <w:r>
              <w:rPr>
                <w:b/>
                <w:color w:val="FFFFFF"/>
              </w:rPr>
              <w:t>Respuesta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Datos residuales en MySQL</w:t>
            </w:r>
          </w:p>
        </w:tc>
        <w:tc>
          <w:tcPr>
            <w:tcW w:type="dxa" w:w="3096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Duplicados o resultados distintos entre ejecuciones.</w:t>
            </w:r>
          </w:p>
        </w:tc>
        <w:tc>
          <w:tcPr>
            <w:tcW w:type="dxa" w:w="5400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Usar emails únicos example.test; limpiar solo registros sintéticos cuando sea necesario; no borrar el volumen sin respaldar datos requeridos.</w:t>
            </w:r>
          </w:p>
        </w:tc>
      </w:tr>
      <w:tr>
        <w:tc>
          <w:tcPr>
            <w:tcW w:type="dxa" w:w="2232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Entorno Docker no listo</w:t>
            </w:r>
          </w:p>
        </w:tc>
        <w:tc>
          <w:tcPr>
            <w:tcW w:type="dxa" w:w="3096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La suite falla antes de validar el flujo.</w:t>
            </w:r>
          </w:p>
        </w:tc>
        <w:tc>
          <w:tcPr>
            <w:tcW w:type="dxa" w:w="5400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Revisar docker compose ps, salud de MySQL y URL de la aplicación antes de abrir Cypress.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Cambios de datos durante pruebas de rol</w:t>
            </w:r>
          </w:p>
        </w:tc>
        <w:tc>
          <w:tcPr>
            <w:tcW w:type="dxa" w:w="3096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El orden puede influir en citas, doctor y contraseñas.</w:t>
            </w:r>
          </w:p>
        </w:tc>
        <w:tc>
          <w:tcPr>
            <w:tcW w:type="dxa" w:w="5400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Ejecutar la suite completa en una BD de práctica; no usar datos reales ni simultanear ediciones manuales.</w:t>
            </w:r>
          </w:p>
        </w:tc>
      </w:tr>
      <w:tr>
        <w:tc>
          <w:tcPr>
            <w:tcW w:type="dxa" w:w="2232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Funcionalidad incompleta</w:t>
            </w:r>
          </w:p>
        </w:tc>
        <w:tc>
          <w:tcPr>
            <w:tcW w:type="dxa" w:w="3096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Expectativas no cubiertas por la aplicación.</w:t>
            </w:r>
          </w:p>
        </w:tc>
        <w:tc>
          <w:tcPr>
            <w:tcW w:type="dxa" w:w="5400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Registrar una brecha por separado; CP-23 documenta la falta de alta de administradores.</w:t>
            </w:r>
          </w:p>
        </w:tc>
      </w:tr>
      <w:tr>
        <w:tc>
          <w:tcPr>
            <w:tcW w:type="dxa" w:w="2232"/>
            <w:vAlign w:val="center"/>
          </w:tcPr>
          <w:p>
            <w:r>
              <w:t>Alcance temporal del resultado</w:t>
            </w:r>
          </w:p>
        </w:tc>
        <w:tc>
          <w:tcPr>
            <w:tcW w:type="dxa" w:w="3096"/>
            <w:vAlign w:val="center"/>
          </w:tcPr>
          <w:p>
            <w:r>
              <w:t>Interpretar la cifra fuera de la ejecución documentada.</w:t>
            </w:r>
          </w:p>
        </w:tc>
        <w:tc>
          <w:tcPr>
            <w:tcW w:type="dxa" w:w="5400"/>
            <w:vAlign w:val="center"/>
          </w:tcPr>
          <w:p>
            <w:r>
              <w:t>Identificar fecha y versión de cada ejecución; distinguir evidencia medida de cobertura definida.</w:t>
            </w:r>
          </w:p>
        </w:tc>
      </w:tr>
    </w:tbl>
    <w:p>
      <w:pPr>
        <w:spacing w:after="20"/>
      </w:pPr>
    </w:p>
    <w:p>
      <w:pPr>
        <w:pStyle w:val="Heading1"/>
      </w:pPr>
      <w:r>
        <w:t>8. Equipo, Scrum y cronograma</w:t>
      </w:r>
    </w:p>
    <w:p>
      <w:r>
        <w:t>La práctica se organiza con Scrum ligero para priorizar historias, revisar avances e integrar los entregables. Noemy Molina Garron facilita el proceso como Scrum Master. Wendy Ramirez Veizaga concentra el plan y los flujos de administración; Natalia Romero Cuqui, las historias y casos de paciente; Alex Joshua Villegas Ibanez, los flujos de doctor y la exposición. La revisión cruzada involucra a todo el equipo.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3168"/>
            <w:vAlign w:val="center"/>
            <w:shd w:fill="12304A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Integrante</w:t>
            </w:r>
          </w:p>
        </w:tc>
        <w:tc>
          <w:tcPr>
            <w:tcW w:type="dxa" w:w="7560"/>
            <w:vAlign w:val="center"/>
            <w:shd w:fill="12304A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Responsabilidad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Noemy Molina Garron</w:t>
            </w:r>
          </w:p>
        </w:tc>
        <w:tc>
          <w:tcPr>
            <w:tcW w:type="dxa" w:w="7560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Scrum Master; facilitar reuniones, mantener visible el trabajo y ayudar a resolver impedimentos; apoyo en Docker/Cypress e integración.</w:t>
            </w:r>
          </w:p>
        </w:tc>
      </w:tr>
      <w:tr>
        <w:tc>
          <w:tcPr>
            <w:tcW w:type="dxa" w:w="3168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Wendy Ramirez Veizaga</w:t>
            </w:r>
          </w:p>
        </w:tc>
        <w:tc>
          <w:tcPr>
            <w:tcW w:type="dxa" w:w="7560"/>
            <w:vAlign w:val="center"/>
            <w:shd w:fill="F4F8FA"/>
          </w:tcPr>
          <w:p>
            <w:r>
              <w:t>Plan de pruebas, smoke test y revisión de administración.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Natalia Romero Cuqui</w:t>
            </w:r>
          </w:p>
        </w:tc>
        <w:tc>
          <w:tcPr>
            <w:tcW w:type="dxa" w:w="7560"/>
            <w:vAlign w:val="center"/>
          </w:tcPr>
          <w:p>
            <w:r>
              <w:t>Historias, casos y trazabilidad de paciente y citas.</w:t>
            </w:r>
          </w:p>
        </w:tc>
      </w:tr>
      <w:tr>
        <w:tc>
          <w:tcPr>
            <w:tcW w:type="dxa" w:w="3168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Alex Joshua Villegas Ibanez</w:t>
            </w:r>
          </w:p>
        </w:tc>
        <w:tc>
          <w:tcPr>
            <w:tcW w:type="dxa" w:w="7560"/>
            <w:vAlign w:val="center"/>
            <w:shd w:fill="F4F8FA"/>
          </w:tcPr>
          <w:p>
            <w:r>
              <w:t>Flujos de doctor, regresión y preparación de exposición.</w:t>
            </w:r>
          </w:p>
        </w:tc>
      </w:tr>
    </w:tbl>
    <w:p>
      <w:pPr>
        <w:spacing w:after="20"/>
      </w:pPr>
    </w:p>
    <w:p>
      <w:pPr>
        <w:pStyle w:val="Heading2"/>
        <w:pageBreakBefore/>
      </w:pPr>
      <w:r>
        <w:t>Responsabilidades por tarea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3528"/>
            <w:vAlign w:val="center"/>
            <w:shd w:fill="12304A"/>
          </w:tcPr>
          <w:p>
            <w:pPr>
              <w:spacing w:after="20" w:before="2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7"/>
              </w:rPr>
              <w:t>Bloque</w:t>
            </w:r>
          </w:p>
        </w:tc>
        <w:tc>
          <w:tcPr>
            <w:tcW w:type="dxa" w:w="2592"/>
            <w:vAlign w:val="center"/>
            <w:shd w:fill="12304A"/>
          </w:tcPr>
          <w:p>
            <w:pPr>
              <w:spacing w:after="20" w:before="2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7"/>
              </w:rPr>
              <w:t>Responsable</w:t>
            </w:r>
          </w:p>
        </w:tc>
        <w:tc>
          <w:tcPr>
            <w:tcW w:type="dxa" w:w="1440"/>
            <w:vAlign w:val="center"/>
            <w:shd w:fill="12304A"/>
          </w:tcPr>
          <w:p>
            <w:r>
              <w:rPr>
                <w:b/>
                <w:color w:val="FFFFFF"/>
              </w:rPr>
              <w:t>Fecha / hito</w:t>
            </w:r>
          </w:p>
        </w:tc>
        <w:tc>
          <w:tcPr>
            <w:tcW w:type="dxa" w:w="3168"/>
            <w:vAlign w:val="center"/>
            <w:shd w:fill="12304A"/>
          </w:tcPr>
          <w:p>
            <w:pPr>
              <w:spacing w:after="20" w:before="2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7"/>
              </w:rPr>
              <w:t>Criterio de aceptación</w:t>
            </w:r>
          </w:p>
        </w:tc>
      </w:tr>
      <w:tr>
        <w:tc>
          <w:tcPr>
            <w:tcW w:type="dxa" w:w="3528"/>
            <w:vAlign w:val="center"/>
          </w:tcPr>
          <w:p>
            <w:r>
              <w:t>SQA-01/02 · Scrum, entorno y guía VS Code</w:t>
            </w:r>
          </w:p>
        </w:tc>
        <w:tc>
          <w:tcPr>
            <w:tcW w:type="dxa" w:w="2592"/>
            <w:vAlign w:val="center"/>
          </w:tcPr>
          <w:p>
            <w:r>
              <w:t>Noemy Molina Garron</w:t>
            </w:r>
          </w:p>
        </w:tc>
        <w:tc>
          <w:tcPr>
            <w:tcW w:type="dxa" w:w="1440"/>
            <w:vAlign w:val="center"/>
          </w:tcPr>
          <w:p>
            <w:r>
              <w:t>12–18/10</w:t>
            </w:r>
          </w:p>
        </w:tc>
        <w:tc>
          <w:tcPr>
            <w:tcW w:type="dxa" w:w="3168"/>
            <w:vAlign w:val="center"/>
          </w:tcPr>
          <w:p>
            <w:r>
              <w:t>Tablero público con diez Issues; guía VS Code para Docker, MySQL y Cypress.</w:t>
            </w:r>
          </w:p>
        </w:tc>
      </w:tr>
      <w:tr>
        <w:tc>
          <w:tcPr>
            <w:tcW w:type="dxa" w:w="3528"/>
            <w:vAlign w:val="center"/>
            <w:shd w:fill="F4F8FA"/>
          </w:tcPr>
          <w:p>
            <w:r>
              <w:t>SQA-03/04 · plan, smoke y casos admin</w:t>
            </w:r>
          </w:p>
        </w:tc>
        <w:tc>
          <w:tcPr>
            <w:tcW w:type="dxa" w:w="2592"/>
            <w:vAlign w:val="center"/>
            <w:shd w:fill="F4F8FA"/>
          </w:tcPr>
          <w:p>
            <w:r>
              <w:t>Wendy Ramirez Veizaga</w:t>
            </w:r>
          </w:p>
        </w:tc>
        <w:tc>
          <w:tcPr>
            <w:tcW w:type="dxa" w:w="1440"/>
            <w:vAlign w:val="center"/>
            <w:shd w:fill="F4F8FA"/>
          </w:tcPr>
          <w:p>
            <w:r>
              <w:t>14–16/10</w:t>
            </w:r>
          </w:p>
        </w:tc>
        <w:tc>
          <w:tcPr>
            <w:tcW w:type="dxa" w:w="3168"/>
            <w:vAlign w:val="center"/>
            <w:shd w:fill="F4F8FA"/>
          </w:tcPr>
          <w:p>
            <w:r>
              <w:t>Informe Word y CP-01–CP-07 relacionados con el alcance y la aplicación.</w:t>
            </w:r>
          </w:p>
        </w:tc>
      </w:tr>
      <w:tr>
        <w:tc>
          <w:tcPr>
            <w:tcW w:type="dxa" w:w="3528"/>
            <w:vAlign w:val="center"/>
          </w:tcPr>
          <w:p>
            <w:r>
              <w:t>SQA-05/08 · historias, citas y matriz</w:t>
            </w:r>
          </w:p>
        </w:tc>
        <w:tc>
          <w:tcPr>
            <w:tcW w:type="dxa" w:w="2592"/>
            <w:vAlign w:val="center"/>
          </w:tcPr>
          <w:p>
            <w:r>
              <w:t>Natalia Romero Cuqui</w:t>
            </w:r>
          </w:p>
        </w:tc>
        <w:tc>
          <w:tcPr>
            <w:tcW w:type="dxa" w:w="1440"/>
            <w:vAlign w:val="center"/>
          </w:tcPr>
          <w:p>
            <w:r>
              <w:t>14–17/10</w:t>
            </w:r>
          </w:p>
        </w:tc>
        <w:tc>
          <w:tcPr>
            <w:tcW w:type="dxa" w:w="3168"/>
            <w:vAlign w:val="center"/>
          </w:tcPr>
          <w:p>
            <w:r>
              <w:t>Excel con 20 historias, 23 casos, datos sintéticos y trazabilidad.</w:t>
            </w:r>
          </w:p>
        </w:tc>
      </w:tr>
      <w:tr>
        <w:tc>
          <w:tcPr>
            <w:tcW w:type="dxa" w:w="3528"/>
            <w:vAlign w:val="center"/>
            <w:shd w:fill="F4F8FA"/>
          </w:tcPr>
          <w:p>
            <w:r>
              <w:t>SQA-06/09 · casos doctor y exposición</w:t>
            </w:r>
          </w:p>
        </w:tc>
        <w:tc>
          <w:tcPr>
            <w:tcW w:type="dxa" w:w="2592"/>
            <w:vAlign w:val="center"/>
            <w:shd w:fill="F4F8FA"/>
          </w:tcPr>
          <w:p>
            <w:r>
              <w:t>Alex Joshua Villegas Ibanez</w:t>
            </w:r>
          </w:p>
        </w:tc>
        <w:tc>
          <w:tcPr>
            <w:tcW w:type="dxa" w:w="1440"/>
            <w:vAlign w:val="center"/>
            <w:shd w:fill="F4F8FA"/>
          </w:tcPr>
          <w:p>
            <w:r>
              <w:t>15–18/10</w:t>
            </w:r>
          </w:p>
        </w:tc>
        <w:tc>
          <w:tcPr>
            <w:tcW w:type="dxa" w:w="3168"/>
            <w:vAlign w:val="center"/>
            <w:shd w:fill="F4F8FA"/>
          </w:tcPr>
          <w:p>
            <w:r>
              <w:t>CP-17–CP-21 documentados; presentación y guion oral organizados.</w:t>
            </w:r>
          </w:p>
        </w:tc>
      </w:tr>
      <w:tr>
        <w:tc>
          <w:tcPr>
            <w:tcW w:type="dxa" w:w="3528"/>
            <w:vAlign w:val="center"/>
          </w:tcPr>
          <w:p>
            <w:r>
              <w:t>SQA-07/10 · Cypress e integración</w:t>
            </w:r>
          </w:p>
        </w:tc>
        <w:tc>
          <w:tcPr>
            <w:tcW w:type="dxa" w:w="2592"/>
            <w:vAlign w:val="center"/>
          </w:tcPr>
          <w:p>
            <w:r>
              <w:t>Todo el equipo; facilita Noemy</w:t>
            </w:r>
          </w:p>
        </w:tc>
        <w:tc>
          <w:tcPr>
            <w:tcW w:type="dxa" w:w="1440"/>
            <w:vAlign w:val="center"/>
          </w:tcPr>
          <w:p>
            <w:r>
              <w:t>14–19/10</w:t>
            </w:r>
          </w:p>
        </w:tc>
        <w:tc>
          <w:tcPr>
            <w:tcW w:type="dxa" w:w="3168"/>
            <w:vAlign w:val="center"/>
          </w:tcPr>
          <w:p>
            <w:r>
              <w:t>Spec CP-01–CP-22; ejecución 14/10: 22 passing, 0 failing, 0 pending; cuatro archivos integrados.</w:t>
            </w:r>
          </w:p>
        </w:tc>
      </w:tr>
    </w:tbl>
    <w:p>
      <w:pPr>
        <w:spacing w:after="20"/>
      </w:pPr>
    </w:p>
    <w:p>
      <w:pPr>
        <w:pStyle w:val="Heading2"/>
      </w:pPr>
      <w:r>
        <w:t>Cronograma del equipo</w:t>
      </w: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1440"/>
            <w:vAlign w:val="center"/>
            <w:shd w:fill="12304A"/>
          </w:tcPr>
          <w:p>
            <w:pPr>
              <w:spacing w:after="20" w:before="20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7"/>
              </w:rPr>
              <w:t>Fecha</w:t>
            </w:r>
          </w:p>
        </w:tc>
        <w:tc>
          <w:tcPr>
            <w:tcW w:type="dxa" w:w="2880"/>
            <w:vAlign w:val="center"/>
            <w:shd w:fill="12304A"/>
          </w:tcPr>
          <w:p>
            <w:r>
              <w:rPr>
                <w:b/>
                <w:color w:val="FFFFFF"/>
              </w:rPr>
              <w:t>Actividad</w:t>
            </w:r>
          </w:p>
        </w:tc>
        <w:tc>
          <w:tcPr>
            <w:tcW w:type="dxa" w:w="6408"/>
            <w:vAlign w:val="center"/>
            <w:shd w:fill="12304A"/>
          </w:tcPr>
          <w:p>
            <w:r>
              <w:rPr>
                <w:b/>
                <w:color w:val="FFFFFF"/>
              </w:rPr>
              <w:t>Enfoque de trabajo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Lun 12/10</w:t>
            </w:r>
          </w:p>
        </w:tc>
        <w:tc>
          <w:tcPr>
            <w:tcW w:type="dxa" w:w="2880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Preparación del entorno</w:t>
            </w:r>
          </w:p>
        </w:tc>
        <w:tc>
          <w:tcPr>
            <w:tcW w:type="dxa" w:w="6408"/>
            <w:vAlign w:val="center"/>
          </w:tcPr>
          <w:p>
            <w:r>
              <w:t>Entorno Docker y MySQL levantado, según lo reportado por el equipo.</w:t>
            </w:r>
          </w:p>
        </w:tc>
      </w:tr>
      <w:tr>
        <w:tc>
          <w:tcPr>
            <w:tcW w:type="dxa" w:w="1440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Mié 14/10</w:t>
            </w:r>
          </w:p>
        </w:tc>
        <w:tc>
          <w:tcPr>
            <w:tcW w:type="dxa" w:w="2880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Planificación y refinamiento</w:t>
            </w:r>
          </w:p>
        </w:tc>
        <w:tc>
          <w:tcPr>
            <w:tcW w:type="dxa" w:w="6408"/>
            <w:vAlign w:val="center"/>
            <w:shd w:fill="F4F8FA"/>
          </w:tcPr>
          <w:p>
            <w:r>
              <w:t>Alcance, roles, prioridades, historias, casos y entregables.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Jue 15/10</w:t>
            </w:r>
          </w:p>
        </w:tc>
        <w:tc>
          <w:tcPr>
            <w:tcW w:type="dxa" w:w="2880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Seguimiento y revisión de casos</w:t>
            </w:r>
          </w:p>
        </w:tc>
        <w:tc>
          <w:tcPr>
            <w:tcW w:type="dxa" w:w="6408"/>
            <w:vAlign w:val="center"/>
          </w:tcPr>
          <w:p>
            <w:r>
              <w:t>Precondiciones, datos de prueba, pasos y resultados esperados.</w:t>
            </w:r>
          </w:p>
        </w:tc>
      </w:tr>
      <w:tr>
        <w:tc>
          <w:tcPr>
            <w:tcW w:type="dxa" w:w="1440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Vie 16/10</w:t>
            </w:r>
          </w:p>
        </w:tc>
        <w:tc>
          <w:tcPr>
            <w:tcW w:type="dxa" w:w="2880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Seguimiento de automatización</w:t>
            </w:r>
          </w:p>
        </w:tc>
        <w:tc>
          <w:tcPr>
            <w:tcW w:type="dxa" w:w="6408"/>
            <w:vAlign w:val="center"/>
            <w:shd w:fill="F4F8FA"/>
          </w:tcPr>
          <w:p>
            <w:r>
              <w:t>Relación entre los casos de prueba y la suite Cypress.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Sáb 17/10</w:t>
            </w:r>
          </w:p>
        </w:tc>
        <w:tc>
          <w:tcPr>
            <w:tcW w:type="dxa" w:w="2880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Revisión de documentos y evidencias</w:t>
            </w:r>
          </w:p>
        </w:tc>
        <w:tc>
          <w:tcPr>
            <w:tcW w:type="dxa" w:w="6408"/>
            <w:vAlign w:val="center"/>
          </w:tcPr>
          <w:p>
            <w:r>
              <w:t>Coherencia entre plan, matriz, automatización y evidencia.</w:t>
            </w:r>
          </w:p>
        </w:tc>
      </w:tr>
      <w:tr>
        <w:tc>
          <w:tcPr>
            <w:tcW w:type="dxa" w:w="1440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Dom 18/10</w:t>
            </w:r>
          </w:p>
        </w:tc>
        <w:tc>
          <w:tcPr>
            <w:tcW w:type="dxa" w:w="2880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Revisión final y ensayo</w:t>
            </w:r>
          </w:p>
        </w:tc>
        <w:tc>
          <w:tcPr>
            <w:tcW w:type="dxa" w:w="6408"/>
            <w:vAlign w:val="center"/>
            <w:shd w:fill="F4F8FA"/>
          </w:tcPr>
          <w:p>
            <w:r>
              <w:t>Integración de entregables y secuencia de exposición.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Lun 19/10</w:t>
            </w:r>
          </w:p>
        </w:tc>
        <w:tc>
          <w:tcPr>
            <w:tcW w:type="dxa" w:w="2880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Presentación</w:t>
            </w:r>
          </w:p>
        </w:tc>
        <w:tc>
          <w:tcPr>
            <w:tcW w:type="dxa" w:w="6408"/>
            <w:vAlign w:val="center"/>
          </w:tcPr>
          <w:p>
            <w:r>
              <w:t>Presentación de entorno, cobertura, resultados y organización Scrum/Git.</w:t>
            </w:r>
          </w:p>
        </w:tc>
      </w:tr>
    </w:tbl>
    <w:p>
      <w:pPr>
        <w:spacing w:after="20"/>
      </w:pPr>
    </w:p>
    <w:p>
      <w:r>
        <w:t>El cronograma del 12 al 19/10 describe la secuencia de actividades, desde el levantamiento del entorno hasta la exposición académica.</w:t>
      </w:r>
    </w:p>
    <w:p>
      <w:r>
        <w:br w:type="page"/>
      </w:r>
    </w:p>
    <w:p>
      <w:pPr>
        <w:pStyle w:val="Heading1"/>
      </w:pPr>
      <w:r>
        <w:t>9. Colaboración con Git y GitHub</w:t>
      </w:r>
    </w:p>
    <w:p>
      <w:r>
        <w:t>El repositorio público permite consultar archivos e Issues; cada integrante obtiene permiso de escritura mediante una invitación individual de GitHub.</w:t>
      </w:r>
    </w:p>
    <w:p>
      <w:pPr>
        <w:pStyle w:val="ListBullet"/>
        <w:spacing w:after="40"/>
      </w:pPr>
      <w:r>
        <w:t>main: versión integrada y revisada para presentar.</w:t>
      </w:r>
    </w:p>
    <w:p>
      <w:pPr>
        <w:pStyle w:val="ListBullet"/>
        <w:spacing w:after="40"/>
      </w:pPr>
      <w:r>
        <w:t>Ramas breves por tarea, por ejemplo docs/plan-pruebas, docs/historias-casos o test/cypress-paciente.</w:t>
      </w:r>
    </w:p>
    <w:p>
      <w:pPr>
        <w:pStyle w:val="ListBullet"/>
        <w:spacing w:after="40"/>
      </w:pPr>
      <w:r>
        <w:t>Commits descriptivos y Pull Requests revisados por otra integrante, vinculados a HU, CP o tarea del tablero.</w:t>
      </w:r>
    </w:p>
    <w:p>
      <w:pPr>
        <w:pStyle w:val="ListBullet"/>
        <w:spacing w:after="40"/>
      </w:pPr>
      <w:r>
        <w:t>No subir contraseñas personales, archivos .env, información clínica real, node_modules, target ni resultados temporales.</w:t>
      </w:r>
    </w:p>
    <w:p>
      <w:pPr>
        <w:pStyle w:val="Heading1"/>
      </w:pPr>
      <w:r>
        <w:t>10. Entregables y evidencia para presentar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2376"/>
            <w:vAlign w:val="center"/>
            <w:shd w:fill="12304A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Entregable</w:t>
            </w:r>
          </w:p>
        </w:tc>
        <w:tc>
          <w:tcPr>
            <w:tcW w:type="dxa" w:w="4464"/>
            <w:vAlign w:val="center"/>
            <w:shd w:fill="12304A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Archivo de entrega</w:t>
            </w:r>
          </w:p>
        </w:tc>
        <w:tc>
          <w:tcPr>
            <w:tcW w:type="dxa" w:w="3888"/>
            <w:vAlign w:val="center"/>
            <w:shd w:fill="12304A"/>
          </w:tcPr>
          <w:p>
            <w:pPr>
              <w:spacing w:after="20" w:before="2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Uso durante la exposición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1. Plan de pruebas / smoke test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Este informe Word actualizado; fuentes complementarias docs/01-PLAN-DE-PRUEBAS.md y docs/05-TABLERO-SCRUM.md.</w:t>
            </w:r>
          </w:p>
        </w:tc>
        <w:tc>
          <w:tcPr>
            <w:tcW w:type="dxa" w:w="3888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Explicar propósito, alcance, entorno, riesgos, tareas y resultados registrados.</w:t>
            </w:r>
          </w:p>
        </w:tc>
      </w:tr>
      <w:tr>
        <w:tc>
          <w:tcPr>
            <w:tcW w:type="dxa" w:w="2376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2. Historias y casos de prueba</w:t>
            </w:r>
          </w:p>
        </w:tc>
        <w:tc>
          <w:tcPr>
            <w:tcW w:type="dxa" w:w="4464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entregables/02-Historias-y-Casos-de-Prueba.xlsx.</w:t>
            </w:r>
          </w:p>
        </w:tc>
        <w:tc>
          <w:tcPr>
            <w:tcW w:type="dxa" w:w="3888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Mostrar HUs, criterios, casos, pasos, estados y trazabilidad.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3. Automatización Cypress</w:t>
            </w:r>
          </w:p>
        </w:tc>
        <w:tc>
          <w:tcPr>
            <w:tcW w:type="dxa" w:w="4464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cypress/e2e/test.cy.js.</w:t>
            </w:r>
          </w:p>
        </w:tc>
        <w:tc>
          <w:tcPr>
            <w:tcW w:type="dxa" w:w="3888"/>
            <w:vAlign w:val="center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Abrir Cypress desde VS Code y demostrar CP-01 y la suite acordada.</w:t>
            </w:r>
          </w:p>
        </w:tc>
      </w:tr>
      <w:tr>
        <w:tc>
          <w:tcPr>
            <w:tcW w:type="dxa" w:w="2376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4. Exposición y organización</w:t>
            </w:r>
          </w:p>
        </w:tc>
        <w:tc>
          <w:tcPr>
            <w:tcW w:type="dxa" w:w="4464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entregables/04-Exposicion-Organizacion-Git.pptx; guía en docs/04-EXPOSICION-Y-ORGANIZACION-GIT.md.</w:t>
            </w:r>
          </w:p>
        </w:tc>
        <w:tc>
          <w:tcPr>
            <w:tcW w:type="dxa" w:w="3888"/>
            <w:vAlign w:val="center"/>
            <w:shd w:fill="F4F8FA"/>
          </w:tcPr>
          <w:p>
            <w:pPr>
              <w:spacing w:after="20" w:before="20"/>
            </w:pPr>
            <w:r/>
            <w:r>
              <w:rPr>
                <w:rFonts w:ascii="Aptos" w:hAnsi="Aptos"/>
                <w:b w:val="0"/>
                <w:color w:val="243746"/>
                <w:sz w:val="16"/>
              </w:rPr>
              <w:t>Presentar equipo, Scrum, cobertura, resultados, calendario y flujo de Git/GitHub.</w:t>
            </w:r>
          </w:p>
        </w:tc>
      </w:tr>
    </w:tbl>
    <w:p>
      <w:pPr>
        <w:spacing w:after="20"/>
      </w:pPr>
    </w:p>
    <w:p>
      <w:pPr>
        <w:pStyle w:val="Heading1"/>
      </w:pPr>
      <w:r>
        <w:t>Cierre</w:t>
      </w:r>
    </w:p>
    <w:p>
      <w:r>
        <w:t>La versión de entrega integra el plan de pruebas, 20 historias de usuario, 23 casos, 22 escenarios automatizados y la exposición del equipo. La ejecución documentada el 14 de octubre de 2026 obtuvo 22 aprobados, 0 fallidos y 0 pendientes. CP-23 identifica como brecha el registro de otra cuenta administrativa, función ausente de la versión evaluada.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123" w:bottom="936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26777"/>
        <w:sz w:val="16"/>
      </w:rPr>
      <w:t xml:space="preserve">SQA · Doctor Patient Portal  |  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ptos" w:hAnsi="Aptos"/>
        <w:b/>
        <w:color w:val="1D6A96"/>
        <w:sz w:val="16"/>
      </w:rPr>
      <w:t>UNIVALLE  /  ASEGURAMIENTO DE LA CALIDAD DE SOFTWARE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 w:eastAsia="Aptos"/>
      <w:color w:val="243746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2304A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D6A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0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12304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 w:val="0"/>
      <w:color w:val="12304A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pruebas - Doctor Patient Portal</dc:title>
  <dc:subject>Pruebas funcionales, smoke test y automatización E2E con Cypress</dc:subject>
  <dc:creator>Equipo SQA - Noemy Molina Garron, Wendy Ramirez Veizaga, Natalia Romero Cuqui y Alex Joshua Villegas Ibanez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