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X"/>
        <w:spacing w:before="0" w:after="40" w:line="269" w:lineRule="auto"/>
      </w:pPr>
      <w:r>
        <w:t>문서 기준 vs OpenAPI vs DDL 재대조표</w:t>
      </w:r>
    </w:p>
    <w:p>
      <w:pPr>
        <w:pStyle w:val="SubX"/>
        <w:spacing w:before="0" w:after="160" w:line="269" w:lineRule="auto"/>
      </w:pPr>
      <w:r>
        <w:t>Event-Driven Product Ops Backbone · 구현 직전 정합성 체크</w:t>
      </w:r>
    </w:p>
    <w:p>
      <w:pPr>
        <w:pStyle w:val="H2X"/>
        <w:spacing w:before="0" w:after="40" w:line="269" w:lineRule="auto"/>
      </w:pPr>
      <w:r>
        <w:t>문서 목적</w:t>
      </w:r>
    </w:p>
    <w:p>
      <w:pPr>
        <w:spacing w:before="0" w:after="120" w:line="269" w:lineRule="auto"/>
      </w:pPr>
      <w:r>
        <w:t>이 문서는 실행 기준 문서 v2.1 정정본, OpenAPI v0.2, Aurora DDL v2.0, ClickHouse DDL v2.1 사이의 핵심 정합성을 한 장에서 확인하기 위한 재대조표다. 목표는 새 설계를 만드는 것이 아니라, 이미 고정된 기준선이 실제 구현 문서와 충돌 없이 맞물리는지 최종 확인하는 것이다.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NoteX"/>
            </w:pPr>
            <w:r>
              <w:t>판정 요약: 치명적 구조 충돌은 없다. 남은 일은 OpenAPI v0.2의 반영 항목을 구현 문서 수준으로 굳히고, 운영/복구 플레이북과 함께 배포 전 기준선으로 잠그는 것이다.</w:t>
            </w:r>
          </w:p>
        </w:tc>
      </w:tr>
    </w:tbl>
    <w:p/>
    <w:p>
      <w:pPr>
        <w:pStyle w:val="H1X"/>
        <w:spacing w:before="0" w:after="80" w:line="269" w:lineRule="auto"/>
      </w:pPr>
      <w:r>
        <w:t>1. 핵심 정합성 대조표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항목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실행 기준 문서 v2.1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OpenAPI v0.2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DDL / 저장소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D9E2F3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판정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프로젝트 정체성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release-to-issue traceability 중심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Dashboard / Trace / Issue / Run API 구조로 반영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Aurora 정본 + CH 분석 저장소로 구현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MVP 본체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intake, Event+Issue intake, Reliable processing, Dashboard, Evidence, 최소 ops action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intake API 3종 + 조회/액션 API 포함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 / trace / evidence / prod_change / issue / CH anomaly layer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 상태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MVP에서 suspected 단일 상태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TraceStatus enum = suspected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trace.status 저장소 enum은 미래 상태 포함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 (저장소 상위 호환)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 상태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retried는 상태값이 아니라 운영 행동 의미로 정정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RunStatus enum = pending/processing/completed/failed/dlq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run.status CHECK 동일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Trace↔Issue 관계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개념상 여러 issue 가능, 현재 물리 모델은 대표 issue anchor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GET /traces/{trace_id}/primary-issue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trace.primary_issue_id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Anomaly 위치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도메인 엔티티 아님, 패턴으로 해석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anomaly_markers / anomaly summary projection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 anomaly_detection_results + anomaly_trace_link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Change marker source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변경의 기준점은 change 정본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dashboard timeline 설명에 Aurora source 명시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Aurora prod_change, CH prod_change_cdc는 복제본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Retry / Reprocess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새 run 생성 후 후행 처리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new_run_id 반환, 비동기 accepted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 + run_state_log + worker/배치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</w:t>
            </w:r>
          </w:p>
        </w:tc>
      </w:tr>
      <w:tr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Evidence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Trace 1:N 근거 본체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/traces/{trace_id}/evidences 별도 API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evidence append-only</w:t>
            </w:r>
          </w:p>
        </w:tc>
        <w:tc>
          <w:tcPr>
            <w:tcW w:type="dxa" w:w="207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정합</w:t>
            </w:r>
          </w:p>
        </w:tc>
      </w:tr>
    </w:tbl>
    <w:p/>
    <w:p>
      <w:pPr>
        <w:pStyle w:val="H1X"/>
        <w:spacing w:before="0" w:after="80" w:line="269" w:lineRule="auto"/>
      </w:pPr>
      <w:r>
        <w:t>2. 아직 구현 문서에서 반드시 유지해야 할 규칙</w:t>
      </w:r>
    </w:p>
    <w:p>
      <w:pPr>
        <w:pStyle w:val="ListBullet"/>
        <w:spacing w:after="20" w:line="259" w:lineRule="auto"/>
      </w:pPr>
      <w:r>
        <w:t>issues intake는 (source, external_id) 또는 idempotency_key 기준 중복 방지</w:t>
      </w:r>
    </w:p>
    <w:p>
      <w:pPr>
        <w:pStyle w:val="ListBullet"/>
        <w:spacing w:after="20" w:line="259" w:lineRule="auto"/>
      </w:pPr>
      <w:r>
        <w:t>events intake는 event_id 기준 idempotent 처리</w:t>
      </w:r>
    </w:p>
    <w:p>
      <w:pPr>
        <w:pStyle w:val="ListBullet"/>
        <w:spacing w:after="20" w:line="259" w:lineRule="auto"/>
      </w:pPr>
      <w:r>
        <w:t>retry와 reprocess는 idempotency_key를 받아 같은 의도 재요청 시 같은 new_run_id를 반환하거나 active run을 재사용</w:t>
      </w:r>
    </w:p>
    <w:p>
      <w:pPr>
        <w:pStyle w:val="ListBullet"/>
        <w:spacing w:after="20" w:line="259" w:lineRule="auto"/>
      </w:pPr>
      <w:r>
        <w:t>PATCH /issues/{issue_id}/status는 expected_version 기반 낙관적 잠금을 사용</w:t>
      </w:r>
    </w:p>
    <w:p>
      <w:pPr>
        <w:pStyle w:val="ListBullet"/>
        <w:spacing w:after="20" w:line="259" w:lineRule="auto"/>
      </w:pPr>
      <w:r>
        <w:t>trace 생성과 evidence 생성은 같은 Aurora 트랜잭션 안에서 처리</w:t>
      </w:r>
    </w:p>
    <w:p>
      <w:pPr>
        <w:pStyle w:val="ListBullet"/>
        <w:spacing w:after="20" w:line="259" w:lineRule="auto"/>
      </w:pPr>
      <w:r>
        <w:t>ClickHouse anomaly_trace_link는 Aurora commit 이후 후행 처리</w:t>
      </w:r>
    </w:p>
    <w:p>
      <w:pPr>
        <w:pStyle w:val="ListBullet"/>
        <w:spacing w:after="20" w:line="259" w:lineRule="auto"/>
      </w:pPr>
      <w:r>
        <w:t>raw payload/body/reporter/title은 로그·에러 응답·X-Ray에 그대로 남기지 않음</w:t>
      </w:r>
    </w:p>
    <w:p>
      <w:pPr>
        <w:pStyle w:val="H1X"/>
        <w:spacing w:before="0" w:after="80" w:line="269" w:lineRule="auto"/>
      </w:pPr>
      <w:r>
        <w:t>3. 저장소 역할 대조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레이어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주 역할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대표 객체 / 테이블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E2F0D9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비고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Aurora PostgreSQL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운영 정본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prod_change, issue, run, run_state_log, trace, evidence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권한 분리 및 append-only 원칙 적용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ClickHouse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이벤트/집계/탐지/CDC 분석 저장소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events_raw, events_agg_1m, anomaly_detection_results, anomaly_trace_link, prod_change_cdc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부분 실패는 복구 가능한 read-model failure로 분류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OpenAPI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운영자 콘솔과 intake 계약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조회 API + 액션 API + intake API</w:t>
            </w:r>
          </w:p>
        </w:tc>
        <w:tc>
          <w:tcPr>
            <w:tcW w:type="dxa" w:w="259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저장소 구조를 직접 노출하지 않고 계약으로 정리</w:t>
            </w:r>
          </w:p>
        </w:tc>
      </w:tr>
    </w:tbl>
    <w:p/>
    <w:p>
      <w:pPr>
        <w:pStyle w:val="H1X"/>
        <w:spacing w:before="0" w:after="80" w:line="269" w:lineRule="auto"/>
      </w:pPr>
      <w:r>
        <w:t>4. 남아 있는 후속 작업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FFF2CC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작업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FFF2CC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상태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  <w:shd w:fill="FFF2CC"/>
          </w:tcPr>
          <w:p>
            <w:pPr>
              <w:spacing w:after="0" w:line="254" w:lineRule="auto"/>
            </w:pPr>
            <w:r>
              <w:rPr>
                <w:rFonts w:ascii="Aptos" w:hAnsi="Aptos"/>
                <w:b/>
                <w:sz w:val="18"/>
              </w:rPr>
              <w:t>비고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OpenAPI v0.2를 최종 구현 문서로 잠금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진행 중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현재 YAML 검증 통과본 존재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운영·복구 플레이북 배포 기준선화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완료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schema change / CDC 장애 / GDPR 삭제 포함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실행 기준 문서 v2.1 정정본 반영 완료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완료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Run.status, Trace 범위, 관계 표현 정리</w:t>
            </w:r>
          </w:p>
        </w:tc>
      </w:tr>
      <w:tr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최종 코드/리소스 구현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다음 단계</w:t>
            </w:r>
          </w:p>
        </w:tc>
        <w:tc>
          <w:tcPr>
            <w:tcW w:type="dxa" w:w="345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4" w:lineRule="auto"/>
            </w:pPr>
            <w:r>
              <w:rPr>
                <w:rFonts w:ascii="Aptos" w:hAnsi="Aptos"/>
                <w:sz w:val="18"/>
              </w:rPr>
              <w:t>API, worker, validation, idempotency, role 분리 반영 필요</w:t>
            </w:r>
          </w:p>
        </w:tc>
      </w:tr>
    </w:tbl>
    <w:p/>
    <w:p>
      <w:pPr>
        <w:pStyle w:val="H1X"/>
        <w:spacing w:before="0" w:after="80" w:line="269" w:lineRule="auto"/>
      </w:pPr>
      <w:r>
        <w:t>5. 최종 결론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3F6FA"/>
            <w:tcMar>
              <w:top w:w="105" w:type="dxa"/>
              <w:start w:w="130" w:type="dxa"/>
              <w:bottom w:w="105" w:type="dxa"/>
              <w:end w:w="130" w:type="dxa"/>
            </w:tcMar>
          </w:tcPr>
          <w:p>
            <w:pPr>
              <w:pStyle w:val="NoteX"/>
            </w:pPr>
            <w:r>
              <w:t>현재 개인플 설계는 상위 문서, API 계약, DDL, 운영 플레이북 사이에 큰 모순 없이 정렬되어 있다. 따라서 다음 단계는 추가적인 방향 논쟁이 아니라, 이미 합의된 규칙을 구현 코드와 인프라 설정에 정확히 반영하는 것이다.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X">
    <w:name w:val="TitleX"/>
    <w:rPr>
      <w:rFonts w:ascii="Aptos" w:hAnsi="Aptos"/>
      <w:b/>
      <w:color w:val="1F365C"/>
      <w:sz w:val="40"/>
    </w:rPr>
  </w:style>
  <w:style w:type="paragraph" w:customStyle="1" w:styleId="SubX">
    <w:name w:val="SubX"/>
    <w:rPr>
      <w:rFonts w:ascii="Aptos" w:hAnsi="Aptos"/>
      <w:b w:val="0"/>
      <w:color w:val="5F5F5F"/>
      <w:sz w:val="20"/>
    </w:rPr>
  </w:style>
  <w:style w:type="paragraph" w:customStyle="1" w:styleId="H1X">
    <w:name w:val="H1X"/>
    <w:rPr>
      <w:rFonts w:ascii="Aptos" w:hAnsi="Aptos"/>
      <w:b/>
      <w:color w:val="284E80"/>
      <w:sz w:val="29"/>
    </w:rPr>
  </w:style>
  <w:style w:type="paragraph" w:customStyle="1" w:styleId="H2X">
    <w:name w:val="H2X"/>
    <w:rPr>
      <w:rFonts w:ascii="Aptos" w:hAnsi="Aptos"/>
      <w:b/>
      <w:color w:val="3C3C3C"/>
      <w:sz w:val="22"/>
    </w:rPr>
  </w:style>
  <w:style w:type="paragraph" w:customStyle="1" w:styleId="NoteX">
    <w:name w:val="NoteX"/>
    <w:rPr>
      <w:rFonts w:ascii="Aptos" w:hAnsi="Aptos"/>
      <w:b w:val="0"/>
      <w:color w:val="5F5F5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