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65A1" w14:textId="280D46F6" w:rsidR="009E175E" w:rsidRPr="00A062D0" w:rsidRDefault="00A062D0">
      <w:pPr>
        <w:rPr>
          <w:rFonts w:ascii="Times New Roman" w:hAnsi="Times New Roman" w:cs="Times New Roman"/>
          <w:color w:val="000000"/>
        </w:rPr>
      </w:pPr>
      <w:r w:rsidRPr="00A062D0">
        <w:rPr>
          <w:rFonts w:ascii="Times New Roman" w:hAnsi="Times New Roman" w:cs="Times New Roman"/>
          <w:color w:val="000000"/>
        </w:rPr>
        <w:t>Table 1: Balance Table of Treatment and Control Groups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810"/>
        <w:gridCol w:w="881"/>
        <w:gridCol w:w="1044"/>
      </w:tblGrid>
      <w:tr w:rsidR="000D06F3" w:rsidRPr="00A062D0" w14:paraId="1311FA08" w14:textId="77777777" w:rsidTr="000D06F3">
        <w:trPr>
          <w:trHeight w:val="531"/>
        </w:trPr>
        <w:tc>
          <w:tcPr>
            <w:tcW w:w="144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33C37B3" w14:textId="77777777" w:rsidR="000D06F3" w:rsidRPr="000D06F3" w:rsidRDefault="000D06F3" w:rsidP="007A7275">
            <w:pPr>
              <w:spacing w:after="200"/>
              <w:rPr>
                <w:rFonts w:ascii="Times New Roman" w:eastAsia="Cambria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81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831BDBF" w14:textId="77777777" w:rsidR="000D06F3" w:rsidRPr="000D06F3" w:rsidRDefault="000D06F3" w:rsidP="007A7275">
            <w:pPr>
              <w:pStyle w:val="Comp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Control</w:t>
            </w:r>
          </w:p>
        </w:tc>
        <w:tc>
          <w:tcPr>
            <w:tcW w:w="881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37491B8F" w14:textId="77777777" w:rsidR="000D06F3" w:rsidRPr="000D06F3" w:rsidRDefault="000D06F3" w:rsidP="007A7275">
            <w:pPr>
              <w:pStyle w:val="Comp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Treatment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AB30841" w14:textId="77777777" w:rsidR="000D06F3" w:rsidRPr="000D06F3" w:rsidRDefault="000D06F3" w:rsidP="007A7275">
            <w:pPr>
              <w:pStyle w:val="Comp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</w:tr>
      <w:tr w:rsidR="000D06F3" w:rsidRPr="00A062D0" w14:paraId="7C557AF9" w14:textId="77777777" w:rsidTr="000D06F3">
        <w:trPr>
          <w:trHeight w:val="327"/>
        </w:trPr>
        <w:tc>
          <w:tcPr>
            <w:tcW w:w="1440" w:type="dxa"/>
            <w:shd w:val="clear" w:color="auto" w:fill="auto"/>
          </w:tcPr>
          <w:p w14:paraId="33B1B22A" w14:textId="2BF68C65" w:rsidR="000D06F3" w:rsidRPr="000D06F3" w:rsidRDefault="000D06F3" w:rsidP="007A7275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Academic</w:t>
            </w: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Quality</w:t>
            </w:r>
          </w:p>
        </w:tc>
        <w:tc>
          <w:tcPr>
            <w:tcW w:w="810" w:type="dxa"/>
            <w:shd w:val="clear" w:color="auto" w:fill="auto"/>
          </w:tcPr>
          <w:p w14:paraId="430CC402" w14:textId="77777777" w:rsidR="000D06F3" w:rsidRPr="000D06F3" w:rsidRDefault="000D06F3" w:rsidP="007A7275">
            <w:pPr>
              <w:pStyle w:val="Comp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0.515</w:t>
            </w:r>
          </w:p>
        </w:tc>
        <w:tc>
          <w:tcPr>
            <w:tcW w:w="881" w:type="dxa"/>
            <w:shd w:val="clear" w:color="auto" w:fill="auto"/>
          </w:tcPr>
          <w:p w14:paraId="5BC856E5" w14:textId="77777777" w:rsidR="000D06F3" w:rsidRPr="000D06F3" w:rsidRDefault="000D06F3" w:rsidP="007A7275">
            <w:pPr>
              <w:pStyle w:val="Comp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0.466</w:t>
            </w:r>
          </w:p>
        </w:tc>
        <w:tc>
          <w:tcPr>
            <w:tcW w:w="1044" w:type="dxa"/>
            <w:shd w:val="clear" w:color="auto" w:fill="auto"/>
          </w:tcPr>
          <w:p w14:paraId="2FBA64B0" w14:textId="77777777" w:rsidR="000D06F3" w:rsidRPr="000D06F3" w:rsidRDefault="000D06F3" w:rsidP="007A7275">
            <w:pPr>
              <w:pStyle w:val="Comp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0.049</w:t>
            </w:r>
          </w:p>
        </w:tc>
      </w:tr>
      <w:tr w:rsidR="000D06F3" w:rsidRPr="00A062D0" w14:paraId="248CCC69" w14:textId="77777777" w:rsidTr="000D06F3">
        <w:trPr>
          <w:trHeight w:val="338"/>
        </w:trPr>
        <w:tc>
          <w:tcPr>
            <w:tcW w:w="1440" w:type="dxa"/>
            <w:shd w:val="clear" w:color="auto" w:fill="auto"/>
          </w:tcPr>
          <w:p w14:paraId="765BA893" w14:textId="19FFA6F1" w:rsidR="000D06F3" w:rsidRPr="000D06F3" w:rsidRDefault="000D06F3" w:rsidP="007A7275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Athletic</w:t>
            </w: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Quality</w:t>
            </w:r>
          </w:p>
        </w:tc>
        <w:tc>
          <w:tcPr>
            <w:tcW w:w="810" w:type="dxa"/>
            <w:shd w:val="clear" w:color="auto" w:fill="auto"/>
          </w:tcPr>
          <w:p w14:paraId="355F1500" w14:textId="77777777" w:rsidR="000D06F3" w:rsidRPr="000D06F3" w:rsidRDefault="000D06F3" w:rsidP="007A7275">
            <w:pPr>
              <w:pStyle w:val="Comp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0.424</w:t>
            </w:r>
          </w:p>
        </w:tc>
        <w:tc>
          <w:tcPr>
            <w:tcW w:w="881" w:type="dxa"/>
            <w:shd w:val="clear" w:color="auto" w:fill="auto"/>
          </w:tcPr>
          <w:p w14:paraId="1BB575BF" w14:textId="77777777" w:rsidR="000D06F3" w:rsidRPr="000D06F3" w:rsidRDefault="000D06F3" w:rsidP="007A7275">
            <w:pPr>
              <w:pStyle w:val="Comp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0.551</w:t>
            </w:r>
          </w:p>
        </w:tc>
        <w:tc>
          <w:tcPr>
            <w:tcW w:w="1044" w:type="dxa"/>
            <w:shd w:val="clear" w:color="auto" w:fill="auto"/>
          </w:tcPr>
          <w:p w14:paraId="1B72E493" w14:textId="77777777" w:rsidR="000D06F3" w:rsidRPr="000D06F3" w:rsidRDefault="000D06F3" w:rsidP="007A7275">
            <w:pPr>
              <w:pStyle w:val="Comp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-0.127**</w:t>
            </w:r>
          </w:p>
        </w:tc>
      </w:tr>
      <w:tr w:rsidR="000D06F3" w:rsidRPr="00A062D0" w14:paraId="04139C50" w14:textId="77777777" w:rsidTr="000D06F3">
        <w:trPr>
          <w:trHeight w:val="327"/>
        </w:trPr>
        <w:tc>
          <w:tcPr>
            <w:tcW w:w="1440" w:type="dxa"/>
            <w:shd w:val="clear" w:color="auto" w:fill="auto"/>
          </w:tcPr>
          <w:p w14:paraId="488AACE3" w14:textId="15C4A7EB" w:rsidR="000D06F3" w:rsidRPr="000D06F3" w:rsidRDefault="000D06F3" w:rsidP="007A7275">
            <w:pPr>
              <w:pStyle w:val="Compact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Near</w:t>
            </w: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Big</w:t>
            </w: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Market</w:t>
            </w:r>
          </w:p>
        </w:tc>
        <w:tc>
          <w:tcPr>
            <w:tcW w:w="810" w:type="dxa"/>
            <w:shd w:val="clear" w:color="auto" w:fill="auto"/>
          </w:tcPr>
          <w:p w14:paraId="0B176B04" w14:textId="77777777" w:rsidR="000D06F3" w:rsidRPr="000D06F3" w:rsidRDefault="000D06F3" w:rsidP="007A7275">
            <w:pPr>
              <w:pStyle w:val="Comp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0.360</w:t>
            </w:r>
          </w:p>
        </w:tc>
        <w:tc>
          <w:tcPr>
            <w:tcW w:w="881" w:type="dxa"/>
            <w:shd w:val="clear" w:color="auto" w:fill="auto"/>
          </w:tcPr>
          <w:p w14:paraId="1C71372C" w14:textId="77777777" w:rsidR="000D06F3" w:rsidRPr="000D06F3" w:rsidRDefault="000D06F3" w:rsidP="007A7275">
            <w:pPr>
              <w:pStyle w:val="Comp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0.700</w:t>
            </w:r>
          </w:p>
        </w:tc>
        <w:tc>
          <w:tcPr>
            <w:tcW w:w="1044" w:type="dxa"/>
            <w:shd w:val="clear" w:color="auto" w:fill="auto"/>
          </w:tcPr>
          <w:p w14:paraId="3E5E47BC" w14:textId="77777777" w:rsidR="000D06F3" w:rsidRPr="000D06F3" w:rsidRDefault="000D06F3" w:rsidP="007A7275">
            <w:pPr>
              <w:pStyle w:val="Comp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06F3">
              <w:rPr>
                <w:rFonts w:ascii="Times New Roman" w:hAnsi="Times New Roman" w:cs="Times New Roman"/>
                <w:sz w:val="16"/>
                <w:szCs w:val="16"/>
              </w:rPr>
              <w:t>-0.340***</w:t>
            </w:r>
          </w:p>
        </w:tc>
      </w:tr>
    </w:tbl>
    <w:p w14:paraId="000E933D" w14:textId="77777777" w:rsidR="00BE7280" w:rsidRPr="00A062D0" w:rsidRDefault="00BE7280">
      <w:pPr>
        <w:rPr>
          <w:rFonts w:ascii="Times New Roman" w:hAnsi="Times New Roman" w:cs="Times New Roman"/>
        </w:rPr>
      </w:pPr>
    </w:p>
    <w:p w14:paraId="14BFA5CD" w14:textId="4F8F6D18" w:rsidR="00BE7280" w:rsidRDefault="00A062D0">
      <w:pPr>
        <w:rPr>
          <w:rFonts w:ascii="Times New Roman" w:hAnsi="Times New Roman" w:cs="Times New Roman"/>
        </w:rPr>
      </w:pPr>
      <w:r w:rsidRPr="00A062D0">
        <w:rPr>
          <w:rFonts w:ascii="Times New Roman" w:hAnsi="Times New Roman" w:cs="Times New Roman"/>
        </w:rPr>
        <w:t>Notes:</w:t>
      </w:r>
      <w:r>
        <w:rPr>
          <w:rFonts w:ascii="Times New Roman" w:hAnsi="Times New Roman" w:cs="Times New Roman"/>
        </w:rPr>
        <w:t xml:space="preserve"> Treatment and control groups </w:t>
      </w:r>
      <w:r w:rsidR="006F2E3E">
        <w:rPr>
          <w:rFonts w:ascii="Times New Roman" w:hAnsi="Times New Roman" w:cs="Times New Roman"/>
        </w:rPr>
        <w:t>are balanced</w:t>
      </w:r>
      <w:r w:rsidR="00853808">
        <w:rPr>
          <w:rFonts w:ascii="Times New Roman" w:hAnsi="Times New Roman" w:cs="Times New Roman"/>
        </w:rPr>
        <w:t xml:space="preserve"> only</w:t>
      </w:r>
      <w:r w:rsidR="006F2E3E">
        <w:rPr>
          <w:rFonts w:ascii="Times New Roman" w:hAnsi="Times New Roman" w:cs="Times New Roman"/>
        </w:rPr>
        <w:t xml:space="preserve"> in the academic quality </w:t>
      </w:r>
      <w:r w:rsidR="00595139">
        <w:rPr>
          <w:rFonts w:ascii="Times New Roman" w:hAnsi="Times New Roman" w:cs="Times New Roman"/>
        </w:rPr>
        <w:t>of their teaching, with a non-significant difference of 0.049</w:t>
      </w:r>
      <w:r w:rsidR="00D24B69">
        <w:rPr>
          <w:rFonts w:ascii="Times New Roman" w:hAnsi="Times New Roman" w:cs="Times New Roman"/>
        </w:rPr>
        <w:t xml:space="preserve"> units. However, treatment and control are significantly unbalanced in athletic quality (</w:t>
      </w:r>
      <w:r w:rsidR="00294D40">
        <w:rPr>
          <w:rFonts w:ascii="Times New Roman" w:hAnsi="Times New Roman" w:cs="Times New Roman"/>
        </w:rPr>
        <w:t>control is 0.127 unit smaller) and distance to big market (control is 0.340 unit smaller).</w:t>
      </w:r>
    </w:p>
    <w:p w14:paraId="2734E623" w14:textId="77777777" w:rsidR="00853808" w:rsidRDefault="00853808">
      <w:pPr>
        <w:rPr>
          <w:rFonts w:ascii="Times New Roman" w:hAnsi="Times New Roman" w:cs="Times New Roman"/>
        </w:rPr>
      </w:pPr>
    </w:p>
    <w:p w14:paraId="3E498DA3" w14:textId="77777777" w:rsidR="00E37C73" w:rsidRDefault="00E37C73">
      <w:pPr>
        <w:rPr>
          <w:rFonts w:ascii="Times New Roman" w:hAnsi="Times New Roman" w:cs="Times New Roman"/>
        </w:rPr>
      </w:pPr>
    </w:p>
    <w:p w14:paraId="5DBCA624" w14:textId="06C63CCF" w:rsidR="00E37C73" w:rsidRDefault="00E37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Q3:</w:t>
      </w:r>
    </w:p>
    <w:p w14:paraId="2FA4A676" w14:textId="4CB2557B" w:rsidR="00861FA6" w:rsidRDefault="00E37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ranking Committee</w:t>
      </w:r>
      <w:r w:rsidR="00A51865">
        <w:rPr>
          <w:rFonts w:ascii="Times New Roman" w:hAnsi="Times New Roman" w:cs="Times New Roman"/>
        </w:rPr>
        <w:t xml:space="preserve"> plausibly select schools based on its athletic quality that signal a school’s potential to win the tournament, as well as its closeness to near big market, which </w:t>
      </w:r>
      <w:r w:rsidR="008A2B16">
        <w:rPr>
          <w:rFonts w:ascii="Times New Roman" w:hAnsi="Times New Roman" w:cs="Times New Roman"/>
        </w:rPr>
        <w:t>can be a proxy for its prior media exposure</w:t>
      </w:r>
      <w:r w:rsidR="00387192">
        <w:rPr>
          <w:rFonts w:ascii="Times New Roman" w:hAnsi="Times New Roman" w:cs="Times New Roman"/>
        </w:rPr>
        <w:t xml:space="preserve"> for popularity</w:t>
      </w:r>
      <w:r w:rsidR="008A2B16">
        <w:rPr>
          <w:rFonts w:ascii="Times New Roman" w:hAnsi="Times New Roman" w:cs="Times New Roman"/>
        </w:rPr>
        <w:t xml:space="preserve"> (e.g., NYU receives more media exposure than UVA). </w:t>
      </w:r>
      <w:r w:rsidR="00387192">
        <w:rPr>
          <w:rFonts w:ascii="Times New Roman" w:hAnsi="Times New Roman" w:cs="Times New Roman"/>
        </w:rPr>
        <w:t xml:space="preserve">It can also be reasonably inferred that the academic quality of the school can have a downstream implicit impact on committee’s judgement through “halo effect” (e.g., </w:t>
      </w:r>
      <w:r w:rsidR="00861FA6">
        <w:rPr>
          <w:rFonts w:ascii="Times New Roman" w:hAnsi="Times New Roman" w:cs="Times New Roman"/>
        </w:rPr>
        <w:t>US News Top 20 Universities). Therefore, all three variables should be used for propensity score.</w:t>
      </w:r>
    </w:p>
    <w:p w14:paraId="65C5CD6B" w14:textId="77777777" w:rsidR="00861FA6" w:rsidRDefault="00861FA6">
      <w:pPr>
        <w:rPr>
          <w:rFonts w:ascii="Times New Roman" w:hAnsi="Times New Roman" w:cs="Times New Roman"/>
        </w:rPr>
      </w:pPr>
    </w:p>
    <w:p w14:paraId="25EF77B7" w14:textId="11A56480" w:rsidR="00861FA6" w:rsidRDefault="00327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Q4:</w:t>
      </w:r>
    </w:p>
    <w:p w14:paraId="18597146" w14:textId="45726036" w:rsidR="000D06F3" w:rsidRDefault="000D06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4263CEED" w14:textId="03A7E9AE" w:rsidR="00327B50" w:rsidRDefault="00720A1B" w:rsidP="00D02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linear regression model is shown below</w:t>
      </w:r>
    </w:p>
    <w:tbl>
      <w:tblPr>
        <w:tblW w:w="4446" w:type="dxa"/>
        <w:tblLook w:val="04A0" w:firstRow="1" w:lastRow="0" w:firstColumn="1" w:lastColumn="0" w:noHBand="0" w:noVBand="1"/>
      </w:tblPr>
      <w:tblGrid>
        <w:gridCol w:w="2213"/>
        <w:gridCol w:w="1056"/>
        <w:gridCol w:w="1177"/>
      </w:tblGrid>
      <w:tr w:rsidR="00D02356" w:rsidRPr="00D02356" w14:paraId="3B858679" w14:textId="77777777" w:rsidTr="009C1857">
        <w:trPr>
          <w:trHeight w:val="246"/>
        </w:trPr>
        <w:tc>
          <w:tcPr>
            <w:tcW w:w="4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8C3A0" w14:textId="0DC6640D" w:rsidR="00D02356" w:rsidRPr="00D02356" w:rsidRDefault="00D02356" w:rsidP="00D0235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 1: Linear Regression Model </w:t>
            </w:r>
            <w:r w:rsidR="00A531F2" w:rsidRPr="009C18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</w:t>
            </w: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 Treatment Assignment</w:t>
            </w:r>
          </w:p>
        </w:tc>
      </w:tr>
      <w:tr w:rsidR="00D02356" w:rsidRPr="00D02356" w14:paraId="66A48EA6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4B663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55B30E" w14:textId="43BCF8F2" w:rsidR="00D02356" w:rsidRPr="00D02356" w:rsidRDefault="00EE5F7C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Ranked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2F7AE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D02356" w:rsidRPr="00D02356" w14:paraId="25818A39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583C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2DF26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7771E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02356" w:rsidRPr="00D02356" w14:paraId="25E9DEE1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7BC1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quality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88D28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-0.183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FCB1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02356" w:rsidRPr="00D02356" w14:paraId="139BABDB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829A5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2527D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(-1.14)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38469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02356" w:rsidRPr="00D02356" w14:paraId="48509C38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C9FC3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E651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5692D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02356" w:rsidRPr="00D02356" w14:paraId="7FEAE886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E503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athletic quality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F87AB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0.412*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452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02356" w:rsidRPr="00D02356" w14:paraId="1B06FC39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5B9B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3E1F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-2.53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0BFE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02356" w:rsidRPr="00D02356" w14:paraId="03B831B1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6CE60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83780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628CD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02356" w:rsidRPr="00D02356" w14:paraId="423E7523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71862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near big market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F5393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0.356***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5FE6D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02356" w:rsidRPr="00D02356" w14:paraId="2211C188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9BE0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CA41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-3.84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C60D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02356" w:rsidRPr="00D02356" w14:paraId="154BCB94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A4BF6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0CFC5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8346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02356" w:rsidRPr="00D02356" w14:paraId="766A142F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BA9E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_cons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0EAC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8BD11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02356" w:rsidRPr="00D02356" w14:paraId="7315A350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3533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6D58C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-1.54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B2489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02356" w:rsidRPr="00D02356" w14:paraId="157F003E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2488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1419C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CD18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02356" w:rsidRPr="00D02356" w14:paraId="0481594A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8FAED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F3CF9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055B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02356" w:rsidRPr="00D02356" w14:paraId="037F3182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B2E91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63D7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10FFC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02356" w:rsidRPr="00D02356" w14:paraId="123C5DC5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FE7A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 statistics in parentheses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15546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5F29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02356" w:rsidRPr="00D02356" w14:paraId="23D90C11" w14:textId="77777777" w:rsidTr="009C1857">
        <w:trPr>
          <w:trHeight w:val="246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6190C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="* p&lt;0.05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BA9F8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** p&lt;0.01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442F3" w14:textId="77777777" w:rsidR="00D02356" w:rsidRPr="00D02356" w:rsidRDefault="00D02356" w:rsidP="00D023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3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*** p&lt;0.001"</w:t>
            </w:r>
          </w:p>
        </w:tc>
      </w:tr>
    </w:tbl>
    <w:p w14:paraId="66A44ECC" w14:textId="77777777" w:rsidR="00D02356" w:rsidRDefault="00D02356" w:rsidP="00D02356">
      <w:pPr>
        <w:rPr>
          <w:rFonts w:ascii="Times New Roman" w:hAnsi="Times New Roman" w:cs="Times New Roman"/>
        </w:rPr>
      </w:pPr>
    </w:p>
    <w:p w14:paraId="5B0D1F3C" w14:textId="104D50D8" w:rsidR="00A531F2" w:rsidRDefault="00A531F2" w:rsidP="00D02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in the model,</w:t>
      </w:r>
      <w:r w:rsidR="009C1857">
        <w:rPr>
          <w:rFonts w:ascii="Times New Roman" w:hAnsi="Times New Roman" w:cs="Times New Roman"/>
        </w:rPr>
        <w:t xml:space="preserve"> academic quality is not a significant predictor of </w:t>
      </w:r>
      <w:r w:rsidR="00EE5F7C">
        <w:rPr>
          <w:rFonts w:ascii="Times New Roman" w:hAnsi="Times New Roman" w:cs="Times New Roman"/>
        </w:rPr>
        <w:t xml:space="preserve">being ranked, while athletic quality </w:t>
      </w:r>
      <w:r w:rsidR="000D06F3">
        <w:rPr>
          <w:rFonts w:ascii="Times New Roman" w:hAnsi="Times New Roman" w:cs="Times New Roman"/>
        </w:rPr>
        <w:t>and closeness</w:t>
      </w:r>
      <w:r w:rsidR="00EE5F7C">
        <w:rPr>
          <w:rFonts w:ascii="Times New Roman" w:hAnsi="Times New Roman" w:cs="Times New Roman"/>
        </w:rPr>
        <w:t xml:space="preserve"> to big market are.</w:t>
      </w:r>
      <w:r w:rsidR="00690C9A">
        <w:rPr>
          <w:rFonts w:ascii="Times New Roman" w:hAnsi="Times New Roman" w:cs="Times New Roman"/>
        </w:rPr>
        <w:t xml:space="preserve"> Academic quality is dropped in predicting propensity score for </w:t>
      </w:r>
      <w:r w:rsidR="00B0196B">
        <w:rPr>
          <w:rFonts w:ascii="Times New Roman" w:hAnsi="Times New Roman" w:cs="Times New Roman"/>
        </w:rPr>
        <w:t>its</w:t>
      </w:r>
      <w:r w:rsidR="00690C9A">
        <w:rPr>
          <w:rFonts w:ascii="Times New Roman" w:hAnsi="Times New Roman" w:cs="Times New Roman"/>
        </w:rPr>
        <w:t xml:space="preserve"> non-significance.</w:t>
      </w:r>
    </w:p>
    <w:p w14:paraId="05F9F3B5" w14:textId="77777777" w:rsidR="00EE5F7C" w:rsidRDefault="00EE5F7C" w:rsidP="00D02356">
      <w:pPr>
        <w:rPr>
          <w:rFonts w:ascii="Times New Roman" w:hAnsi="Times New Roman" w:cs="Times New Roman"/>
        </w:rPr>
      </w:pPr>
    </w:p>
    <w:p w14:paraId="661C16E9" w14:textId="5E4D89D2" w:rsidR="00EE5F7C" w:rsidRDefault="000D06F3" w:rsidP="00D02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b) see STATA codes</w:t>
      </w:r>
    </w:p>
    <w:p w14:paraId="107C6639" w14:textId="5F5040B7" w:rsidR="000D06F3" w:rsidRDefault="00364780" w:rsidP="00D02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Q6:</w:t>
      </w:r>
    </w:p>
    <w:p w14:paraId="75AE2DE4" w14:textId="407E4587" w:rsidR="00364780" w:rsidRDefault="00364780" w:rsidP="00D02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</w:t>
      </w:r>
      <w:r w:rsidR="00E05AAB">
        <w:rPr>
          <w:rFonts w:ascii="Times New Roman" w:hAnsi="Times New Roman" w:cs="Times New Roman"/>
        </w:rPr>
        <w:t xml:space="preserve"> Distribution of Propensity Score </w:t>
      </w:r>
      <w:r w:rsidR="00433247">
        <w:rPr>
          <w:rFonts w:ascii="Times New Roman" w:hAnsi="Times New Roman" w:cs="Times New Roman"/>
        </w:rPr>
        <w:t>in Treatment and Control Conditions</w:t>
      </w:r>
    </w:p>
    <w:p w14:paraId="09C3ED25" w14:textId="30A31E95" w:rsidR="00364780" w:rsidRDefault="00E05AAB" w:rsidP="00E05A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D914F0" wp14:editId="01DDFB9E">
            <wp:extent cx="4661731" cy="3391210"/>
            <wp:effectExtent l="0" t="0" r="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992" cy="34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99AF" w14:textId="0A95E512" w:rsidR="006D4C26" w:rsidRDefault="006D4C26" w:rsidP="006D4C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 Distribution of propensity score for schools in treatment condition is colored in red, and which in control condition is non-colored. Schools with propensity score below 0.25 and above 0.8 are dropped for lack of significant overlap.</w:t>
      </w:r>
    </w:p>
    <w:p w14:paraId="10BE8145" w14:textId="77777777" w:rsidR="006D4C26" w:rsidRDefault="006D4C26" w:rsidP="006D4C26">
      <w:pPr>
        <w:rPr>
          <w:rFonts w:ascii="Times New Roman" w:hAnsi="Times New Roman" w:cs="Times New Roman"/>
        </w:rPr>
      </w:pPr>
    </w:p>
    <w:p w14:paraId="69F19877" w14:textId="77777777" w:rsidR="006D4C26" w:rsidRDefault="006D4C26" w:rsidP="006D4C26">
      <w:pPr>
        <w:rPr>
          <w:rFonts w:ascii="Times New Roman" w:hAnsi="Times New Roman" w:cs="Times New Roman"/>
        </w:rPr>
      </w:pPr>
    </w:p>
    <w:p w14:paraId="3C8111D8" w14:textId="3341A135" w:rsidR="00690C9A" w:rsidRPr="003F637F" w:rsidRDefault="00B0196B" w:rsidP="006D4C2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Q7.</w:t>
      </w:r>
    </w:p>
    <w:tbl>
      <w:tblPr>
        <w:tblW w:w="8750" w:type="dxa"/>
        <w:tblLook w:val="04A0" w:firstRow="1" w:lastRow="0" w:firstColumn="1" w:lastColumn="0" w:noHBand="0" w:noVBand="1"/>
      </w:tblPr>
      <w:tblGrid>
        <w:gridCol w:w="3063"/>
        <w:gridCol w:w="1782"/>
        <w:gridCol w:w="3905"/>
      </w:tblGrid>
      <w:tr w:rsidR="003F637F" w:rsidRPr="003F637F" w14:paraId="07090664" w14:textId="77777777" w:rsidTr="003F637F">
        <w:trPr>
          <w:trHeight w:val="181"/>
        </w:trPr>
        <w:tc>
          <w:tcPr>
            <w:tcW w:w="8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505B8" w14:textId="77777777" w:rsidR="003F637F" w:rsidRPr="003F637F" w:rsidRDefault="003F637F" w:rsidP="003F637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Table 3: Linear &amp; Propensity-matched Regressions of Alumni Donations</w:t>
            </w:r>
          </w:p>
        </w:tc>
      </w:tr>
      <w:tr w:rsidR="003F637F" w:rsidRPr="003F637F" w14:paraId="706443A2" w14:textId="77777777" w:rsidTr="003F637F">
        <w:trPr>
          <w:trHeight w:val="181"/>
        </w:trPr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6D3B1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3EAF8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9F261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Propensity-matched</w:t>
            </w:r>
          </w:p>
        </w:tc>
      </w:tr>
      <w:tr w:rsidR="003F637F" w:rsidRPr="003F637F" w14:paraId="06904789" w14:textId="77777777" w:rsidTr="003F637F">
        <w:trPr>
          <w:trHeight w:val="203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39A3B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Ranked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0B75B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500.5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E371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500.5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3F637F" w:rsidRPr="003F637F" w14:paraId="78630379" w14:textId="77777777" w:rsidTr="003F637F">
        <w:trPr>
          <w:trHeight w:val="181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124E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C3BBE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-2035.07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C8FBC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-2249.1</w:t>
            </w:r>
          </w:p>
        </w:tc>
      </w:tr>
      <w:tr w:rsidR="003F637F" w:rsidRPr="003F637F" w14:paraId="4BF2E258" w14:textId="77777777" w:rsidTr="003F637F">
        <w:trPr>
          <w:trHeight w:val="181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9338B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1543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BAD44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F637F" w:rsidRPr="003F637F" w14:paraId="2FFF8A47" w14:textId="77777777" w:rsidTr="003F637F">
        <w:trPr>
          <w:trHeight w:val="203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21F3D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Qual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535C2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99.83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4211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99.89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3F637F" w:rsidRPr="003F637F" w14:paraId="0F9FDA06" w14:textId="77777777" w:rsidTr="003F637F">
        <w:trPr>
          <w:trHeight w:val="181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8242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A0E38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-228.52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5814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-269.34</w:t>
            </w:r>
          </w:p>
        </w:tc>
      </w:tr>
      <w:tr w:rsidR="003F637F" w:rsidRPr="003F637F" w14:paraId="7C9416A7" w14:textId="77777777" w:rsidTr="003F637F">
        <w:trPr>
          <w:trHeight w:val="181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BDB18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0E30F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B143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F637F" w:rsidRPr="003F637F" w14:paraId="577026A0" w14:textId="77777777" w:rsidTr="003F637F">
        <w:trPr>
          <w:trHeight w:val="203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F12A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Athletic Qual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B2B3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48.06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39B9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49.90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3F637F" w:rsidRPr="003F637F" w14:paraId="4B44BDEC" w14:textId="77777777" w:rsidTr="003F637F">
        <w:trPr>
          <w:trHeight w:val="181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6BFB7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7F0F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-9.28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4966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-108.74</w:t>
            </w:r>
          </w:p>
        </w:tc>
      </w:tr>
      <w:tr w:rsidR="003F637F" w:rsidRPr="003F637F" w14:paraId="3A122A58" w14:textId="77777777" w:rsidTr="003F637F">
        <w:trPr>
          <w:trHeight w:val="181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E7EB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EC68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F094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F637F" w:rsidRPr="003F637F" w14:paraId="09DA17F5" w14:textId="77777777" w:rsidTr="003F637F">
        <w:trPr>
          <w:trHeight w:val="203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F4955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Big Market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D3A24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998.1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3F02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999.7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3F637F" w:rsidRPr="003F637F" w14:paraId="73BD4C20" w14:textId="77777777" w:rsidTr="003F637F">
        <w:trPr>
          <w:trHeight w:val="181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B898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679A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-239.59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E4440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-4119.27</w:t>
            </w:r>
          </w:p>
        </w:tc>
      </w:tr>
      <w:tr w:rsidR="003F637F" w:rsidRPr="003F637F" w14:paraId="79A8909C" w14:textId="77777777" w:rsidTr="003F637F">
        <w:trPr>
          <w:trHeight w:val="181"/>
        </w:trPr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E51A6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Observations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F280A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00690" w14:textId="77777777" w:rsidR="003F637F" w:rsidRPr="003F637F" w:rsidRDefault="003F637F" w:rsidP="003F63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</w:tr>
      <w:tr w:rsidR="003F637F" w:rsidRPr="003F637F" w14:paraId="443D3F55" w14:textId="77777777" w:rsidTr="003F637F">
        <w:trPr>
          <w:trHeight w:val="747"/>
        </w:trPr>
        <w:tc>
          <w:tcPr>
            <w:tcW w:w="8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0A9C1" w14:textId="77777777" w:rsidR="003F637F" w:rsidRPr="003F637F" w:rsidRDefault="003F637F" w:rsidP="003F637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Table 3 presents linear regression and propensity-matched regressions of alumni donations a school receive on whether it being ranked, controlling for academic quality, athletic quality, and its closeness to big markets. All predictors in both models are significant at 0.1% level and the magnitudes are similar between the two models. Blocking fixed effect based on propensity scores are dropped. Being ranked on Top Basketball Programs significant increases alumni donations by $500k for a university.</w:t>
            </w:r>
          </w:p>
        </w:tc>
      </w:tr>
      <w:tr w:rsidR="003F637F" w:rsidRPr="003F637F" w14:paraId="0D6DECB7" w14:textId="77777777" w:rsidTr="003F637F">
        <w:trPr>
          <w:trHeight w:val="181"/>
        </w:trPr>
        <w:tc>
          <w:tcPr>
            <w:tcW w:w="8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38122" w14:textId="77777777" w:rsidR="003F637F" w:rsidRPr="003F637F" w:rsidRDefault="003F637F" w:rsidP="003F637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*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3F637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&lt; 0.05, 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**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3F637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&lt; 0.01, 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***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3F637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</w:t>
            </w:r>
            <w:r w:rsidRPr="003F63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&lt; 0.001</w:t>
            </w:r>
          </w:p>
        </w:tc>
      </w:tr>
    </w:tbl>
    <w:p w14:paraId="1D13A577" w14:textId="77777777" w:rsidR="003F637F" w:rsidRPr="003F637F" w:rsidRDefault="003F637F" w:rsidP="006D4C26">
      <w:pPr>
        <w:rPr>
          <w:rFonts w:ascii="Times New Roman" w:hAnsi="Times New Roman" w:cs="Times New Roman"/>
          <w:sz w:val="16"/>
          <w:szCs w:val="16"/>
        </w:rPr>
      </w:pPr>
    </w:p>
    <w:sectPr w:rsidR="003F637F" w:rsidRPr="003F637F" w:rsidSect="007A72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57">
    <w:altName w:val="Calibri"/>
    <w:panose1 w:val="020B0604020202020204"/>
    <w:charset w:val="01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96"/>
    <w:rsid w:val="000C3B8A"/>
    <w:rsid w:val="000D06F3"/>
    <w:rsid w:val="000F4096"/>
    <w:rsid w:val="00294D40"/>
    <w:rsid w:val="00327B50"/>
    <w:rsid w:val="00364780"/>
    <w:rsid w:val="00387192"/>
    <w:rsid w:val="003F637F"/>
    <w:rsid w:val="00433247"/>
    <w:rsid w:val="00557106"/>
    <w:rsid w:val="00595139"/>
    <w:rsid w:val="00690C9A"/>
    <w:rsid w:val="006D4C26"/>
    <w:rsid w:val="006F2E3E"/>
    <w:rsid w:val="00720A1B"/>
    <w:rsid w:val="00853808"/>
    <w:rsid w:val="00861FA6"/>
    <w:rsid w:val="008A2B16"/>
    <w:rsid w:val="009C1857"/>
    <w:rsid w:val="009E175E"/>
    <w:rsid w:val="00A062D0"/>
    <w:rsid w:val="00A07F75"/>
    <w:rsid w:val="00A51865"/>
    <w:rsid w:val="00A531F2"/>
    <w:rsid w:val="00AE2AA7"/>
    <w:rsid w:val="00B0196B"/>
    <w:rsid w:val="00BE7280"/>
    <w:rsid w:val="00D02356"/>
    <w:rsid w:val="00D24B69"/>
    <w:rsid w:val="00D56DDB"/>
    <w:rsid w:val="00E05AAB"/>
    <w:rsid w:val="00E37C73"/>
    <w:rsid w:val="00EE5F7C"/>
    <w:rsid w:val="00E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2AA8D"/>
  <w15:chartTrackingRefBased/>
  <w15:docId w15:val="{5E595CB5-9168-6E42-8A3C-84C040B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710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7106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7106"/>
    <w:rPr>
      <w:color w:val="808080"/>
    </w:rPr>
  </w:style>
  <w:style w:type="paragraph" w:customStyle="1" w:styleId="Compact">
    <w:name w:val="Compact"/>
    <w:basedOn w:val="BodyText"/>
    <w:rsid w:val="00BE7280"/>
    <w:pPr>
      <w:suppressAutoHyphens/>
      <w:spacing w:before="36" w:after="36"/>
    </w:pPr>
    <w:rPr>
      <w:rFonts w:ascii="Cambria" w:eastAsia="Cambria" w:hAnsi="Cambria" w:cs="font57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E72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7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Chuanye Chen</dc:creator>
  <cp:keywords/>
  <dc:description/>
  <cp:lastModifiedBy>Chuanye Chen</cp:lastModifiedBy>
  <cp:revision>33</cp:revision>
  <dcterms:created xsi:type="dcterms:W3CDTF">2022-11-13T15:55:00Z</dcterms:created>
  <dcterms:modified xsi:type="dcterms:W3CDTF">2022-11-13T17:20:00Z</dcterms:modified>
</cp:coreProperties>
</file>