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100" w:after="260"/>
        <w:jc w:val="center"/>
      </w:pPr>
      <w:r>
        <w:rPr>
          <w:rFonts w:ascii="Arial" w:cs="Arial" w:eastAsia="Arial" w:hAnsi="Arial"/>
          <w:b/>
          <w:bCs/>
          <w:color w:val="4F46E5"/>
          <w:sz w:val="24"/>
          <w:szCs w:val="24"/>
        </w:rPr>
        <w:t xml:space="preserve">BUSINESS PLAN</w:t>
      </w:r>
    </w:p>
    <w:p>
      <w:pPr>
        <w:spacing w:after="180"/>
        <w:jc w:val="center"/>
      </w:pPr>
      <w:r>
        <w:rPr>
          <w:rFonts w:ascii="Arial" w:cs="Arial" w:eastAsia="Arial" w:hAnsi="Arial"/>
          <w:b/>
          <w:bCs/>
          <w:color w:val="242424"/>
          <w:sz w:val="48"/>
          <w:szCs w:val="48"/>
        </w:rPr>
        <w:t xml:space="preserve">Analog Math Clock</w:t>
      </w:r>
    </w:p>
    <w:p>
      <w:pPr>
        <w:spacing w:after="260"/>
        <w:jc w:val="center"/>
      </w:pPr>
      <w:r>
        <w:rPr>
          <w:rFonts w:ascii="Arial" w:cs="Arial" w:eastAsia="Arial" w:hAnsi="Arial"/>
          <w:b/>
          <w:bCs/>
          <w:color w:val="3730A3"/>
          <w:sz w:val="40"/>
          <w:szCs w:val="40"/>
        </w:rPr>
        <w:t xml:space="preserve">+ Flashcard Flurry</w:t>
      </w:r>
    </w:p>
    <w:p>
      <w:pPr>
        <w:spacing w:before="0" w:after="520" w:line="300"/>
        <w:jc w:val="center"/>
      </w:pPr>
      <w:r>
        <w:rPr>
          <w:rFonts w:ascii="Arial" w:cs="Arial" w:eastAsia="Arial" w:hAnsi="Arial"/>
          <w:color w:val="5C5C5C"/>
          <w:sz w:val="26"/>
          <w:szCs w:val="26"/>
        </w:rPr>
        <w:t xml:space="preserve">Privacy-focused educational software commercialization plan</w:t>
      </w:r>
    </w:p>
    <w:p>
      <w:pPr>
        <w:pBdr>
          <w:top w:val="single" w:color="4F46E5" w:sz="8" w:space="8"/>
        </w:pBdr>
        <w:spacing w:after="80"/>
        <w:jc w:val="center"/>
      </w:pPr>
      <w:r>
        <w:rPr>
          <w:rFonts w:ascii="Arial" w:cs="Arial" w:eastAsia="Arial" w:hAnsi="Arial"/>
          <w:color w:val="5C5C5C"/>
          <w:sz w:val="22"/>
          <w:szCs w:val="22"/>
        </w:rPr>
        <w:t xml:space="preserve">Prepared September 14, 2026</w:t>
      </w:r>
    </w:p>
    <w:p>
      <w:pPr>
        <w:spacing w:before="0" w:after="1600" w:line="300"/>
        <w:jc w:val="center"/>
      </w:pPr>
      <w:r>
        <w:rPr>
          <w:rFonts w:ascii="Arial" w:cs="Arial" w:eastAsia="Arial" w:hAnsi="Arial"/>
          <w:i/>
          <w:iCs/>
          <w:color w:val="5C5C5C"/>
          <w:sz w:val="20"/>
          <w:szCs w:val="20"/>
        </w:rPr>
        <w:t xml:space="preserve">Working recommendation: free web acquisition with paid native editions</w:t>
      </w:r>
    </w:p>
    <w:p>
      <w:pPr>
        <w:spacing w:before="0" w:after="80" w:line="300"/>
        <w:jc w:val="center"/>
      </w:pPr>
      <w:r>
        <w:rPr>
          <w:rFonts w:ascii="Arial" w:cs="Arial" w:eastAsia="Arial" w:hAnsi="Arial"/>
          <w:b/>
          <w:bCs/>
          <w:sz w:val="22"/>
          <w:szCs w:val="22"/>
        </w:rPr>
        <w:t xml:space="preserve">Prepared for Joe Lurie</w:t>
      </w:r>
    </w:p>
    <w:p>
      <w:pPr>
        <w:spacing w:before="0" w:after="0" w:line="300"/>
        <w:jc w:val="center"/>
      </w:pPr>
      <w:r>
        <w:rPr>
          <w:rFonts w:ascii="Arial" w:cs="Arial" w:eastAsia="Arial" w:hAnsi="Arial"/>
          <w:color w:val="5C5C5C"/>
          <w:sz w:val="20"/>
          <w:szCs w:val="20"/>
        </w:rPr>
        <w:t xml:space="preserve">AnalogMathClock.com  |  FlashcardFlurry.com</w:t>
      </w:r>
    </w:p>
    <w:p>
      <w:r>
        <w:br w:type="page"/>
      </w:r>
    </w:p>
    <w:p>
      <w:pPr>
        <w:pStyle w:val="Heading1"/>
        <w:keepNext/>
      </w:pPr>
      <w:r>
        <w:rPr>
          <w:rFonts w:ascii="Arial" w:cs="Arial" w:eastAsia="Arial" w:hAnsi="Arial"/>
          <w:b/>
          <w:bCs/>
          <w:sz w:val="22"/>
          <w:szCs w:val="22"/>
        </w:rPr>
        <w:t xml:space="preserve">Executive Summary</w:t>
      </w:r>
    </w:p>
    <w:p>
      <w:pPr>
        <w:spacing w:before="0" w:after="140" w:line="300"/>
      </w:pPr>
      <w:r>
        <w:rPr>
          <w:rFonts w:ascii="Arial" w:cs="Arial" w:eastAsia="Arial" w:hAnsi="Arial"/>
          <w:sz w:val="22"/>
          <w:szCs w:val="22"/>
        </w:rPr>
        <w:t xml:space="preserve">Create one small software company that owns and markets Analog Math Clock and Flashcard Flurry under a shared promise: useful, private learning tools that work offline and do not require an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3" w:sz="4"/>
              <w:left w:val="single" w:color="D9D9E3" w:sz="4"/>
              <w:bottom w:val="single" w:color="D9D9E3" w:sz="4"/>
              <w:right w:val="single" w:color="D9D9E3" w:sz="4"/>
            </w:tcBorders>
            <w:shd w:fill="EEF2FF" w:val="clear"/>
            <w:tcMar>
              <w:top w:type="dxa" w:w="180"/>
              <w:left w:type="dxa" w:w="220"/>
              <w:bottom w:type="dxa" w:w="180"/>
              <w:right w:type="dxa" w:w="220"/>
            </w:tcMar>
          </w:tcPr>
          <w:p>
            <w:pPr>
              <w:spacing w:before="0" w:after="0" w:line="300"/>
            </w:pPr>
            <w:r>
              <w:rPr>
                <w:rFonts w:ascii="Arial" w:cs="Arial" w:eastAsia="Arial" w:hAnsi="Arial"/>
                <w:b/>
                <w:bCs/>
                <w:sz w:val="22"/>
                <w:szCs w:val="22"/>
              </w:rPr>
              <w:t xml:space="preserve">Central recommendation:</w:t>
            </w:r>
            <w:r>
              <w:rPr>
                <w:rFonts w:ascii="Arial" w:cs="Arial" w:eastAsia="Arial" w:hAnsi="Arial"/>
                <w:sz w:val="22"/>
                <w:szCs w:val="22"/>
              </w:rPr>
              <w:t xml:space="preserve"> Keep the current PWAs available as free acquisition channels, establish the business and validate demand, and then release enhanced native editions through the Apple App Store and Google Play.</w:t>
            </w:r>
          </w:p>
        </w:tc>
      </w:tr>
    </w:tbl>
    <w:p>
      <w:pPr>
        <w:spacing w:before="0" w:after="140" w:line="300"/>
      </w:pPr>
      <w:r>
        <w:rPr>
          <w:rFonts w:ascii="Arial" w:cs="Arial" w:eastAsia="Arial" w:hAnsi="Arial"/>
          <w:sz w:val="22"/>
          <w:szCs w:val="22"/>
        </w:rPr>
        <w:t xml:space="preserve">Analog Math Clock should be the first store release because it is distinctive and comparatively contained. Its launch can serve as an operational pilot for app-store packaging, review, pricing, support, and marketing. Flashcard Flurry should follow as the larger long-term revenue opportunity because learners can use it repeatedly across subjects, courses, and certifications.</w:t>
      </w:r>
    </w:p>
    <w:p>
      <w:pPr>
        <w:pStyle w:val="Heading2"/>
        <w:keepNext/>
      </w:pPr>
      <w:r>
        <w:rPr>
          <w:rFonts w:ascii="Arial" w:cs="Arial" w:eastAsia="Arial" w:hAnsi="Arial"/>
          <w:b/>
          <w:bCs/>
          <w:sz w:val="22"/>
          <w:szCs w:val="22"/>
        </w:rPr>
        <w:t xml:space="preserve">Business Objectives</w:t>
      </w:r>
    </w:p>
    <w:p>
      <w:pPr>
        <w:pStyle w:val="ListParagraph"/>
        <w:numPr>
          <w:ilvl w:val="0"/>
          <w:numId w:val="2"/>
        </w:numPr>
        <w:spacing w:after="80" w:line="280"/>
      </w:pPr>
      <w:r>
        <w:rPr>
          <w:rFonts w:ascii="Arial" w:cs="Arial" w:eastAsia="Arial" w:hAnsi="Arial"/>
          <w:sz w:val="22"/>
          <w:szCs w:val="22"/>
        </w:rPr>
        <w:t xml:space="preserve">Build a recognizable portfolio of privacy-first educational applications.</w:t>
      </w:r>
    </w:p>
    <w:p>
      <w:pPr>
        <w:pStyle w:val="ListParagraph"/>
        <w:numPr>
          <w:ilvl w:val="0"/>
          <w:numId w:val="2"/>
        </w:numPr>
        <w:spacing w:after="80" w:line="280"/>
      </w:pPr>
      <w:r>
        <w:rPr>
          <w:rFonts w:ascii="Arial" w:cs="Arial" w:eastAsia="Arial" w:hAnsi="Arial"/>
          <w:sz w:val="22"/>
          <w:szCs w:val="22"/>
        </w:rPr>
        <w:t xml:space="preserve">Validate willingness to pay before investing heavily in native development or cloud services.</w:t>
      </w:r>
    </w:p>
    <w:p>
      <w:pPr>
        <w:pStyle w:val="ListParagraph"/>
        <w:numPr>
          <w:ilvl w:val="0"/>
          <w:numId w:val="2"/>
        </w:numPr>
        <w:spacing w:after="80" w:line="280"/>
      </w:pPr>
      <w:r>
        <w:rPr>
          <w:rFonts w:ascii="Arial" w:cs="Arial" w:eastAsia="Arial" w:hAnsi="Arial"/>
          <w:sz w:val="22"/>
          <w:szCs w:val="22"/>
        </w:rPr>
        <w:t xml:space="preserve">Generate recurring product awareness through useful educational and founder-led content.</w:t>
      </w:r>
    </w:p>
    <w:p>
      <w:pPr>
        <w:pStyle w:val="ListParagraph"/>
        <w:numPr>
          <w:ilvl w:val="0"/>
          <w:numId w:val="2"/>
        </w:numPr>
        <w:spacing w:after="80" w:line="280"/>
      </w:pPr>
      <w:r>
        <w:rPr>
          <w:rFonts w:ascii="Arial" w:cs="Arial" w:eastAsia="Arial" w:hAnsi="Arial"/>
          <w:sz w:val="22"/>
          <w:szCs w:val="22"/>
        </w:rPr>
        <w:t xml:space="preserve">Reach a sustainable first-year base of paying customers while keeping operating costs low.</w:t>
      </w:r>
    </w:p>
    <w:p>
      <w:pPr>
        <w:pStyle w:val="ListParagraph"/>
        <w:numPr>
          <w:ilvl w:val="0"/>
          <w:numId w:val="2"/>
        </w:numPr>
        <w:spacing w:after="80" w:line="280"/>
      </w:pPr>
      <w:r>
        <w:rPr>
          <w:rFonts w:ascii="Arial" w:cs="Arial" w:eastAsia="Arial" w:hAnsi="Arial"/>
          <w:sz w:val="22"/>
          <w:szCs w:val="22"/>
        </w:rPr>
        <w:t xml:space="preserve">Preserve the products' local-first, offline, and no-account advantages.</w:t>
      </w:r>
    </w:p>
    <w:p>
      <w:pPr>
        <w:pStyle w:val="Heading2"/>
        <w:keepNext/>
      </w:pPr>
      <w:r>
        <w:rPr>
          <w:rFonts w:ascii="Arial" w:cs="Arial" w:eastAsia="Arial" w:hAnsi="Arial"/>
          <w:b/>
          <w:bCs/>
          <w:sz w:val="22"/>
          <w:szCs w:val="22"/>
        </w:rPr>
        <w:t xml:space="preserve">Recommended Launch Order</w:t>
      </w:r>
    </w:p>
    <w:p>
      <w:pPr>
        <w:pStyle w:val="ListParagraph"/>
        <w:numPr>
          <w:ilvl w:val="0"/>
          <w:numId w:val="3"/>
        </w:numPr>
        <w:spacing w:after="100" w:line="285"/>
      </w:pPr>
      <w:r>
        <w:rPr>
          <w:rFonts w:ascii="Arial" w:cs="Arial" w:eastAsia="Arial" w:hAnsi="Arial"/>
          <w:sz w:val="22"/>
          <w:szCs w:val="22"/>
        </w:rPr>
        <w:t xml:space="preserve">Establish the business, legal foundation, hosting, and measurement system.</w:t>
      </w:r>
    </w:p>
    <w:p>
      <w:pPr>
        <w:pStyle w:val="ListParagraph"/>
        <w:numPr>
          <w:ilvl w:val="0"/>
          <w:numId w:val="3"/>
        </w:numPr>
        <w:spacing w:after="100" w:line="285"/>
      </w:pPr>
      <w:r>
        <w:rPr>
          <w:rFonts w:ascii="Arial" w:cs="Arial" w:eastAsia="Arial" w:hAnsi="Arial"/>
          <w:sz w:val="22"/>
          <w:szCs w:val="22"/>
        </w:rPr>
        <w:t xml:space="preserve">Market the existing PWAs and validate demand with interviews and a waitlist.</w:t>
      </w:r>
    </w:p>
    <w:p>
      <w:pPr>
        <w:pStyle w:val="ListParagraph"/>
        <w:numPr>
          <w:ilvl w:val="0"/>
          <w:numId w:val="3"/>
        </w:numPr>
        <w:spacing w:after="100" w:line="285"/>
      </w:pPr>
      <w:r>
        <w:rPr>
          <w:rFonts w:ascii="Arial" w:cs="Arial" w:eastAsia="Arial" w:hAnsi="Arial"/>
          <w:sz w:val="22"/>
          <w:szCs w:val="22"/>
        </w:rPr>
        <w:t xml:space="preserve">Release Analog Math Clock as the first native commercial product.</w:t>
      </w:r>
    </w:p>
    <w:p>
      <w:pPr>
        <w:pStyle w:val="ListParagraph"/>
        <w:numPr>
          <w:ilvl w:val="0"/>
          <w:numId w:val="3"/>
        </w:numPr>
        <w:spacing w:after="100" w:line="285"/>
      </w:pPr>
      <w:r>
        <w:rPr>
          <w:rFonts w:ascii="Arial" w:cs="Arial" w:eastAsia="Arial" w:hAnsi="Arial"/>
          <w:sz w:val="22"/>
          <w:szCs w:val="22"/>
        </w:rPr>
        <w:t xml:space="preserve">Apply the operational lessons to a native Flashcard Flurry release.</w:t>
      </w:r>
    </w:p>
    <w:p>
      <w:pPr>
        <w:pStyle w:val="ListParagraph"/>
        <w:numPr>
          <w:ilvl w:val="0"/>
          <w:numId w:val="3"/>
        </w:numPr>
        <w:spacing w:after="100" w:line="285"/>
      </w:pPr>
      <w:r>
        <w:rPr>
          <w:rFonts w:ascii="Arial" w:cs="Arial" w:eastAsia="Arial" w:hAnsi="Arial"/>
          <w:sz w:val="22"/>
          <w:szCs w:val="22"/>
        </w:rPr>
        <w:t xml:space="preserve">Evaluate cloud sync, subscriptions, and institutional sales only after traction is established.</w:t>
      </w:r>
    </w:p>
    <w:p>
      <w:pPr>
        <w:pStyle w:val="Heading1"/>
        <w:keepNext/>
        <w:pageBreakBefore/>
      </w:pPr>
      <w:r>
        <w:rPr>
          <w:rFonts w:ascii="Arial" w:cs="Arial" w:eastAsia="Arial" w:hAnsi="Arial"/>
          <w:b/>
          <w:bCs/>
          <w:sz w:val="22"/>
          <w:szCs w:val="22"/>
        </w:rPr>
        <w:t xml:space="preserve">1. Company and Brand Structure</w:t>
      </w:r>
    </w:p>
    <w:p>
      <w:pPr>
        <w:spacing w:before="0" w:after="140" w:line="300"/>
      </w:pPr>
      <w:r>
        <w:rPr>
          <w:rFonts w:ascii="Arial" w:cs="Arial" w:eastAsia="Arial" w:hAnsi="Arial"/>
          <w:sz w:val="22"/>
          <w:szCs w:val="22"/>
        </w:rPr>
        <w:t xml:space="preserve">Use one umbrella company rather than operating two unrelated products. A working example is Lurie Learning Labs LLC, subject to state-name and trademark clearance. The customer-facing product names should remain Analog Math Clock and Flashcard Flurry.</w:t>
      </w:r>
    </w:p>
    <w:p>
      <w:pPr>
        <w:pStyle w:val="Heading2"/>
        <w:keepNext/>
      </w:pPr>
      <w:r>
        <w:rPr>
          <w:rFonts w:ascii="Arial" w:cs="Arial" w:eastAsia="Arial" w:hAnsi="Arial"/>
          <w:b/>
          <w:bCs/>
          <w:sz w:val="22"/>
          <w:szCs w:val="22"/>
        </w:rPr>
        <w:t xml:space="preserve">Recommended Setup</w:t>
      </w:r>
    </w:p>
    <w:p>
      <w:pPr>
        <w:pStyle w:val="ListParagraph"/>
        <w:numPr>
          <w:ilvl w:val="0"/>
          <w:numId w:val="4"/>
        </w:numPr>
        <w:spacing w:after="100" w:line="285"/>
      </w:pPr>
      <w:r>
        <w:rPr>
          <w:rFonts w:ascii="Arial" w:cs="Arial" w:eastAsia="Arial" w:hAnsi="Arial"/>
          <w:sz w:val="22"/>
          <w:szCs w:val="22"/>
        </w:rPr>
        <w:t xml:space="preserve">Search state business records and the USPTO trademark database for the company and product names.</w:t>
      </w:r>
    </w:p>
    <w:p>
      <w:pPr>
        <w:pStyle w:val="ListParagraph"/>
        <w:numPr>
          <w:ilvl w:val="0"/>
          <w:numId w:val="4"/>
        </w:numPr>
        <w:spacing w:after="100" w:line="285"/>
      </w:pPr>
      <w:r>
        <w:rPr>
          <w:rFonts w:ascii="Arial" w:cs="Arial" w:eastAsia="Arial" w:hAnsi="Arial"/>
          <w:sz w:val="22"/>
          <w:szCs w:val="22"/>
        </w:rPr>
        <w:t xml:space="preserve">Form a single-member LLC in the owner's home state.</w:t>
      </w:r>
    </w:p>
    <w:p>
      <w:pPr>
        <w:pStyle w:val="ListParagraph"/>
        <w:numPr>
          <w:ilvl w:val="0"/>
          <w:numId w:val="4"/>
        </w:numPr>
        <w:spacing w:after="100" w:line="285"/>
      </w:pPr>
      <w:r>
        <w:rPr>
          <w:rFonts w:ascii="Arial" w:cs="Arial" w:eastAsia="Arial" w:hAnsi="Arial"/>
          <w:sz w:val="22"/>
          <w:szCs w:val="22"/>
        </w:rPr>
        <w:t xml:space="preserve">Obtain a free Employer Identification Number from the IRS.</w:t>
      </w:r>
    </w:p>
    <w:p>
      <w:pPr>
        <w:pStyle w:val="ListParagraph"/>
        <w:numPr>
          <w:ilvl w:val="0"/>
          <w:numId w:val="4"/>
        </w:numPr>
        <w:spacing w:after="100" w:line="285"/>
      </w:pPr>
      <w:r>
        <w:rPr>
          <w:rFonts w:ascii="Arial" w:cs="Arial" w:eastAsia="Arial" w:hAnsi="Arial"/>
          <w:sz w:val="22"/>
          <w:szCs w:val="22"/>
        </w:rPr>
        <w:t xml:space="preserve">Open a separate business checking account and business credit card.</w:t>
      </w:r>
    </w:p>
    <w:p>
      <w:pPr>
        <w:pStyle w:val="ListParagraph"/>
        <w:numPr>
          <w:ilvl w:val="0"/>
          <w:numId w:val="4"/>
        </w:numPr>
        <w:spacing w:after="100" w:line="285"/>
      </w:pPr>
      <w:r>
        <w:rPr>
          <w:rFonts w:ascii="Arial" w:cs="Arial" w:eastAsia="Arial" w:hAnsi="Arial"/>
          <w:sz w:val="22"/>
          <w:szCs w:val="22"/>
        </w:rPr>
        <w:t xml:space="preserve">Establish bookkeeping and retain receipts for every business expense.</w:t>
      </w:r>
    </w:p>
    <w:p>
      <w:pPr>
        <w:pStyle w:val="ListParagraph"/>
        <w:numPr>
          <w:ilvl w:val="0"/>
          <w:numId w:val="4"/>
        </w:numPr>
        <w:spacing w:after="100" w:line="285"/>
      </w:pPr>
      <w:r>
        <w:rPr>
          <w:rFonts w:ascii="Arial" w:cs="Arial" w:eastAsia="Arial" w:hAnsi="Arial"/>
          <w:sz w:val="22"/>
          <w:szCs w:val="22"/>
        </w:rPr>
        <w:t xml:space="preserve">Create support, privacy, and general-contact email addresses on a company-owned domain.</w:t>
      </w:r>
    </w:p>
    <w:p>
      <w:pPr>
        <w:pStyle w:val="ListParagraph"/>
        <w:numPr>
          <w:ilvl w:val="0"/>
          <w:numId w:val="4"/>
        </w:numPr>
        <w:spacing w:after="100" w:line="285"/>
      </w:pPr>
      <w:r>
        <w:rPr>
          <w:rFonts w:ascii="Arial" w:cs="Arial" w:eastAsia="Arial" w:hAnsi="Arial"/>
          <w:sz w:val="22"/>
          <w:szCs w:val="22"/>
        </w:rPr>
        <w:t xml:space="preserve">Request a D-U-N-S number for Apple and Google organization enrollment.</w:t>
      </w:r>
    </w:p>
    <w:p>
      <w:pPr>
        <w:pStyle w:val="ListParagraph"/>
        <w:numPr>
          <w:ilvl w:val="0"/>
          <w:numId w:val="4"/>
        </w:numPr>
        <w:spacing w:after="100" w:line="285"/>
      </w:pPr>
      <w:r>
        <w:rPr>
          <w:rFonts w:ascii="Arial" w:cs="Arial" w:eastAsia="Arial" w:hAnsi="Arial"/>
          <w:sz w:val="22"/>
          <w:szCs w:val="22"/>
        </w:rPr>
        <w:t xml:space="preserve">Enroll in Apple and Google developer programs as the company.</w:t>
      </w:r>
    </w:p>
    <w:p>
      <w:pPr>
        <w:pStyle w:val="ListParagraph"/>
        <w:numPr>
          <w:ilvl w:val="0"/>
          <w:numId w:val="4"/>
        </w:numPr>
        <w:spacing w:after="100" w:line="285"/>
      </w:pPr>
      <w:r>
        <w:rPr>
          <w:rFonts w:ascii="Arial" w:cs="Arial" w:eastAsia="Arial" w:hAnsi="Arial"/>
          <w:sz w:val="22"/>
          <w:szCs w:val="22"/>
        </w:rPr>
        <w:t xml:space="preserve">Have an accountant and attorney confirm tax, privacy, contract, and sales requirements.</w:t>
      </w:r>
    </w:p>
    <w:p>
      <w:pPr>
        <w:pStyle w:val="Heading2"/>
        <w:keepNext/>
      </w:pPr>
      <w:r>
        <w:rPr>
          <w:rFonts w:ascii="Arial" w:cs="Arial" w:eastAsia="Arial" w:hAnsi="Arial"/>
          <w:b/>
          <w:bCs/>
          <w:sz w:val="22"/>
          <w:szCs w:val="22"/>
        </w:rPr>
        <w:t xml:space="preserve">Why the Entity Should Come First</w:t>
      </w:r>
    </w:p>
    <w:p>
      <w:pPr>
        <w:spacing w:before="0" w:after="140" w:line="300"/>
      </w:pPr>
      <w:r>
        <w:rPr>
          <w:rFonts w:ascii="Arial" w:cs="Arial" w:eastAsia="Arial" w:hAnsi="Arial"/>
          <w:sz w:val="22"/>
          <w:szCs w:val="22"/>
        </w:rPr>
        <w:t xml:space="preserve">Apple displays an individual developer's legal name as the seller. Organization enrollment allows the legal entity or an approved registered trade name to appear. Both Apple and Google require organization verification, including a D-U-N-S number. Creating the entity first avoids launching under a personal seller identity and later having to transfer accounts or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3" w:sz="4"/>
              <w:left w:val="single" w:color="D9D9E3" w:sz="4"/>
              <w:bottom w:val="single" w:color="D9D9E3" w:sz="4"/>
              <w:right w:val="single" w:color="D9D9E3" w:sz="4"/>
            </w:tcBorders>
            <w:shd w:fill="FFF7E6" w:val="clear"/>
            <w:tcMar>
              <w:top w:type="dxa" w:w="180"/>
              <w:left w:type="dxa" w:w="220"/>
              <w:bottom w:type="dxa" w:w="180"/>
              <w:right w:type="dxa" w:w="220"/>
            </w:tcMar>
          </w:tcPr>
          <w:p>
            <w:pPr>
              <w:spacing w:before="0" w:after="0" w:line="300"/>
            </w:pPr>
            <w:r>
              <w:rPr>
                <w:rFonts w:ascii="Arial" w:cs="Arial" w:eastAsia="Arial" w:hAnsi="Arial"/>
                <w:b/>
                <w:bCs/>
                <w:sz w:val="22"/>
                <w:szCs w:val="22"/>
              </w:rPr>
              <w:t xml:space="preserve">Decision point:</w:t>
            </w:r>
            <w:r>
              <w:rPr>
                <w:rFonts w:ascii="Arial" w:cs="Arial" w:eastAsia="Arial" w:hAnsi="Arial"/>
                <w:sz w:val="22"/>
                <w:szCs w:val="22"/>
              </w:rPr>
              <w:t xml:space="preserve"> Choose the public developer and company identity before opening paid developer accounts. Store-facing names are difficult or impossible to change later.</w:t>
            </w:r>
          </w:p>
        </w:tc>
      </w:tr>
    </w:tbl>
    <w:p>
      <w:pPr>
        <w:pStyle w:val="Heading1"/>
        <w:keepNext/>
        <w:pageBreakBefore/>
      </w:pPr>
      <w:r>
        <w:rPr>
          <w:rFonts w:ascii="Arial" w:cs="Arial" w:eastAsia="Arial" w:hAnsi="Arial"/>
          <w:b/>
          <w:bCs/>
          <w:sz w:val="22"/>
          <w:szCs w:val="22"/>
        </w:rPr>
        <w:t xml:space="preserve">2. Products and Target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Product</w:t>
            </w:r>
          </w:p>
        </w:tc>
        <w:tc>
          <w:tcPr>
            <w:tcW w:type="dxa" w:w="358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Primary market</w:t>
            </w:r>
          </w:p>
        </w:tc>
        <w:tc>
          <w:tcPr>
            <w:tcW w:type="dxa" w:w="358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Secondary market</w:t>
            </w:r>
          </w:p>
        </w:tc>
      </w:tr>
      <w:tr>
        <w:trPr>
          <w:cantSplit/>
          <w:tblHeader w:val="false"/>
        </w:trPr>
        <w:tc>
          <w:tcPr>
            <w:tcW w:type="dxa" w:w="22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Analog Math Clock</w:t>
            </w:r>
          </w:p>
        </w:tc>
        <w:tc>
          <w:tcPr>
            <w:tcW w:type="dxa" w:w="358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Math teachers, homeschool families, classroom technology specialists</w:t>
            </w:r>
          </w:p>
        </w:tc>
        <w:tc>
          <w:tcPr>
            <w:tcW w:type="dxa" w:w="358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STEM enthusiasts, parents, offices, libraries</w:t>
            </w:r>
          </w:p>
        </w:tc>
      </w:tr>
      <w:tr>
        <w:trPr>
          <w:cantSplit/>
          <w:tblHeader w:val="false"/>
        </w:trPr>
        <w:tc>
          <w:tcPr>
            <w:tcW w:type="dxa" w:w="22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Flashcard Flurry</w:t>
            </w:r>
          </w:p>
        </w:tc>
        <w:tc>
          <w:tcPr>
            <w:tcW w:type="dxa" w:w="358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High-school and college students, certification learners</w:t>
            </w:r>
          </w:p>
        </w:tc>
        <w:tc>
          <w:tcPr>
            <w:tcW w:type="dxa" w:w="358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Teachers, homeschoolers, privacy-conscious learners</w:t>
            </w:r>
          </w:p>
        </w:tc>
      </w:tr>
      <w:tr>
        <w:trPr>
          <w:cantSplit/>
          <w:tblHeader w:val="false"/>
        </w:trPr>
        <w:tc>
          <w:tcPr>
            <w:tcW w:type="dxa" w:w="22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Combined portfolio</w:t>
            </w:r>
          </w:p>
        </w:tc>
        <w:tc>
          <w:tcPr>
            <w:tcW w:type="dxa" w:w="358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Educators and families seeking account-free learning tools</w:t>
            </w:r>
          </w:p>
        </w:tc>
        <w:tc>
          <w:tcPr>
            <w:tcW w:type="dxa" w:w="358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Schools, tutoring organizations, and training teams</w:t>
            </w:r>
          </w:p>
        </w:tc>
      </w:tr>
    </w:tbl>
    <w:p>
      <w:pPr>
        <w:pStyle w:val="Heading2"/>
        <w:keepNext/>
      </w:pPr>
      <w:r>
        <w:rPr>
          <w:rFonts w:ascii="Arial" w:cs="Arial" w:eastAsia="Arial" w:hAnsi="Arial"/>
          <w:b/>
          <w:bCs/>
          <w:sz w:val="22"/>
          <w:szCs w:val="22"/>
        </w:rPr>
        <w:t xml:space="preserve">Analog Math Clock Positioning</w:t>
      </w:r>
    </w:p>
    <w:p>
      <w:pPr>
        <w:spacing w:before="0" w:after="140" w:line="300"/>
      </w:pPr>
      <w:r>
        <w:rPr>
          <w:rFonts w:ascii="Arial" w:cs="Arial" w:eastAsia="Arial" w:hAnsi="Arial"/>
          <w:sz w:val="22"/>
          <w:szCs w:val="22"/>
        </w:rPr>
        <w:t xml:space="preserve">A customizable clock that makes math visible throughout the day. It combines classroom décor, world time, mathematical curiosity, and interactive learning in a product that is immediately understandable in a screenshot or short video.</w:t>
      </w:r>
    </w:p>
    <w:p>
      <w:pPr>
        <w:pStyle w:val="ListParagraph"/>
        <w:numPr>
          <w:ilvl w:val="0"/>
          <w:numId w:val="2"/>
        </w:numPr>
        <w:spacing w:after="80" w:line="280"/>
      </w:pPr>
      <w:r>
        <w:rPr>
          <w:rFonts w:ascii="Arial" w:cs="Arial" w:eastAsia="Arial" w:hAnsi="Arial"/>
          <w:sz w:val="22"/>
          <w:szCs w:val="22"/>
        </w:rPr>
        <w:t xml:space="preserve">Randomized simple, mixed, and advanced equations.</w:t>
      </w:r>
    </w:p>
    <w:p>
      <w:pPr>
        <w:pStyle w:val="ListParagraph"/>
        <w:numPr>
          <w:ilvl w:val="0"/>
          <w:numId w:val="2"/>
        </w:numPr>
        <w:spacing w:after="80" w:line="280"/>
      </w:pPr>
      <w:r>
        <w:rPr>
          <w:rFonts w:ascii="Arial" w:cs="Arial" w:eastAsia="Arial" w:hAnsi="Arial"/>
          <w:sz w:val="22"/>
          <w:szCs w:val="22"/>
        </w:rPr>
        <w:t xml:space="preserve">Binary and Maya numeral faces.</w:t>
      </w:r>
    </w:p>
    <w:p>
      <w:pPr>
        <w:pStyle w:val="ListParagraph"/>
        <w:numPr>
          <w:ilvl w:val="0"/>
          <w:numId w:val="2"/>
        </w:numPr>
        <w:spacing w:after="80" w:line="280"/>
      </w:pPr>
      <w:r>
        <w:rPr>
          <w:rFonts w:ascii="Arial" w:cs="Arial" w:eastAsia="Arial" w:hAnsi="Arial"/>
          <w:sz w:val="22"/>
          <w:szCs w:val="22"/>
        </w:rPr>
        <w:t xml:space="preserve">Multiple clocks and time zones.</w:t>
      </w:r>
    </w:p>
    <w:p>
      <w:pPr>
        <w:pStyle w:val="ListParagraph"/>
        <w:numPr>
          <w:ilvl w:val="0"/>
          <w:numId w:val="2"/>
        </w:numPr>
        <w:spacing w:after="80" w:line="280"/>
      </w:pPr>
      <w:r>
        <w:rPr>
          <w:rFonts w:ascii="Arial" w:cs="Arial" w:eastAsia="Arial" w:hAnsi="Arial"/>
          <w:sz w:val="22"/>
          <w:szCs w:val="22"/>
        </w:rPr>
        <w:t xml:space="preserve">Learning explanations, alarms, pictures, and accessible display controls.</w:t>
      </w:r>
    </w:p>
    <w:p>
      <w:pPr>
        <w:pStyle w:val="ListParagraph"/>
        <w:numPr>
          <w:ilvl w:val="0"/>
          <w:numId w:val="2"/>
        </w:numPr>
        <w:spacing w:after="80" w:line="280"/>
      </w:pPr>
      <w:r>
        <w:rPr>
          <w:rFonts w:ascii="Arial" w:cs="Arial" w:eastAsia="Arial" w:hAnsi="Arial"/>
          <w:sz w:val="22"/>
          <w:szCs w:val="22"/>
        </w:rPr>
        <w:t xml:space="preserve">Offline installation as a PWA.</w:t>
      </w:r>
    </w:p>
    <w:p>
      <w:pPr>
        <w:pStyle w:val="Heading2"/>
        <w:keepNext/>
      </w:pPr>
      <w:r>
        <w:rPr>
          <w:rFonts w:ascii="Arial" w:cs="Arial" w:eastAsia="Arial" w:hAnsi="Arial"/>
          <w:b/>
          <w:bCs/>
          <w:sz w:val="22"/>
          <w:szCs w:val="22"/>
        </w:rPr>
        <w:t xml:space="preserve">Flashcard Flurry Positioning</w:t>
      </w:r>
    </w:p>
    <w:p>
      <w:pPr>
        <w:spacing w:before="0" w:after="140" w:line="300"/>
      </w:pPr>
      <w:r>
        <w:rPr>
          <w:rFonts w:ascii="Arial" w:cs="Arial" w:eastAsia="Arial" w:hAnsi="Arial"/>
          <w:sz w:val="22"/>
          <w:szCs w:val="22"/>
        </w:rPr>
        <w:t xml:space="preserve">Private, offline flashcards without accounts, subscriptions, or cloud lock-in. Its strongest differentiation is ownership and control of study material combined with flexible import, creation, games, backups, and local profiles.</w:t>
      </w:r>
    </w:p>
    <w:p>
      <w:pPr>
        <w:pStyle w:val="ListParagraph"/>
        <w:numPr>
          <w:ilvl w:val="0"/>
          <w:numId w:val="2"/>
        </w:numPr>
        <w:spacing w:after="80" w:line="280"/>
      </w:pPr>
      <w:r>
        <w:rPr>
          <w:rFonts w:ascii="Arial" w:cs="Arial" w:eastAsia="Arial" w:hAnsi="Arial"/>
          <w:sz w:val="22"/>
          <w:szCs w:val="22"/>
        </w:rPr>
        <w:t xml:space="preserve">Create or import personal study material.</w:t>
      </w:r>
    </w:p>
    <w:p>
      <w:pPr>
        <w:pStyle w:val="ListParagraph"/>
        <w:numPr>
          <w:ilvl w:val="0"/>
          <w:numId w:val="2"/>
        </w:numPr>
        <w:spacing w:after="80" w:line="280"/>
      </w:pPr>
      <w:r>
        <w:rPr>
          <w:rFonts w:ascii="Arial" w:cs="Arial" w:eastAsia="Arial" w:hAnsi="Arial"/>
          <w:sz w:val="22"/>
          <w:szCs w:val="22"/>
        </w:rPr>
        <w:t xml:space="preserve">Flashcards, matching pairs, and multiple-choice study modes.</w:t>
      </w:r>
    </w:p>
    <w:p>
      <w:pPr>
        <w:pStyle w:val="ListParagraph"/>
        <w:numPr>
          <w:ilvl w:val="0"/>
          <w:numId w:val="2"/>
        </w:numPr>
        <w:spacing w:after="80" w:line="280"/>
      </w:pPr>
      <w:r>
        <w:rPr>
          <w:rFonts w:ascii="Arial" w:cs="Arial" w:eastAsia="Arial" w:hAnsi="Arial"/>
          <w:sz w:val="22"/>
          <w:szCs w:val="22"/>
        </w:rPr>
        <w:t xml:space="preserve">Local profiles, backups, flags, and saved study positions.</w:t>
      </w:r>
    </w:p>
    <w:p>
      <w:pPr>
        <w:pStyle w:val="ListParagraph"/>
        <w:numPr>
          <w:ilvl w:val="0"/>
          <w:numId w:val="2"/>
        </w:numPr>
        <w:spacing w:after="80" w:line="280"/>
      </w:pPr>
      <w:r>
        <w:rPr>
          <w:rFonts w:ascii="Arial" w:cs="Arial" w:eastAsia="Arial" w:hAnsi="Arial"/>
          <w:sz w:val="22"/>
          <w:szCs w:val="22"/>
        </w:rPr>
        <w:t xml:space="preserve">Offline operation without an account or application database.</w:t>
      </w:r>
    </w:p>
    <w:p>
      <w:pPr>
        <w:pStyle w:val="Heading2"/>
        <w:keepNext/>
      </w:pPr>
      <w:r>
        <w:rPr>
          <w:rFonts w:ascii="Arial" w:cs="Arial" w:eastAsia="Arial" w:hAnsi="Arial"/>
          <w:b/>
          <w:bCs/>
          <w:sz w:val="22"/>
          <w:szCs w:val="22"/>
        </w:rPr>
        <w:t xml:space="preserve">Portfolio-Level Brand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3" w:sz="4"/>
              <w:left w:val="single" w:color="D9D9E3" w:sz="4"/>
              <w:bottom w:val="single" w:color="D9D9E3" w:sz="4"/>
              <w:right w:val="single" w:color="D9D9E3" w:sz="4"/>
            </w:tcBorders>
            <w:shd w:fill="EEF2FF" w:val="clear"/>
            <w:tcMar>
              <w:top w:type="dxa" w:w="180"/>
              <w:left w:type="dxa" w:w="220"/>
              <w:bottom w:type="dxa" w:w="180"/>
              <w:right w:type="dxa" w:w="220"/>
            </w:tcMar>
          </w:tcPr>
          <w:p>
            <w:pPr>
              <w:spacing w:before="0" w:after="0" w:line="300"/>
            </w:pPr>
            <w:r>
              <w:rPr>
                <w:rFonts w:ascii="Arial" w:cs="Arial" w:eastAsia="Arial" w:hAnsi="Arial"/>
                <w:b/>
                <w:bCs/>
                <w:sz w:val="22"/>
                <w:szCs w:val="22"/>
              </w:rPr>
              <w:t xml:space="preserve">Suggested positioning:</w:t>
            </w:r>
            <w:r>
              <w:rPr>
                <w:rFonts w:ascii="Arial" w:cs="Arial" w:eastAsia="Arial" w:hAnsi="Arial"/>
                <w:sz w:val="22"/>
                <w:szCs w:val="22"/>
              </w:rPr>
              <w:t xml:space="preserve"> Educational tools that respect your attention and your data.</w:t>
            </w:r>
          </w:p>
        </w:tc>
      </w:tr>
    </w:tbl>
    <w:p>
      <w:pPr>
        <w:pStyle w:val="Heading1"/>
        <w:keepNext/>
        <w:pageBreakBefore/>
      </w:pPr>
      <w:r>
        <w:rPr>
          <w:rFonts w:ascii="Arial" w:cs="Arial" w:eastAsia="Arial" w:hAnsi="Arial"/>
          <w:b/>
          <w:bCs/>
          <w:sz w:val="22"/>
          <w:szCs w:val="22"/>
        </w:rPr>
        <w:t xml:space="preserve">3. Revenue and Pricing Strategy</w:t>
      </w:r>
    </w:p>
    <w:p>
      <w:pPr>
        <w:pStyle w:val="Heading2"/>
        <w:keepNext/>
      </w:pPr>
      <w:r>
        <w:rPr>
          <w:rFonts w:ascii="Arial" w:cs="Arial" w:eastAsia="Arial" w:hAnsi="Arial"/>
          <w:b/>
          <w:bCs/>
          <w:sz w:val="22"/>
          <w:szCs w:val="22"/>
        </w:rPr>
        <w:t xml:space="preserve">Recommended Initial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4260"/>
      </w:tblGrid>
      <w:tr>
        <w:trPr>
          <w:cantSplit/>
          <w:tblHeader/>
        </w:trPr>
        <w:tc>
          <w:tcPr>
            <w:tcW w:type="dxa" w:w="300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Offer</w:t>
            </w:r>
          </w:p>
        </w:tc>
        <w:tc>
          <w:tcPr>
            <w:tcW w:type="dxa" w:w="210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Price hypothesis</w:t>
            </w:r>
          </w:p>
        </w:tc>
        <w:tc>
          <w:tcPr>
            <w:tcW w:type="dxa" w:w="426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Purpose</w:t>
            </w:r>
          </w:p>
        </w:tc>
      </w:tr>
      <w:tr>
        <w:trPr>
          <w:cantSplit/>
          <w:tblHeader w:val="false"/>
        </w:trPr>
        <w:tc>
          <w:tcPr>
            <w:tcW w:type="dxa" w:w="30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Analog Math Clock native edition</w:t>
            </w:r>
          </w:p>
        </w:tc>
        <w:tc>
          <w:tcPr>
            <w:tcW w:type="dxa" w:w="21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$4.99 one-time</w:t>
            </w:r>
          </w:p>
        </w:tc>
        <w:tc>
          <w:tcPr>
            <w:tcW w:type="dxa" w:w="42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Distinctive, low-friction paid utility</w:t>
            </w:r>
          </w:p>
        </w:tc>
      </w:tr>
      <w:tr>
        <w:trPr>
          <w:cantSplit/>
          <w:tblHeader w:val="false"/>
        </w:trPr>
        <w:tc>
          <w:tcPr>
            <w:tcW w:type="dxa" w:w="30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Flashcard Flurry native edition</w:t>
            </w:r>
          </w:p>
        </w:tc>
        <w:tc>
          <w:tcPr>
            <w:tcW w:type="dxa" w:w="21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$9.99 one-time</w:t>
            </w:r>
          </w:p>
        </w:tc>
        <w:tc>
          <w:tcPr>
            <w:tcW w:type="dxa" w:w="42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Higher-value repeat-use study product</w:t>
            </w:r>
          </w:p>
        </w:tc>
      </w:tr>
      <w:tr>
        <w:trPr>
          <w:cantSplit/>
          <w:tblHeader w:val="false"/>
        </w:trPr>
        <w:tc>
          <w:tcPr>
            <w:tcW w:type="dxa" w:w="30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Introductory launch prices</w:t>
            </w:r>
          </w:p>
        </w:tc>
        <w:tc>
          <w:tcPr>
            <w:tcW w:type="dxa" w:w="21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$2.99 / $6.99</w:t>
            </w:r>
          </w:p>
        </w:tc>
        <w:tc>
          <w:tcPr>
            <w:tcW w:type="dxa" w:w="42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Time-limited early adoption incentive</w:t>
            </w:r>
          </w:p>
        </w:tc>
      </w:tr>
      <w:tr>
        <w:trPr>
          <w:cantSplit/>
          <w:tblHeader w:val="false"/>
        </w:trPr>
        <w:tc>
          <w:tcPr>
            <w:tcW w:type="dxa" w:w="30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Current web PWAs</w:t>
            </w:r>
          </w:p>
        </w:tc>
        <w:tc>
          <w:tcPr>
            <w:tcW w:type="dxa" w:w="21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Free initially</w:t>
            </w:r>
          </w:p>
        </w:tc>
        <w:tc>
          <w:tcPr>
            <w:tcW w:type="dxa" w:w="42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Discovery, trial, sharing, and validation</w:t>
            </w:r>
          </w:p>
        </w:tc>
      </w:tr>
    </w:tbl>
    <w:p>
      <w:pPr>
        <w:spacing w:before="0" w:after="140" w:line="300"/>
      </w:pPr>
      <w:r>
        <w:rPr>
          <w:rFonts w:ascii="Arial" w:cs="Arial" w:eastAsia="Arial" w:hAnsi="Arial"/>
          <w:sz w:val="22"/>
          <w:szCs w:val="22"/>
        </w:rPr>
        <w:t xml:space="preserve">Do not begin with subscriptions. Neither product currently has meaningful recurring server costs, cloud synchronization, or regularly delivered paid content. A subscription should be introduced only when customers receive an ongoing service.</w:t>
      </w:r>
    </w:p>
    <w:p>
      <w:pPr>
        <w:pStyle w:val="Heading2"/>
        <w:keepNext/>
      </w:pPr>
      <w:r>
        <w:rPr>
          <w:rFonts w:ascii="Arial" w:cs="Arial" w:eastAsia="Arial" w:hAnsi="Arial"/>
          <w:b/>
          <w:bCs/>
          <w:sz w:val="22"/>
          <w:szCs w:val="22"/>
        </w:rPr>
        <w:t xml:space="preserve">When a Subscription Could Make Sense</w:t>
      </w:r>
    </w:p>
    <w:p>
      <w:pPr>
        <w:pStyle w:val="ListParagraph"/>
        <w:numPr>
          <w:ilvl w:val="0"/>
          <w:numId w:val="2"/>
        </w:numPr>
        <w:spacing w:after="80" w:line="280"/>
      </w:pPr>
      <w:r>
        <w:rPr>
          <w:rFonts w:ascii="Arial" w:cs="Arial" w:eastAsia="Arial" w:hAnsi="Arial"/>
          <w:sz w:val="22"/>
          <w:szCs w:val="22"/>
        </w:rPr>
        <w:t xml:space="preserve">Cross-device cloud synchronization.</w:t>
      </w:r>
    </w:p>
    <w:p>
      <w:pPr>
        <w:pStyle w:val="ListParagraph"/>
        <w:numPr>
          <w:ilvl w:val="0"/>
          <w:numId w:val="2"/>
        </w:numPr>
        <w:spacing w:after="80" w:line="280"/>
      </w:pPr>
      <w:r>
        <w:rPr>
          <w:rFonts w:ascii="Arial" w:cs="Arial" w:eastAsia="Arial" w:hAnsi="Arial"/>
          <w:sz w:val="22"/>
          <w:szCs w:val="22"/>
        </w:rPr>
        <w:t xml:space="preserve">Shared family or classroom libraries.</w:t>
      </w:r>
    </w:p>
    <w:p>
      <w:pPr>
        <w:pStyle w:val="ListParagraph"/>
        <w:numPr>
          <w:ilvl w:val="0"/>
          <w:numId w:val="2"/>
        </w:numPr>
        <w:spacing w:after="80" w:line="280"/>
      </w:pPr>
      <w:r>
        <w:rPr>
          <w:rFonts w:ascii="Arial" w:cs="Arial" w:eastAsia="Arial" w:hAnsi="Arial"/>
          <w:sz w:val="22"/>
          <w:szCs w:val="22"/>
        </w:rPr>
        <w:t xml:space="preserve">AI-assisted deck generation with recurring operating costs.</w:t>
      </w:r>
    </w:p>
    <w:p>
      <w:pPr>
        <w:pStyle w:val="ListParagraph"/>
        <w:numPr>
          <w:ilvl w:val="0"/>
          <w:numId w:val="2"/>
        </w:numPr>
        <w:spacing w:after="80" w:line="280"/>
      </w:pPr>
      <w:r>
        <w:rPr>
          <w:rFonts w:ascii="Arial" w:cs="Arial" w:eastAsia="Arial" w:hAnsi="Arial"/>
          <w:sz w:val="22"/>
          <w:szCs w:val="22"/>
        </w:rPr>
        <w:t xml:space="preserve">OCR and hosted document-processing services.</w:t>
      </w:r>
    </w:p>
    <w:p>
      <w:pPr>
        <w:pStyle w:val="ListParagraph"/>
        <w:numPr>
          <w:ilvl w:val="0"/>
          <w:numId w:val="2"/>
        </w:numPr>
        <w:spacing w:after="80" w:line="280"/>
      </w:pPr>
      <w:r>
        <w:rPr>
          <w:rFonts w:ascii="Arial" w:cs="Arial" w:eastAsia="Arial" w:hAnsi="Arial"/>
          <w:sz w:val="22"/>
          <w:szCs w:val="22"/>
        </w:rPr>
        <w:t xml:space="preserve">Teacher administration and student assignment capabilities.</w:t>
      </w:r>
    </w:p>
    <w:p>
      <w:pPr>
        <w:pStyle w:val="ListParagraph"/>
        <w:numPr>
          <w:ilvl w:val="0"/>
          <w:numId w:val="2"/>
        </w:numPr>
        <w:spacing w:after="80" w:line="280"/>
      </w:pPr>
      <w:r>
        <w:rPr>
          <w:rFonts w:ascii="Arial" w:cs="Arial" w:eastAsia="Arial" w:hAnsi="Arial"/>
          <w:sz w:val="22"/>
          <w:szCs w:val="22"/>
        </w:rPr>
        <w:t xml:space="preserve">Regular premium content or equation libraries.</w:t>
      </w:r>
    </w:p>
    <w:p>
      <w:pPr>
        <w:pStyle w:val="Heading2"/>
        <w:keepNext/>
      </w:pPr>
      <w:r>
        <w:rPr>
          <w:rFonts w:ascii="Arial" w:cs="Arial" w:eastAsia="Arial" w:hAnsi="Arial"/>
          <w:b/>
          <w:bCs/>
          <w:sz w:val="22"/>
          <w:szCs w:val="22"/>
        </w:rPr>
        <w:t xml:space="preserve">Free Web and Paid Native Value</w:t>
      </w:r>
    </w:p>
    <w:p>
      <w:pPr>
        <w:spacing w:before="0" w:after="140" w:line="300"/>
      </w:pPr>
      <w:r>
        <w:rPr>
          <w:rFonts w:ascii="Arial" w:cs="Arial" w:eastAsia="Arial" w:hAnsi="Arial"/>
          <w:sz w:val="22"/>
          <w:szCs w:val="22"/>
        </w:rPr>
        <w:t xml:space="preserve">Paid native editions must offer more than installation convenience. This improves customer value and reduces the risk that an app store treats the product as a repackaged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Analog Math Clock native value</w:t>
            </w:r>
          </w:p>
        </w:tc>
        <w:tc>
          <w:tcPr>
            <w:tcW w:type="dxa" w:w="468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Flashcard Flurry native value</w:t>
            </w:r>
          </w:p>
        </w:tc>
      </w:tr>
      <w:tr>
        <w:trPr>
          <w:cantSplit/>
          <w:tblHeader w:val="false"/>
        </w:trPr>
        <w:tc>
          <w:tcPr>
            <w:tcW w:type="dxa" w:w="468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Home Screen widgets</w:t>
            </w:r>
          </w:p>
        </w:tc>
        <w:tc>
          <w:tcPr>
            <w:tcW w:type="dxa" w:w="468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Native Files and Share Sheet integration</w:t>
            </w:r>
          </w:p>
        </w:tc>
      </w:tr>
      <w:tr>
        <w:trPr>
          <w:cantSplit/>
          <w:tblHeader w:val="false"/>
        </w:trPr>
        <w:tc>
          <w:tcPr>
            <w:tcW w:type="dxa" w:w="468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More reliable local alarms and notifications</w:t>
            </w:r>
          </w:p>
        </w:tc>
        <w:tc>
          <w:tcPr>
            <w:tcW w:type="dxa" w:w="468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Study-reminder notifications</w:t>
            </w:r>
          </w:p>
        </w:tc>
      </w:tr>
      <w:tr>
        <w:trPr>
          <w:cantSplit/>
          <w:tblHeader w:val="false"/>
        </w:trPr>
        <w:tc>
          <w:tcPr>
            <w:tcW w:type="dxa" w:w="468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Native sharing and export</w:t>
            </w:r>
          </w:p>
        </w:tc>
        <w:tc>
          <w:tcPr>
            <w:tcW w:type="dxa" w:w="468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Haptics and improved offline file handling</w:t>
            </w:r>
          </w:p>
        </w:tc>
      </w:tr>
      <w:tr>
        <w:trPr>
          <w:cantSplit/>
          <w:tblHeader w:val="false"/>
        </w:trPr>
        <w:tc>
          <w:tcPr>
            <w:tcW w:type="dxa" w:w="468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Premium designs or equation packs</w:t>
            </w:r>
          </w:p>
        </w:tc>
        <w:tc>
          <w:tcPr>
            <w:tcW w:type="dxa" w:w="468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Home Screen study widgets</w:t>
            </w:r>
          </w:p>
        </w:tc>
      </w:tr>
      <w:tr>
        <w:trPr>
          <w:cantSplit/>
          <w:tblHeader w:val="false"/>
        </w:trPr>
        <w:tc>
          <w:tcPr>
            <w:tcW w:type="dxa" w:w="468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Simpler installation and updates</w:t>
            </w:r>
          </w:p>
        </w:tc>
        <w:tc>
          <w:tcPr>
            <w:tcW w:type="dxa" w:w="468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Optional device backup or synchronization</w:t>
            </w:r>
          </w:p>
        </w:tc>
      </w:tr>
    </w:tbl>
    <w:p>
      <w:pPr>
        <w:pStyle w:val="Heading1"/>
        <w:keepNext/>
        <w:pageBreakBefore/>
      </w:pPr>
      <w:r>
        <w:rPr>
          <w:rFonts w:ascii="Arial" w:cs="Arial" w:eastAsia="Arial" w:hAnsi="Arial"/>
          <w:b/>
          <w:bCs/>
          <w:sz w:val="22"/>
          <w:szCs w:val="22"/>
        </w:rPr>
        <w:t xml:space="preserve">4. Technical Commercialization Plan</w:t>
      </w:r>
    </w:p>
    <w:p>
      <w:pPr>
        <w:pStyle w:val="Heading2"/>
        <w:keepNext/>
      </w:pPr>
      <w:r>
        <w:rPr>
          <w:rFonts w:ascii="Arial" w:cs="Arial" w:eastAsia="Arial" w:hAnsi="Arial"/>
          <w:b/>
          <w:bCs/>
          <w:sz w:val="22"/>
          <w:szCs w:val="22"/>
        </w:rPr>
        <w:t xml:space="preserve">Phase 1: Maintain the PWAs</w:t>
      </w:r>
    </w:p>
    <w:p>
      <w:pPr>
        <w:spacing w:before="0" w:after="140" w:line="300"/>
      </w:pPr>
      <w:r>
        <w:rPr>
          <w:rFonts w:ascii="Arial" w:cs="Arial" w:eastAsia="Arial" w:hAnsi="Arial"/>
          <w:sz w:val="22"/>
          <w:szCs w:val="22"/>
        </w:rPr>
        <w:t xml:space="preserve">Continue using the existing applications as the product foundation. Preserve offline support, backup and restore, accessibility, privacy, and browser installation. Avoid rewriting working application logic before commercial demand has been demonstrated.</w:t>
      </w:r>
    </w:p>
    <w:p>
      <w:pPr>
        <w:spacing w:before="0" w:after="140" w:line="300"/>
      </w:pPr>
      <w:r>
        <w:rPr>
          <w:rFonts w:ascii="Arial" w:cs="Arial" w:eastAsia="Arial" w:hAnsi="Arial"/>
          <w:sz w:val="22"/>
          <w:szCs w:val="22"/>
        </w:rPr>
        <w:t xml:space="preserve">Before the sites become primarily commercial, move production hosting away from GitHub Pages. GitHub states that Pages is not intended or allowed as free hosting for an online business, e-commerce site, or commercial SaaS. The source repositories can remain on GitHub while deployment moves to a commercial-compatible host.</w:t>
      </w:r>
    </w:p>
    <w:p>
      <w:pPr>
        <w:pStyle w:val="ListParagraph"/>
        <w:numPr>
          <w:ilvl w:val="0"/>
          <w:numId w:val="2"/>
        </w:numPr>
        <w:spacing w:after="80" w:line="280"/>
      </w:pPr>
      <w:r>
        <w:rPr>
          <w:rFonts w:ascii="Arial" w:cs="Arial" w:eastAsia="Arial" w:hAnsi="Arial"/>
          <w:sz w:val="22"/>
          <w:szCs w:val="22"/>
        </w:rPr>
        <w:t xml:space="preserve">Cloudflare Pages is suitable for static applications with generous deployment limits.</w:t>
      </w:r>
    </w:p>
    <w:p>
      <w:pPr>
        <w:pStyle w:val="ListParagraph"/>
        <w:numPr>
          <w:ilvl w:val="0"/>
          <w:numId w:val="2"/>
        </w:numPr>
        <w:spacing w:after="80" w:line="280"/>
      </w:pPr>
      <w:r>
        <w:rPr>
          <w:rFonts w:ascii="Arial" w:cs="Arial" w:eastAsia="Arial" w:hAnsi="Arial"/>
          <w:sz w:val="22"/>
          <w:szCs w:val="22"/>
        </w:rPr>
        <w:t xml:space="preserve">Netlify explicitly supports commercial projects, subject to plan limits.</w:t>
      </w:r>
    </w:p>
    <w:p>
      <w:pPr>
        <w:pStyle w:val="ListParagraph"/>
        <w:numPr>
          <w:ilvl w:val="0"/>
          <w:numId w:val="2"/>
        </w:numPr>
        <w:spacing w:after="80" w:line="280"/>
      </w:pPr>
      <w:r>
        <w:rPr>
          <w:rFonts w:ascii="Arial" w:cs="Arial" w:eastAsia="Arial" w:hAnsi="Arial"/>
          <w:sz w:val="22"/>
          <w:szCs w:val="22"/>
        </w:rPr>
        <w:t xml:space="preserve">A paid hosting plan can be adopted when traffic, support, or service-level needs justify it.</w:t>
      </w:r>
    </w:p>
    <w:p>
      <w:pPr>
        <w:pStyle w:val="Heading2"/>
        <w:keepNext/>
      </w:pPr>
      <w:r>
        <w:rPr>
          <w:rFonts w:ascii="Arial" w:cs="Arial" w:eastAsia="Arial" w:hAnsi="Arial"/>
          <w:b/>
          <w:bCs/>
          <w:sz w:val="22"/>
          <w:szCs w:val="22"/>
        </w:rPr>
        <w:t xml:space="preserve">Phase 2: Native Packaging</w:t>
      </w:r>
    </w:p>
    <w:p>
      <w:pPr>
        <w:spacing w:before="0" w:after="140" w:line="300"/>
      </w:pPr>
      <w:r>
        <w:rPr>
          <w:rFonts w:ascii="Arial" w:cs="Arial" w:eastAsia="Arial" w:hAnsi="Arial"/>
          <w:sz w:val="22"/>
          <w:szCs w:val="22"/>
        </w:rPr>
        <w:t xml:space="preserve">Use Capacitor or a similar architecture to retain most of the existing HTML, CSS, and JavaScript while adding meaningful Swift and Kotlin integrations. Apple requires applications to provide utility and an app-like experience beyond a repackaged website.</w:t>
      </w:r>
    </w:p>
    <w:p>
      <w:pPr>
        <w:pStyle w:val="Heading2"/>
        <w:keepNext/>
      </w:pPr>
      <w:r>
        <w:rPr>
          <w:rFonts w:ascii="Arial" w:cs="Arial" w:eastAsia="Arial" w:hAnsi="Arial"/>
          <w:b/>
          <w:bCs/>
          <w:sz w:val="22"/>
          <w:szCs w:val="22"/>
        </w:rPr>
        <w:t xml:space="preserve">Technical Resources Required</w:t>
      </w:r>
    </w:p>
    <w:p>
      <w:pPr>
        <w:pStyle w:val="ListParagraph"/>
        <w:numPr>
          <w:ilvl w:val="0"/>
          <w:numId w:val="2"/>
        </w:numPr>
        <w:spacing w:after="80" w:line="280"/>
      </w:pPr>
      <w:r>
        <w:rPr>
          <w:rFonts w:ascii="Arial" w:cs="Arial" w:eastAsia="Arial" w:hAnsi="Arial"/>
          <w:sz w:val="22"/>
          <w:szCs w:val="22"/>
        </w:rPr>
        <w:t xml:space="preserve">A Mac capable of running the current Xcode release.</w:t>
      </w:r>
    </w:p>
    <w:p>
      <w:pPr>
        <w:pStyle w:val="ListParagraph"/>
        <w:numPr>
          <w:ilvl w:val="0"/>
          <w:numId w:val="2"/>
        </w:numPr>
        <w:spacing w:after="80" w:line="280"/>
      </w:pPr>
      <w:r>
        <w:rPr>
          <w:rFonts w:ascii="Arial" w:cs="Arial" w:eastAsia="Arial" w:hAnsi="Arial"/>
          <w:sz w:val="22"/>
          <w:szCs w:val="22"/>
        </w:rPr>
        <w:t xml:space="preserve">Xcode, Android Studio, and test devices.</w:t>
      </w:r>
    </w:p>
    <w:p>
      <w:pPr>
        <w:pStyle w:val="ListParagraph"/>
        <w:numPr>
          <w:ilvl w:val="0"/>
          <w:numId w:val="2"/>
        </w:numPr>
        <w:spacing w:after="80" w:line="280"/>
      </w:pPr>
      <w:r>
        <w:rPr>
          <w:rFonts w:ascii="Arial" w:cs="Arial" w:eastAsia="Arial" w:hAnsi="Arial"/>
          <w:sz w:val="22"/>
          <w:szCs w:val="22"/>
        </w:rPr>
        <w:t xml:space="preserve">Apple Developer and Google Play Console accounts.</w:t>
      </w:r>
    </w:p>
    <w:p>
      <w:pPr>
        <w:pStyle w:val="ListParagraph"/>
        <w:numPr>
          <w:ilvl w:val="0"/>
          <w:numId w:val="2"/>
        </w:numPr>
        <w:spacing w:after="80" w:line="280"/>
      </w:pPr>
      <w:r>
        <w:rPr>
          <w:rFonts w:ascii="Arial" w:cs="Arial" w:eastAsia="Arial" w:hAnsi="Arial"/>
          <w:sz w:val="22"/>
          <w:szCs w:val="22"/>
        </w:rPr>
        <w:t xml:space="preserve">Native icons, splash screens, screenshots, descriptions, and store previews.</w:t>
      </w:r>
    </w:p>
    <w:p>
      <w:pPr>
        <w:pStyle w:val="ListParagraph"/>
        <w:numPr>
          <w:ilvl w:val="0"/>
          <w:numId w:val="2"/>
        </w:numPr>
        <w:spacing w:after="80" w:line="280"/>
      </w:pPr>
      <w:r>
        <w:rPr>
          <w:rFonts w:ascii="Arial" w:cs="Arial" w:eastAsia="Arial" w:hAnsi="Arial"/>
          <w:sz w:val="22"/>
          <w:szCs w:val="22"/>
        </w:rPr>
        <w:t xml:space="preserve">StoreKit and Google Play Billing integration when unlocking digital features.</w:t>
      </w:r>
    </w:p>
    <w:p>
      <w:pPr>
        <w:pStyle w:val="ListParagraph"/>
        <w:numPr>
          <w:ilvl w:val="0"/>
          <w:numId w:val="2"/>
        </w:numPr>
        <w:spacing w:after="80" w:line="280"/>
      </w:pPr>
      <w:r>
        <w:rPr>
          <w:rFonts w:ascii="Arial" w:cs="Arial" w:eastAsia="Arial" w:hAnsi="Arial"/>
          <w:sz w:val="22"/>
          <w:szCs w:val="22"/>
        </w:rPr>
        <w:t xml:space="preserve">Native notification, file-handling, backup, and sharing code.</w:t>
      </w:r>
    </w:p>
    <w:p>
      <w:pPr>
        <w:pStyle w:val="ListParagraph"/>
        <w:numPr>
          <w:ilvl w:val="0"/>
          <w:numId w:val="2"/>
        </w:numPr>
        <w:spacing w:after="80" w:line="280"/>
      </w:pPr>
      <w:r>
        <w:rPr>
          <w:rFonts w:ascii="Arial" w:cs="Arial" w:eastAsia="Arial" w:hAnsi="Arial"/>
          <w:sz w:val="22"/>
          <w:szCs w:val="22"/>
        </w:rPr>
        <w:t xml:space="preserve">A repeatable beta, release, crash-response, and update process.</w:t>
      </w:r>
    </w:p>
    <w:p>
      <w:pPr>
        <w:pStyle w:val="Heading2"/>
        <w:keepNext/>
      </w:pPr>
      <w:r>
        <w:rPr>
          <w:rFonts w:ascii="Arial" w:cs="Arial" w:eastAsia="Arial" w:hAnsi="Arial"/>
          <w:b/>
          <w:bCs/>
          <w:sz w:val="22"/>
          <w:szCs w:val="22"/>
        </w:rPr>
        <w:t xml:space="preserve">Current Store Costs and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Requirement</w:t>
            </w:r>
          </w:p>
        </w:tc>
        <w:tc>
          <w:tcPr>
            <w:tcW w:type="dxa" w:w="516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Current planning figure</w:t>
            </w:r>
          </w:p>
        </w:tc>
      </w:tr>
      <w:tr>
        <w:trPr>
          <w:cantSplit/>
          <w:tblHeader w:val="false"/>
        </w:trPr>
        <w:tc>
          <w:tcPr>
            <w:tcW w:type="dxa" w:w="42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Apple Developer Program</w:t>
            </w:r>
          </w:p>
        </w:tc>
        <w:tc>
          <w:tcPr>
            <w:tcW w:type="dxa" w:w="51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$99 per membership year</w:t>
            </w:r>
          </w:p>
        </w:tc>
      </w:tr>
      <w:tr>
        <w:trPr>
          <w:cantSplit/>
          <w:tblHeader w:val="false"/>
        </w:trPr>
        <w:tc>
          <w:tcPr>
            <w:tcW w:type="dxa" w:w="42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Google Play full distribution</w:t>
            </w:r>
          </w:p>
        </w:tc>
        <w:tc>
          <w:tcPr>
            <w:tcW w:type="dxa" w:w="51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$25 one-time registration</w:t>
            </w:r>
          </w:p>
        </w:tc>
      </w:tr>
      <w:tr>
        <w:trPr>
          <w:cantSplit/>
          <w:tblHeader w:val="false"/>
        </w:trPr>
        <w:tc>
          <w:tcPr>
            <w:tcW w:type="dxa" w:w="42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Apple Small Business commission</w:t>
            </w:r>
          </w:p>
        </w:tc>
        <w:tc>
          <w:tcPr>
            <w:tcW w:type="dxa" w:w="51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15% for qualifying developers</w:t>
            </w:r>
          </w:p>
        </w:tc>
      </w:tr>
      <w:tr>
        <w:trPr>
          <w:cantSplit/>
          <w:tblHeader w:val="false"/>
        </w:trPr>
        <w:tc>
          <w:tcPr>
            <w:tcW w:type="dxa" w:w="42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Google U.S. first-$1M tier</w:t>
            </w:r>
          </w:p>
        </w:tc>
        <w:tc>
          <w:tcPr>
            <w:tcW w:type="dxa" w:w="51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Generally 10% service fee plus 5% billing fee</w:t>
            </w:r>
          </w:p>
        </w:tc>
      </w:tr>
      <w:tr>
        <w:trPr>
          <w:cantSplit/>
          <w:tblHeader w:val="false"/>
        </w:trPr>
        <w:tc>
          <w:tcPr>
            <w:tcW w:type="dxa" w:w="42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New Google personal-account testing</w:t>
            </w:r>
          </w:p>
        </w:tc>
        <w:tc>
          <w:tcPr>
            <w:tcW w:type="dxa" w:w="51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12 testers continuously enrolled for 14 days</w:t>
            </w:r>
          </w:p>
        </w:tc>
      </w:tr>
    </w:tbl>
    <w:p>
      <w:pPr>
        <w:pStyle w:val="Heading1"/>
        <w:keepNext/>
        <w:pageBreakBefore/>
      </w:pPr>
      <w:r>
        <w:rPr>
          <w:rFonts w:ascii="Arial" w:cs="Arial" w:eastAsia="Arial" w:hAnsi="Arial"/>
          <w:b/>
          <w:bCs/>
          <w:sz w:val="22"/>
          <w:szCs w:val="22"/>
        </w:rPr>
        <w:t xml:space="preserve">5. Legal, Privacy, and Operations</w:t>
      </w:r>
    </w:p>
    <w:p>
      <w:pPr>
        <w:spacing w:before="0" w:after="140" w:line="300"/>
      </w:pPr>
      <w:r>
        <w:rPr>
          <w:rFonts w:ascii="Arial" w:cs="Arial" w:eastAsia="Arial" w:hAnsi="Arial"/>
          <w:sz w:val="22"/>
          <w:szCs w:val="22"/>
        </w:rPr>
        <w:t xml:space="preserve">The following materials should be maintained for each product before accepting payment or submitting to an app store.</w:t>
      </w:r>
    </w:p>
    <w:p>
      <w:pPr>
        <w:pStyle w:val="ListParagraph"/>
        <w:numPr>
          <w:ilvl w:val="0"/>
          <w:numId w:val="2"/>
        </w:numPr>
        <w:spacing w:after="80" w:line="280"/>
      </w:pPr>
      <w:r>
        <w:rPr>
          <w:rFonts w:ascii="Arial" w:cs="Arial" w:eastAsia="Arial" w:hAnsi="Arial"/>
          <w:sz w:val="22"/>
          <w:szCs w:val="22"/>
        </w:rPr>
        <w:t xml:space="preserve">Privacy Policy.</w:t>
      </w:r>
    </w:p>
    <w:p>
      <w:pPr>
        <w:pStyle w:val="ListParagraph"/>
        <w:numPr>
          <w:ilvl w:val="0"/>
          <w:numId w:val="2"/>
        </w:numPr>
        <w:spacing w:after="80" w:line="280"/>
      </w:pPr>
      <w:r>
        <w:rPr>
          <w:rFonts w:ascii="Arial" w:cs="Arial" w:eastAsia="Arial" w:hAnsi="Arial"/>
          <w:sz w:val="22"/>
          <w:szCs w:val="22"/>
        </w:rPr>
        <w:t xml:space="preserve">Terms of Use and end-user license terms.</w:t>
      </w:r>
    </w:p>
    <w:p>
      <w:pPr>
        <w:pStyle w:val="ListParagraph"/>
        <w:numPr>
          <w:ilvl w:val="0"/>
          <w:numId w:val="2"/>
        </w:numPr>
        <w:spacing w:after="80" w:line="280"/>
      </w:pPr>
      <w:r>
        <w:rPr>
          <w:rFonts w:ascii="Arial" w:cs="Arial" w:eastAsia="Arial" w:hAnsi="Arial"/>
          <w:sz w:val="22"/>
          <w:szCs w:val="22"/>
        </w:rPr>
        <w:t xml:space="preserve">Support page and monitored support email.</w:t>
      </w:r>
    </w:p>
    <w:p>
      <w:pPr>
        <w:pStyle w:val="ListParagraph"/>
        <w:numPr>
          <w:ilvl w:val="0"/>
          <w:numId w:val="2"/>
        </w:numPr>
        <w:spacing w:after="80" w:line="280"/>
      </w:pPr>
      <w:r>
        <w:rPr>
          <w:rFonts w:ascii="Arial" w:cs="Arial" w:eastAsia="Arial" w:hAnsi="Arial"/>
          <w:sz w:val="22"/>
          <w:szCs w:val="22"/>
        </w:rPr>
        <w:t xml:space="preserve">Refund and cancellation explanation.</w:t>
      </w:r>
    </w:p>
    <w:p>
      <w:pPr>
        <w:pStyle w:val="ListParagraph"/>
        <w:numPr>
          <w:ilvl w:val="0"/>
          <w:numId w:val="2"/>
        </w:numPr>
        <w:spacing w:after="80" w:line="280"/>
      </w:pPr>
      <w:r>
        <w:rPr>
          <w:rFonts w:ascii="Arial" w:cs="Arial" w:eastAsia="Arial" w:hAnsi="Arial"/>
          <w:sz w:val="22"/>
          <w:szCs w:val="22"/>
        </w:rPr>
        <w:t xml:space="preserve">Copyright and trademark notices.</w:t>
      </w:r>
    </w:p>
    <w:p>
      <w:pPr>
        <w:pStyle w:val="ListParagraph"/>
        <w:numPr>
          <w:ilvl w:val="0"/>
          <w:numId w:val="2"/>
        </w:numPr>
        <w:spacing w:after="80" w:line="280"/>
      </w:pPr>
      <w:r>
        <w:rPr>
          <w:rFonts w:ascii="Arial" w:cs="Arial" w:eastAsia="Arial" w:hAnsi="Arial"/>
          <w:sz w:val="22"/>
          <w:szCs w:val="22"/>
        </w:rPr>
        <w:t xml:space="preserve">Accessibility statement.</w:t>
      </w:r>
    </w:p>
    <w:p>
      <w:pPr>
        <w:pStyle w:val="ListParagraph"/>
        <w:numPr>
          <w:ilvl w:val="0"/>
          <w:numId w:val="2"/>
        </w:numPr>
        <w:spacing w:after="80" w:line="280"/>
      </w:pPr>
      <w:r>
        <w:rPr>
          <w:rFonts w:ascii="Arial" w:cs="Arial" w:eastAsia="Arial" w:hAnsi="Arial"/>
          <w:sz w:val="22"/>
          <w:szCs w:val="22"/>
        </w:rPr>
        <w:t xml:space="preserve">Apple privacy and Google Data Safety disclosures.</w:t>
      </w:r>
    </w:p>
    <w:p>
      <w:pPr>
        <w:pStyle w:val="ListParagraph"/>
        <w:numPr>
          <w:ilvl w:val="0"/>
          <w:numId w:val="2"/>
        </w:numPr>
        <w:spacing w:after="80" w:line="280"/>
      </w:pPr>
      <w:r>
        <w:rPr>
          <w:rFonts w:ascii="Arial" w:cs="Arial" w:eastAsia="Arial" w:hAnsi="Arial"/>
          <w:sz w:val="22"/>
          <w:szCs w:val="22"/>
        </w:rPr>
        <w:t xml:space="preserve">Internal inventory of third-party services and libraries.</w:t>
      </w:r>
    </w:p>
    <w:p>
      <w:pPr>
        <w:pStyle w:val="ListParagraph"/>
        <w:numPr>
          <w:ilvl w:val="0"/>
          <w:numId w:val="2"/>
        </w:numPr>
        <w:spacing w:after="80" w:line="280"/>
      </w:pPr>
      <w:r>
        <w:rPr>
          <w:rFonts w:ascii="Arial" w:cs="Arial" w:eastAsia="Arial" w:hAnsi="Arial"/>
          <w:sz w:val="22"/>
          <w:szCs w:val="22"/>
        </w:rPr>
        <w:t xml:space="preserve">Process for support, privacy, deletion, security, and incident requests.</w:t>
      </w:r>
    </w:p>
    <w:p>
      <w:pPr>
        <w:pStyle w:val="ListParagraph"/>
        <w:numPr>
          <w:ilvl w:val="0"/>
          <w:numId w:val="2"/>
        </w:numPr>
        <w:spacing w:after="80" w:line="280"/>
      </w:pPr>
      <w:r>
        <w:rPr>
          <w:rFonts w:ascii="Arial" w:cs="Arial" w:eastAsia="Arial" w:hAnsi="Arial"/>
          <w:sz w:val="22"/>
          <w:szCs w:val="22"/>
        </w:rPr>
        <w:t xml:space="preserve">Backup, release, rollback, and operational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3" w:sz="4"/>
              <w:left w:val="single" w:color="D9D9E3" w:sz="4"/>
              <w:bottom w:val="single" w:color="D9D9E3" w:sz="4"/>
              <w:right w:val="single" w:color="D9D9E3" w:sz="4"/>
            </w:tcBorders>
            <w:shd w:fill="FFF7E6" w:val="clear"/>
            <w:tcMar>
              <w:top w:type="dxa" w:w="180"/>
              <w:left w:type="dxa" w:w="220"/>
              <w:bottom w:type="dxa" w:w="180"/>
              <w:right w:type="dxa" w:w="220"/>
            </w:tcMar>
          </w:tcPr>
          <w:p>
            <w:pPr>
              <w:spacing w:before="0" w:after="0" w:line="300"/>
            </w:pPr>
            <w:r>
              <w:rPr>
                <w:rFonts w:ascii="Arial" w:cs="Arial" w:eastAsia="Arial" w:hAnsi="Arial"/>
                <w:b/>
                <w:bCs/>
                <w:sz w:val="22"/>
                <w:szCs w:val="22"/>
              </w:rPr>
              <w:t xml:space="preserve">Identified gap:</w:t>
            </w:r>
            <w:r>
              <w:rPr>
                <w:rFonts w:ascii="Arial" w:cs="Arial" w:eastAsia="Arial" w:hAnsi="Arial"/>
                <w:sz w:val="22"/>
                <w:szCs w:val="22"/>
              </w:rPr>
              <w:t xml:space="preserve"> Analog Math Clock should receive a standalone Terms of Use page comparable to Flashcard Flurry before commercialization.</w:t>
            </w:r>
          </w:p>
        </w:tc>
      </w:tr>
    </w:tbl>
    <w:p>
      <w:pPr>
        <w:pStyle w:val="Heading2"/>
        <w:keepNext/>
      </w:pPr>
      <w:r>
        <w:rPr>
          <w:rFonts w:ascii="Arial" w:cs="Arial" w:eastAsia="Arial" w:hAnsi="Arial"/>
          <w:b/>
          <w:bCs/>
          <w:sz w:val="22"/>
          <w:szCs w:val="22"/>
        </w:rPr>
        <w:t xml:space="preserve">Children and Education</w:t>
      </w:r>
    </w:p>
    <w:p>
      <w:pPr>
        <w:spacing w:before="0" w:after="140" w:line="300"/>
      </w:pPr>
      <w:r>
        <w:rPr>
          <w:rFonts w:ascii="Arial" w:cs="Arial" w:eastAsia="Arial" w:hAnsi="Arial"/>
          <w:sz w:val="22"/>
          <w:szCs w:val="22"/>
        </w:rPr>
        <w:t xml:space="preserve">The current local-first, no-account architecture reduces privacy exposure and should remain a prominent advantage. However, adding analytics, advertising, cloud accounts, support forms, or synchronized student information changes the legal analysis. COPPA can apply to services directed to children under 13 and to services that knowingly collect their personal information.</w:t>
      </w:r>
    </w:p>
    <w:p>
      <w:pPr>
        <w:spacing w:before="0" w:after="140" w:line="300"/>
      </w:pPr>
      <w:r>
        <w:rPr>
          <w:rFonts w:ascii="Arial" w:cs="Arial" w:eastAsia="Arial" w:hAnsi="Arial"/>
          <w:sz w:val="22"/>
          <w:szCs w:val="22"/>
        </w:rPr>
        <w:t xml:space="preserve">Market initially to teachers, parents, homeschool families, students, and general learners without positioning either product exclusively as a service for children under 13. Obtain privacy counsel before introducing child accounts, classroom rosters, advertising, or cloud-hosted student data.</w:t>
      </w:r>
    </w:p>
    <w:p>
      <w:pPr>
        <w:pStyle w:val="Heading1"/>
        <w:keepNext/>
        <w:pageBreakBefore/>
      </w:pPr>
      <w:r>
        <w:rPr>
          <w:rFonts w:ascii="Arial" w:cs="Arial" w:eastAsia="Arial" w:hAnsi="Arial"/>
          <w:b/>
          <w:bCs/>
          <w:sz w:val="22"/>
          <w:szCs w:val="22"/>
        </w:rPr>
        <w:t xml:space="preserve">6. Marketing and Customer Acquisition</w:t>
      </w:r>
    </w:p>
    <w:p>
      <w:pPr>
        <w:pStyle w:val="Heading2"/>
        <w:keepNext/>
      </w:pPr>
      <w:r>
        <w:rPr>
          <w:rFonts w:ascii="Arial" w:cs="Arial" w:eastAsia="Arial" w:hAnsi="Arial"/>
          <w:b/>
          <w:bCs/>
          <w:sz w:val="22"/>
          <w:szCs w:val="22"/>
        </w:rPr>
        <w:t xml:space="preserve">Content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Content pillar</w:t>
            </w:r>
          </w:p>
        </w:tc>
        <w:tc>
          <w:tcPr>
            <w:tcW w:type="dxa" w:w="656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Examples</w:t>
            </w:r>
          </w:p>
        </w:tc>
      </w:tr>
      <w:tr>
        <w:trPr>
          <w:cantSplit/>
          <w:tblHeader w:val="false"/>
        </w:trPr>
        <w:tc>
          <w:tcPr>
            <w:tcW w:type="dxa" w:w="28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Founder and build story</w:t>
            </w:r>
          </w:p>
        </w:tc>
        <w:tc>
          <w:tcPr>
            <w:tcW w:type="dxa" w:w="65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The clock meme, why equations should change, building account-free learning tools</w:t>
            </w:r>
          </w:p>
        </w:tc>
      </w:tr>
      <w:tr>
        <w:trPr>
          <w:cantSplit/>
          <w:tblHeader w:val="false"/>
        </w:trPr>
        <w:tc>
          <w:tcPr>
            <w:tcW w:type="dxa" w:w="28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Product demonstrations</w:t>
            </w:r>
          </w:p>
        </w:tc>
        <w:tc>
          <w:tcPr>
            <w:tcW w:type="dxa" w:w="65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Equation difficulty, Binary and Maya modes, creating and studying a deck</w:t>
            </w:r>
          </w:p>
        </w:tc>
      </w:tr>
      <w:tr>
        <w:trPr>
          <w:cantSplit/>
          <w:tblHeader w:val="false"/>
        </w:trPr>
        <w:tc>
          <w:tcPr>
            <w:tcW w:type="dxa" w:w="28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Educational content</w:t>
            </w:r>
          </w:p>
        </w:tc>
        <w:tc>
          <w:tcPr>
            <w:tcW w:type="dxa" w:w="65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What ln(e) means, reading binary, study techniques, writing effective flashcards</w:t>
            </w:r>
          </w:p>
        </w:tc>
      </w:tr>
      <w:tr>
        <w:trPr>
          <w:cantSplit/>
          <w:tblHeader w:val="false"/>
        </w:trPr>
        <w:tc>
          <w:tcPr>
            <w:tcW w:type="dxa" w:w="28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Customer use cases</w:t>
            </w:r>
          </w:p>
        </w:tc>
        <w:tc>
          <w:tcPr>
            <w:tcW w:type="dxa" w:w="65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Classroom displays, homeschool math, certification study, travel clocks</w:t>
            </w:r>
          </w:p>
        </w:tc>
      </w:tr>
    </w:tbl>
    <w:p>
      <w:pPr>
        <w:pStyle w:val="Heading2"/>
        <w:keepNext/>
      </w:pPr>
      <w:r>
        <w:rPr>
          <w:rFonts w:ascii="Arial" w:cs="Arial" w:eastAsia="Arial" w:hAnsi="Arial"/>
          <w:b/>
          <w:bCs/>
          <w:sz w:val="22"/>
          <w:szCs w:val="22"/>
        </w:rPr>
        <w:t xml:space="preserve">Initial Channels</w:t>
      </w:r>
    </w:p>
    <w:p>
      <w:pPr>
        <w:pStyle w:val="ListParagraph"/>
        <w:numPr>
          <w:ilvl w:val="0"/>
          <w:numId w:val="2"/>
        </w:numPr>
        <w:spacing w:after="80" w:line="280"/>
      </w:pPr>
      <w:r>
        <w:rPr>
          <w:rFonts w:ascii="Arial" w:cs="Arial" w:eastAsia="Arial" w:hAnsi="Arial"/>
          <w:sz w:val="22"/>
          <w:szCs w:val="22"/>
        </w:rPr>
        <w:t xml:space="preserve">LinkedIn: two useful or founder-led posts each week.</w:t>
      </w:r>
    </w:p>
    <w:p>
      <w:pPr>
        <w:pStyle w:val="ListParagraph"/>
        <w:numPr>
          <w:ilvl w:val="0"/>
          <w:numId w:val="2"/>
        </w:numPr>
        <w:spacing w:after="80" w:line="280"/>
      </w:pPr>
      <w:r>
        <w:rPr>
          <w:rFonts w:ascii="Arial" w:cs="Arial" w:eastAsia="Arial" w:hAnsi="Arial"/>
          <w:sz w:val="22"/>
          <w:szCs w:val="22"/>
        </w:rPr>
        <w:t xml:space="preserve">Short demonstration videos for LinkedIn, YouTube, Instagram, and TikTok.</w:t>
      </w:r>
    </w:p>
    <w:p>
      <w:pPr>
        <w:pStyle w:val="ListParagraph"/>
        <w:numPr>
          <w:ilvl w:val="0"/>
          <w:numId w:val="2"/>
        </w:numPr>
        <w:spacing w:after="80" w:line="280"/>
      </w:pPr>
      <w:r>
        <w:rPr>
          <w:rFonts w:ascii="Arial" w:cs="Arial" w:eastAsia="Arial" w:hAnsi="Arial"/>
          <w:sz w:val="22"/>
          <w:szCs w:val="22"/>
        </w:rPr>
        <w:t xml:space="preserve">Product-specific search pages targeting classroom clocks and offline flashcards.</w:t>
      </w:r>
    </w:p>
    <w:p>
      <w:pPr>
        <w:pStyle w:val="ListParagraph"/>
        <w:numPr>
          <w:ilvl w:val="0"/>
          <w:numId w:val="2"/>
        </w:numPr>
        <w:spacing w:after="80" w:line="280"/>
      </w:pPr>
      <w:r>
        <w:rPr>
          <w:rFonts w:ascii="Arial" w:cs="Arial" w:eastAsia="Arial" w:hAnsi="Arial"/>
          <w:sz w:val="22"/>
          <w:szCs w:val="22"/>
        </w:rPr>
        <w:t xml:space="preserve">Teacher, homeschool, math, certification, and productivity communities.</w:t>
      </w:r>
    </w:p>
    <w:p>
      <w:pPr>
        <w:pStyle w:val="ListParagraph"/>
        <w:numPr>
          <w:ilvl w:val="0"/>
          <w:numId w:val="2"/>
        </w:numPr>
        <w:spacing w:after="80" w:line="280"/>
      </w:pPr>
      <w:r>
        <w:rPr>
          <w:rFonts w:ascii="Arial" w:cs="Arial" w:eastAsia="Arial" w:hAnsi="Arial"/>
          <w:sz w:val="22"/>
          <w:szCs w:val="22"/>
        </w:rPr>
        <w:t xml:space="preserve">Education and productivity newsletters.</w:t>
      </w:r>
    </w:p>
    <w:p>
      <w:pPr>
        <w:pStyle w:val="ListParagraph"/>
        <w:numPr>
          <w:ilvl w:val="0"/>
          <w:numId w:val="2"/>
        </w:numPr>
        <w:spacing w:after="80" w:line="280"/>
      </w:pPr>
      <w:r>
        <w:rPr>
          <w:rFonts w:ascii="Arial" w:cs="Arial" w:eastAsia="Arial" w:hAnsi="Arial"/>
          <w:sz w:val="22"/>
          <w:szCs w:val="22"/>
        </w:rPr>
        <w:t xml:space="preserve">Product Hunt when each native application launches.</w:t>
      </w:r>
    </w:p>
    <w:p>
      <w:pPr>
        <w:pStyle w:val="ListParagraph"/>
        <w:numPr>
          <w:ilvl w:val="0"/>
          <w:numId w:val="2"/>
        </w:numPr>
        <w:spacing w:after="80" w:line="280"/>
      </w:pPr>
      <w:r>
        <w:rPr>
          <w:rFonts w:ascii="Arial" w:cs="Arial" w:eastAsia="Arial" w:hAnsi="Arial"/>
          <w:sz w:val="22"/>
          <w:szCs w:val="22"/>
        </w:rPr>
        <w:t xml:space="preserve">App Store and Google Play search optimization.</w:t>
      </w:r>
    </w:p>
    <w:p>
      <w:pPr>
        <w:pStyle w:val="ListParagraph"/>
        <w:numPr>
          <w:ilvl w:val="0"/>
          <w:numId w:val="2"/>
        </w:numPr>
        <w:spacing w:after="80" w:line="280"/>
      </w:pPr>
      <w:r>
        <w:rPr>
          <w:rFonts w:ascii="Arial" w:cs="Arial" w:eastAsia="Arial" w:hAnsi="Arial"/>
          <w:sz w:val="22"/>
          <w:szCs w:val="22"/>
        </w:rPr>
        <w:t xml:space="preserve">Cross-promotion between the two applications.</w:t>
      </w:r>
    </w:p>
    <w:p>
      <w:pPr>
        <w:pStyle w:val="ListParagraph"/>
        <w:numPr>
          <w:ilvl w:val="0"/>
          <w:numId w:val="2"/>
        </w:numPr>
        <w:spacing w:after="80" w:line="280"/>
      </w:pPr>
      <w:r>
        <w:rPr>
          <w:rFonts w:ascii="Arial" w:cs="Arial" w:eastAsia="Arial" w:hAnsi="Arial"/>
          <w:sz w:val="22"/>
          <w:szCs w:val="22"/>
        </w:rPr>
        <w:t xml:space="preserve">A permission-based quarterly product newsletter.</w:t>
      </w:r>
    </w:p>
    <w:p>
      <w:pPr>
        <w:spacing w:before="0" w:after="140" w:line="300"/>
      </w:pPr>
      <w:r>
        <w:rPr>
          <w:rFonts w:ascii="Arial" w:cs="Arial" w:eastAsia="Arial" w:hAnsi="Arial"/>
          <w:sz w:val="22"/>
          <w:szCs w:val="22"/>
        </w:rPr>
        <w:t xml:space="preserve">Avoid relying on paid advertising initially. Both applications are visually demonstrable and should first be validated through organic content, educator communities, direct conversations, and referrals.</w:t>
      </w:r>
    </w:p>
    <w:p>
      <w:pPr>
        <w:pStyle w:val="Heading2"/>
        <w:keepNext/>
      </w:pPr>
      <w:r>
        <w:rPr>
          <w:rFonts w:ascii="Arial" w:cs="Arial" w:eastAsia="Arial" w:hAnsi="Arial"/>
          <w:b/>
          <w:bCs/>
          <w:sz w:val="22"/>
          <w:szCs w:val="22"/>
        </w:rPr>
        <w:t xml:space="preserve">Website Requirements</w:t>
      </w:r>
    </w:p>
    <w:p>
      <w:pPr>
        <w:pStyle w:val="ListParagraph"/>
        <w:numPr>
          <w:ilvl w:val="0"/>
          <w:numId w:val="2"/>
        </w:numPr>
        <w:spacing w:after="80" w:line="280"/>
      </w:pPr>
      <w:r>
        <w:rPr>
          <w:rFonts w:ascii="Arial" w:cs="Arial" w:eastAsia="Arial" w:hAnsi="Arial"/>
          <w:sz w:val="22"/>
          <w:szCs w:val="22"/>
        </w:rPr>
        <w:t xml:space="preserve">Focused product landing page.</w:t>
      </w:r>
    </w:p>
    <w:p>
      <w:pPr>
        <w:pStyle w:val="ListParagraph"/>
        <w:numPr>
          <w:ilvl w:val="0"/>
          <w:numId w:val="2"/>
        </w:numPr>
        <w:spacing w:after="80" w:line="280"/>
      </w:pPr>
      <w:r>
        <w:rPr>
          <w:rFonts w:ascii="Arial" w:cs="Arial" w:eastAsia="Arial" w:hAnsi="Arial"/>
          <w:sz w:val="22"/>
          <w:szCs w:val="22"/>
        </w:rPr>
        <w:t xml:space="preserve">Screenshots and a short product demonstration.</w:t>
      </w:r>
    </w:p>
    <w:p>
      <w:pPr>
        <w:pStyle w:val="ListParagraph"/>
        <w:numPr>
          <w:ilvl w:val="0"/>
          <w:numId w:val="2"/>
        </w:numPr>
        <w:spacing w:after="80" w:line="280"/>
      </w:pPr>
      <w:r>
        <w:rPr>
          <w:rFonts w:ascii="Arial" w:cs="Arial" w:eastAsia="Arial" w:hAnsi="Arial"/>
          <w:sz w:val="22"/>
          <w:szCs w:val="22"/>
        </w:rPr>
        <w:t xml:space="preserve">Feature and audience sections.</w:t>
      </w:r>
    </w:p>
    <w:p>
      <w:pPr>
        <w:pStyle w:val="ListParagraph"/>
        <w:numPr>
          <w:ilvl w:val="0"/>
          <w:numId w:val="2"/>
        </w:numPr>
        <w:spacing w:after="80" w:line="280"/>
      </w:pPr>
      <w:r>
        <w:rPr>
          <w:rFonts w:ascii="Arial" w:cs="Arial" w:eastAsia="Arial" w:hAnsi="Arial"/>
          <w:sz w:val="22"/>
          <w:szCs w:val="22"/>
        </w:rPr>
        <w:t xml:space="preserve">Installation and store-download choices.</w:t>
      </w:r>
    </w:p>
    <w:p>
      <w:pPr>
        <w:pStyle w:val="ListParagraph"/>
        <w:numPr>
          <w:ilvl w:val="0"/>
          <w:numId w:val="2"/>
        </w:numPr>
        <w:spacing w:after="80" w:line="280"/>
      </w:pPr>
      <w:r>
        <w:rPr>
          <w:rFonts w:ascii="Arial" w:cs="Arial" w:eastAsia="Arial" w:hAnsi="Arial"/>
          <w:sz w:val="22"/>
          <w:szCs w:val="22"/>
        </w:rPr>
        <w:t xml:space="preserve">Pricing, FAQ, Privacy, Terms, and Support.</w:t>
      </w:r>
    </w:p>
    <w:p>
      <w:pPr>
        <w:pStyle w:val="ListParagraph"/>
        <w:numPr>
          <w:ilvl w:val="0"/>
          <w:numId w:val="2"/>
        </w:numPr>
        <w:spacing w:after="80" w:line="280"/>
      </w:pPr>
      <w:r>
        <w:rPr>
          <w:rFonts w:ascii="Arial" w:cs="Arial" w:eastAsia="Arial" w:hAnsi="Arial"/>
          <w:sz w:val="22"/>
          <w:szCs w:val="22"/>
        </w:rPr>
        <w:t xml:space="preserve">Press and media kit.</w:t>
      </w:r>
    </w:p>
    <w:p>
      <w:pPr>
        <w:pStyle w:val="ListParagraph"/>
        <w:numPr>
          <w:ilvl w:val="0"/>
          <w:numId w:val="2"/>
        </w:numPr>
        <w:spacing w:after="80" w:line="280"/>
      </w:pPr>
      <w:r>
        <w:rPr>
          <w:rFonts w:ascii="Arial" w:cs="Arial" w:eastAsia="Arial" w:hAnsi="Arial"/>
          <w:sz w:val="22"/>
          <w:szCs w:val="22"/>
        </w:rPr>
        <w:t xml:space="preserve">Email waitlist and launch notification signup.</w:t>
      </w:r>
    </w:p>
    <w:p>
      <w:pPr>
        <w:pStyle w:val="ListParagraph"/>
        <w:numPr>
          <w:ilvl w:val="0"/>
          <w:numId w:val="2"/>
        </w:numPr>
        <w:spacing w:after="80" w:line="280"/>
      </w:pPr>
      <w:r>
        <w:rPr>
          <w:rFonts w:ascii="Arial" w:cs="Arial" w:eastAsia="Arial" w:hAnsi="Arial"/>
          <w:sz w:val="22"/>
          <w:szCs w:val="22"/>
        </w:rPr>
        <w:t xml:space="preserve">A small company page connecting both products.</w:t>
      </w:r>
    </w:p>
    <w:p>
      <w:pPr>
        <w:pStyle w:val="Heading1"/>
        <w:keepNext/>
        <w:pageBreakBefore/>
      </w:pPr>
      <w:r>
        <w:rPr>
          <w:rFonts w:ascii="Arial" w:cs="Arial" w:eastAsia="Arial" w:hAnsi="Arial"/>
          <w:b/>
          <w:bCs/>
          <w:sz w:val="22"/>
          <w:szCs w:val="22"/>
        </w:rPr>
        <w:t xml:space="preserve">7. First 90 Days</w:t>
      </w:r>
    </w:p>
    <w:p>
      <w:pPr>
        <w:pStyle w:val="Heading2"/>
        <w:keepNext/>
      </w:pPr>
      <w:r>
        <w:rPr>
          <w:rFonts w:ascii="Arial" w:cs="Arial" w:eastAsia="Arial" w:hAnsi="Arial"/>
          <w:b/>
          <w:bCs/>
          <w:sz w:val="22"/>
          <w:szCs w:val="22"/>
        </w:rPr>
        <w:t xml:space="preserve">Days 1–30: Foundation</w:t>
      </w:r>
    </w:p>
    <w:p>
      <w:pPr>
        <w:pStyle w:val="ListParagraph"/>
        <w:numPr>
          <w:ilvl w:val="0"/>
          <w:numId w:val="2"/>
        </w:numPr>
        <w:spacing w:after="80" w:line="280"/>
      </w:pPr>
      <w:r>
        <w:rPr>
          <w:rFonts w:ascii="Arial" w:cs="Arial" w:eastAsia="Arial" w:hAnsi="Arial"/>
          <w:sz w:val="22"/>
          <w:szCs w:val="22"/>
        </w:rPr>
        <w:t xml:space="preserve">Choose and clear the umbrella company name.</w:t>
      </w:r>
    </w:p>
    <w:p>
      <w:pPr>
        <w:pStyle w:val="ListParagraph"/>
        <w:numPr>
          <w:ilvl w:val="0"/>
          <w:numId w:val="2"/>
        </w:numPr>
        <w:spacing w:after="80" w:line="280"/>
      </w:pPr>
      <w:r>
        <w:rPr>
          <w:rFonts w:ascii="Arial" w:cs="Arial" w:eastAsia="Arial" w:hAnsi="Arial"/>
          <w:sz w:val="22"/>
          <w:szCs w:val="22"/>
        </w:rPr>
        <w:t xml:space="preserve">Form the LLC and obtain the EIN.</w:t>
      </w:r>
    </w:p>
    <w:p>
      <w:pPr>
        <w:pStyle w:val="ListParagraph"/>
        <w:numPr>
          <w:ilvl w:val="0"/>
          <w:numId w:val="2"/>
        </w:numPr>
        <w:spacing w:after="80" w:line="280"/>
      </w:pPr>
      <w:r>
        <w:rPr>
          <w:rFonts w:ascii="Arial" w:cs="Arial" w:eastAsia="Arial" w:hAnsi="Arial"/>
          <w:sz w:val="22"/>
          <w:szCs w:val="22"/>
        </w:rPr>
        <w:t xml:space="preserve">Open banking and establish bookkeeping.</w:t>
      </w:r>
    </w:p>
    <w:p>
      <w:pPr>
        <w:pStyle w:val="ListParagraph"/>
        <w:numPr>
          <w:ilvl w:val="0"/>
          <w:numId w:val="2"/>
        </w:numPr>
        <w:spacing w:after="80" w:line="280"/>
      </w:pPr>
      <w:r>
        <w:rPr>
          <w:rFonts w:ascii="Arial" w:cs="Arial" w:eastAsia="Arial" w:hAnsi="Arial"/>
          <w:sz w:val="22"/>
          <w:szCs w:val="22"/>
        </w:rPr>
        <w:t xml:space="preserve">Request the D-U-N-S number.</w:t>
      </w:r>
    </w:p>
    <w:p>
      <w:pPr>
        <w:pStyle w:val="ListParagraph"/>
        <w:numPr>
          <w:ilvl w:val="0"/>
          <w:numId w:val="2"/>
        </w:numPr>
        <w:spacing w:after="80" w:line="280"/>
      </w:pPr>
      <w:r>
        <w:rPr>
          <w:rFonts w:ascii="Arial" w:cs="Arial" w:eastAsia="Arial" w:hAnsi="Arial"/>
          <w:sz w:val="22"/>
          <w:szCs w:val="22"/>
        </w:rPr>
        <w:t xml:space="preserve">Create company email addresses.</w:t>
      </w:r>
    </w:p>
    <w:p>
      <w:pPr>
        <w:pStyle w:val="ListParagraph"/>
        <w:numPr>
          <w:ilvl w:val="0"/>
          <w:numId w:val="2"/>
        </w:numPr>
        <w:spacing w:after="80" w:line="280"/>
      </w:pPr>
      <w:r>
        <w:rPr>
          <w:rFonts w:ascii="Arial" w:cs="Arial" w:eastAsia="Arial" w:hAnsi="Arial"/>
          <w:sz w:val="22"/>
          <w:szCs w:val="22"/>
        </w:rPr>
        <w:t xml:space="preserve">Move both products to commercial-compatible hosting.</w:t>
      </w:r>
    </w:p>
    <w:p>
      <w:pPr>
        <w:pStyle w:val="ListParagraph"/>
        <w:numPr>
          <w:ilvl w:val="0"/>
          <w:numId w:val="2"/>
        </w:numPr>
        <w:spacing w:after="80" w:line="280"/>
      </w:pPr>
      <w:r>
        <w:rPr>
          <w:rFonts w:ascii="Arial" w:cs="Arial" w:eastAsia="Arial" w:hAnsi="Arial"/>
          <w:sz w:val="22"/>
          <w:szCs w:val="22"/>
        </w:rPr>
        <w:t xml:space="preserve">Add Terms and Support pages to Analog Math Clock.</w:t>
      </w:r>
    </w:p>
    <w:p>
      <w:pPr>
        <w:pStyle w:val="ListParagraph"/>
        <w:numPr>
          <w:ilvl w:val="0"/>
          <w:numId w:val="2"/>
        </w:numPr>
        <w:spacing w:after="80" w:line="280"/>
      </w:pPr>
      <w:r>
        <w:rPr>
          <w:rFonts w:ascii="Arial" w:cs="Arial" w:eastAsia="Arial" w:hAnsi="Arial"/>
          <w:sz w:val="22"/>
          <w:szCs w:val="22"/>
        </w:rPr>
        <w:t xml:space="preserve">Review both Privacy Policies for commercial and native distribution.</w:t>
      </w:r>
    </w:p>
    <w:p>
      <w:pPr>
        <w:pStyle w:val="ListParagraph"/>
        <w:numPr>
          <w:ilvl w:val="0"/>
          <w:numId w:val="2"/>
        </w:numPr>
        <w:spacing w:after="80" w:line="280"/>
      </w:pPr>
      <w:r>
        <w:rPr>
          <w:rFonts w:ascii="Arial" w:cs="Arial" w:eastAsia="Arial" w:hAnsi="Arial"/>
          <w:sz w:val="22"/>
          <w:szCs w:val="22"/>
        </w:rPr>
        <w:t xml:space="preserve">Create a one-page portfolio or company site.</w:t>
      </w:r>
    </w:p>
    <w:p>
      <w:pPr>
        <w:pStyle w:val="ListParagraph"/>
        <w:numPr>
          <w:ilvl w:val="0"/>
          <w:numId w:val="2"/>
        </w:numPr>
        <w:spacing w:after="80" w:line="280"/>
      </w:pPr>
      <w:r>
        <w:rPr>
          <w:rFonts w:ascii="Arial" w:cs="Arial" w:eastAsia="Arial" w:hAnsi="Arial"/>
          <w:sz w:val="22"/>
          <w:szCs w:val="22"/>
        </w:rPr>
        <w:t xml:space="preserve">Establish privacy-conscious aggregate measurement.</w:t>
      </w:r>
    </w:p>
    <w:p>
      <w:pPr>
        <w:pStyle w:val="Heading2"/>
        <w:keepNext/>
      </w:pPr>
      <w:r>
        <w:rPr>
          <w:rFonts w:ascii="Arial" w:cs="Arial" w:eastAsia="Arial" w:hAnsi="Arial"/>
          <w:b/>
          <w:bCs/>
          <w:sz w:val="22"/>
          <w:szCs w:val="22"/>
        </w:rPr>
        <w:t xml:space="preserve">Days 31–60: Demand Validation</w:t>
      </w:r>
    </w:p>
    <w:p>
      <w:pPr>
        <w:pStyle w:val="ListParagraph"/>
        <w:numPr>
          <w:ilvl w:val="0"/>
          <w:numId w:val="2"/>
        </w:numPr>
        <w:spacing w:after="80" w:line="280"/>
      </w:pPr>
      <w:r>
        <w:rPr>
          <w:rFonts w:ascii="Arial" w:cs="Arial" w:eastAsia="Arial" w:hAnsi="Arial"/>
          <w:sz w:val="22"/>
          <w:szCs w:val="22"/>
        </w:rPr>
        <w:t xml:space="preserve">Interview at least 10 teachers or homeschool parents.</w:t>
      </w:r>
    </w:p>
    <w:p>
      <w:pPr>
        <w:pStyle w:val="ListParagraph"/>
        <w:numPr>
          <w:ilvl w:val="0"/>
          <w:numId w:val="2"/>
        </w:numPr>
        <w:spacing w:after="80" w:line="280"/>
      </w:pPr>
      <w:r>
        <w:rPr>
          <w:rFonts w:ascii="Arial" w:cs="Arial" w:eastAsia="Arial" w:hAnsi="Arial"/>
          <w:sz w:val="22"/>
          <w:szCs w:val="22"/>
        </w:rPr>
        <w:t xml:space="preserve">Interview at least 10 students or certification learners.</w:t>
      </w:r>
    </w:p>
    <w:p>
      <w:pPr>
        <w:pStyle w:val="ListParagraph"/>
        <w:numPr>
          <w:ilvl w:val="0"/>
          <w:numId w:val="2"/>
        </w:numPr>
        <w:spacing w:after="80" w:line="280"/>
      </w:pPr>
      <w:r>
        <w:rPr>
          <w:rFonts w:ascii="Arial" w:cs="Arial" w:eastAsia="Arial" w:hAnsi="Arial"/>
          <w:sz w:val="22"/>
          <w:szCs w:val="22"/>
        </w:rPr>
        <w:t xml:space="preserve">Interview at least 5 general users.</w:t>
      </w:r>
    </w:p>
    <w:p>
      <w:pPr>
        <w:pStyle w:val="ListParagraph"/>
        <w:numPr>
          <w:ilvl w:val="0"/>
          <w:numId w:val="2"/>
        </w:numPr>
        <w:spacing w:after="80" w:line="280"/>
      </w:pPr>
      <w:r>
        <w:rPr>
          <w:rFonts w:ascii="Arial" w:cs="Arial" w:eastAsia="Arial" w:hAnsi="Arial"/>
          <w:sz w:val="22"/>
          <w:szCs w:val="22"/>
        </w:rPr>
        <w:t xml:space="preserve">Create native-edition email waitlists.</w:t>
      </w:r>
    </w:p>
    <w:p>
      <w:pPr>
        <w:pStyle w:val="ListParagraph"/>
        <w:numPr>
          <w:ilvl w:val="0"/>
          <w:numId w:val="2"/>
        </w:numPr>
        <w:spacing w:after="80" w:line="280"/>
      </w:pPr>
      <w:r>
        <w:rPr>
          <w:rFonts w:ascii="Arial" w:cs="Arial" w:eastAsia="Arial" w:hAnsi="Arial"/>
          <w:sz w:val="22"/>
          <w:szCs w:val="22"/>
        </w:rPr>
        <w:t xml:space="preserve">Publish two product demonstrations each week.</w:t>
      </w:r>
    </w:p>
    <w:p>
      <w:pPr>
        <w:pStyle w:val="ListParagraph"/>
        <w:numPr>
          <w:ilvl w:val="0"/>
          <w:numId w:val="2"/>
        </w:numPr>
        <w:spacing w:after="80" w:line="280"/>
      </w:pPr>
      <w:r>
        <w:rPr>
          <w:rFonts w:ascii="Arial" w:cs="Arial" w:eastAsia="Arial" w:hAnsi="Arial"/>
          <w:sz w:val="22"/>
          <w:szCs w:val="22"/>
        </w:rPr>
        <w:t xml:space="preserve">Recruit 25–50 beta testers.</w:t>
      </w:r>
    </w:p>
    <w:p>
      <w:pPr>
        <w:pStyle w:val="ListParagraph"/>
        <w:numPr>
          <w:ilvl w:val="0"/>
          <w:numId w:val="2"/>
        </w:numPr>
        <w:spacing w:after="80" w:line="280"/>
      </w:pPr>
      <w:r>
        <w:rPr>
          <w:rFonts w:ascii="Arial" w:cs="Arial" w:eastAsia="Arial" w:hAnsi="Arial"/>
          <w:sz w:val="22"/>
          <w:szCs w:val="22"/>
        </w:rPr>
        <w:t xml:space="preserve">Test the proposed prices through interviews and landing-page messaging.</w:t>
      </w:r>
    </w:p>
    <w:p>
      <w:pPr>
        <w:pStyle w:val="ListParagraph"/>
        <w:numPr>
          <w:ilvl w:val="0"/>
          <w:numId w:val="2"/>
        </w:numPr>
        <w:spacing w:after="80" w:line="280"/>
      </w:pPr>
      <w:r>
        <w:rPr>
          <w:rFonts w:ascii="Arial" w:cs="Arial" w:eastAsia="Arial" w:hAnsi="Arial"/>
          <w:sz w:val="22"/>
          <w:szCs w:val="22"/>
        </w:rPr>
        <w:t xml:space="preserve">Collect permission to use customer testimonials.</w:t>
      </w:r>
    </w:p>
    <w:p>
      <w:pPr>
        <w:pStyle w:val="Heading2"/>
        <w:keepNext/>
      </w:pPr>
      <w:r>
        <w:rPr>
          <w:rFonts w:ascii="Arial" w:cs="Arial" w:eastAsia="Arial" w:hAnsi="Arial"/>
          <w:b/>
          <w:bCs/>
          <w:sz w:val="22"/>
          <w:szCs w:val="22"/>
        </w:rPr>
        <w:t xml:space="preserve">Validation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cantSplit/>
          <w:tblHeader/>
        </w:trPr>
        <w:tc>
          <w:tcPr>
            <w:tcW w:type="dxa" w:w="480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Metric</w:t>
            </w:r>
          </w:p>
        </w:tc>
        <w:tc>
          <w:tcPr>
            <w:tcW w:type="dxa" w:w="456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90-day target</w:t>
            </w:r>
          </w:p>
        </w:tc>
      </w:tr>
      <w:tr>
        <w:trPr>
          <w:cantSplit/>
          <w:tblHeader w:val="false"/>
        </w:trPr>
        <w:tc>
          <w:tcPr>
            <w:tcW w:type="dxa" w:w="48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Qualified email subscribers</w:t>
            </w:r>
          </w:p>
        </w:tc>
        <w:tc>
          <w:tcPr>
            <w:tcW w:type="dxa" w:w="45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100</w:t>
            </w:r>
          </w:p>
        </w:tc>
      </w:tr>
      <w:tr>
        <w:trPr>
          <w:cantSplit/>
          <w:tblHeader w:val="false"/>
        </w:trPr>
        <w:tc>
          <w:tcPr>
            <w:tcW w:type="dxa" w:w="48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Completed customer interviews</w:t>
            </w:r>
          </w:p>
        </w:tc>
        <w:tc>
          <w:tcPr>
            <w:tcW w:type="dxa" w:w="45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25</w:t>
            </w:r>
          </w:p>
        </w:tc>
      </w:tr>
      <w:tr>
        <w:trPr>
          <w:cantSplit/>
          <w:tblHeader w:val="false"/>
        </w:trPr>
        <w:tc>
          <w:tcPr>
            <w:tcW w:type="dxa" w:w="48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Active beta testers</w:t>
            </w:r>
          </w:p>
        </w:tc>
        <w:tc>
          <w:tcPr>
            <w:tcW w:type="dxa" w:w="45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25 or more</w:t>
            </w:r>
          </w:p>
        </w:tc>
      </w:tr>
      <w:tr>
        <w:trPr>
          <w:cantSplit/>
          <w:tblHeader w:val="false"/>
        </w:trPr>
        <w:tc>
          <w:tcPr>
            <w:tcW w:type="dxa" w:w="48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Independent statements of willingness to pay</w:t>
            </w:r>
          </w:p>
        </w:tc>
        <w:tc>
          <w:tcPr>
            <w:tcW w:type="dxa" w:w="45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At least 10</w:t>
            </w:r>
          </w:p>
        </w:tc>
      </w:tr>
      <w:tr>
        <w:trPr>
          <w:cantSplit/>
          <w:tblHeader w:val="false"/>
        </w:trPr>
        <w:tc>
          <w:tcPr>
            <w:tcW w:type="dxa" w:w="48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Primary product insight</w:t>
            </w:r>
          </w:p>
        </w:tc>
        <w:tc>
          <w:tcPr>
            <w:tcW w:type="dxa" w:w="45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Clear evidence of the strongest product and feature demand</w:t>
            </w:r>
          </w:p>
        </w:tc>
      </w:tr>
    </w:tbl>
    <w:p>
      <w:pPr>
        <w:pStyle w:val="Heading2"/>
        <w:keepNext/>
      </w:pPr>
      <w:r>
        <w:rPr>
          <w:rFonts w:ascii="Arial" w:cs="Arial" w:eastAsia="Arial" w:hAnsi="Arial"/>
          <w:b/>
          <w:bCs/>
          <w:sz w:val="22"/>
          <w:szCs w:val="22"/>
        </w:rPr>
        <w:t xml:space="preserve">Days 61–90: First Commercial Release</w:t>
      </w:r>
    </w:p>
    <w:p>
      <w:pPr>
        <w:pStyle w:val="ListParagraph"/>
        <w:numPr>
          <w:ilvl w:val="0"/>
          <w:numId w:val="2"/>
        </w:numPr>
        <w:spacing w:after="80" w:line="280"/>
      </w:pPr>
      <w:r>
        <w:rPr>
          <w:rFonts w:ascii="Arial" w:cs="Arial" w:eastAsia="Arial" w:hAnsi="Arial"/>
          <w:sz w:val="22"/>
          <w:szCs w:val="22"/>
        </w:rPr>
        <w:t xml:space="preserve">Package Analog Math Clock as the first native application.</w:t>
      </w:r>
    </w:p>
    <w:p>
      <w:pPr>
        <w:pStyle w:val="ListParagraph"/>
        <w:numPr>
          <w:ilvl w:val="0"/>
          <w:numId w:val="2"/>
        </w:numPr>
        <w:spacing w:after="80" w:line="280"/>
      </w:pPr>
      <w:r>
        <w:rPr>
          <w:rFonts w:ascii="Arial" w:cs="Arial" w:eastAsia="Arial" w:hAnsi="Arial"/>
          <w:sz w:val="22"/>
          <w:szCs w:val="22"/>
        </w:rPr>
        <w:t xml:space="preserve">Add at least two meaningful native features.</w:t>
      </w:r>
    </w:p>
    <w:p>
      <w:pPr>
        <w:pStyle w:val="ListParagraph"/>
        <w:numPr>
          <w:ilvl w:val="0"/>
          <w:numId w:val="2"/>
        </w:numPr>
        <w:spacing w:after="80" w:line="280"/>
      </w:pPr>
      <w:r>
        <w:rPr>
          <w:rFonts w:ascii="Arial" w:cs="Arial" w:eastAsia="Arial" w:hAnsi="Arial"/>
          <w:sz w:val="22"/>
          <w:szCs w:val="22"/>
        </w:rPr>
        <w:t xml:space="preserve">Prepare store assets, privacy disclosures, and review notes.</w:t>
      </w:r>
    </w:p>
    <w:p>
      <w:pPr>
        <w:pStyle w:val="ListParagraph"/>
        <w:numPr>
          <w:ilvl w:val="0"/>
          <w:numId w:val="2"/>
        </w:numPr>
        <w:spacing w:after="80" w:line="280"/>
      </w:pPr>
      <w:r>
        <w:rPr>
          <w:rFonts w:ascii="Arial" w:cs="Arial" w:eastAsia="Arial" w:hAnsi="Arial"/>
          <w:sz w:val="22"/>
          <w:szCs w:val="22"/>
        </w:rPr>
        <w:t xml:space="preserve">Conduct TestFlight and Android closed testing.</w:t>
      </w:r>
    </w:p>
    <w:p>
      <w:pPr>
        <w:pStyle w:val="ListParagraph"/>
        <w:numPr>
          <w:ilvl w:val="0"/>
          <w:numId w:val="2"/>
        </w:numPr>
        <w:spacing w:after="80" w:line="280"/>
      </w:pPr>
      <w:r>
        <w:rPr>
          <w:rFonts w:ascii="Arial" w:cs="Arial" w:eastAsia="Arial" w:hAnsi="Arial"/>
          <w:sz w:val="22"/>
          <w:szCs w:val="22"/>
        </w:rPr>
        <w:t xml:space="preserve">Enroll in applicable small-developer fee programs.</w:t>
      </w:r>
    </w:p>
    <w:p>
      <w:pPr>
        <w:pStyle w:val="ListParagraph"/>
        <w:numPr>
          <w:ilvl w:val="0"/>
          <w:numId w:val="2"/>
        </w:numPr>
        <w:spacing w:after="80" w:line="280"/>
      </w:pPr>
      <w:r>
        <w:rPr>
          <w:rFonts w:ascii="Arial" w:cs="Arial" w:eastAsia="Arial" w:hAnsi="Arial"/>
          <w:sz w:val="22"/>
          <w:szCs w:val="22"/>
        </w:rPr>
        <w:t xml:space="preserve">Create launch videos, screenshots, descriptions, and keywords.</w:t>
      </w:r>
    </w:p>
    <w:p>
      <w:pPr>
        <w:pStyle w:val="ListParagraph"/>
        <w:numPr>
          <w:ilvl w:val="0"/>
          <w:numId w:val="2"/>
        </w:numPr>
        <w:spacing w:after="80" w:line="280"/>
      </w:pPr>
      <w:r>
        <w:rPr>
          <w:rFonts w:ascii="Arial" w:cs="Arial" w:eastAsia="Arial" w:hAnsi="Arial"/>
          <w:sz w:val="22"/>
          <w:szCs w:val="22"/>
        </w:rPr>
        <w:t xml:space="preserve">Set a public launch date only after store review has succeeded.</w:t>
      </w:r>
    </w:p>
    <w:p>
      <w:pPr>
        <w:pStyle w:val="Heading1"/>
        <w:keepNext/>
        <w:pageBreakBefore/>
      </w:pPr>
      <w:r>
        <w:rPr>
          <w:rFonts w:ascii="Arial" w:cs="Arial" w:eastAsia="Arial" w:hAnsi="Arial"/>
          <w:b/>
          <w:bCs/>
          <w:sz w:val="22"/>
          <w:szCs w:val="22"/>
        </w:rPr>
        <w:t xml:space="preserve">8. Financial Plan</w:t>
      </w:r>
    </w:p>
    <w:p>
      <w:pPr>
        <w:pStyle w:val="Heading2"/>
        <w:keepNext/>
      </w:pPr>
      <w:r>
        <w:rPr>
          <w:rFonts w:ascii="Arial" w:cs="Arial" w:eastAsia="Arial" w:hAnsi="Arial"/>
          <w:b/>
          <w:bCs/>
          <w:sz w:val="22"/>
          <w:szCs w:val="22"/>
        </w:rPr>
        <w:t xml:space="preserve">Lean Startup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cantSplit/>
          <w:tblHeader/>
        </w:trPr>
        <w:tc>
          <w:tcPr>
            <w:tcW w:type="dxa" w:w="600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Item</w:t>
            </w:r>
          </w:p>
        </w:tc>
        <w:tc>
          <w:tcPr>
            <w:tcW w:type="dxa" w:w="336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Planning allowance</w:t>
            </w:r>
          </w:p>
        </w:tc>
      </w:tr>
      <w:tr>
        <w:trPr>
          <w:cantSplit/>
          <w:tblHeader w:val="false"/>
        </w:trPr>
        <w:tc>
          <w:tcPr>
            <w:tcW w:type="dxa" w:w="60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LLC and state registrations</w:t>
            </w:r>
          </w:p>
        </w:tc>
        <w:tc>
          <w:tcPr>
            <w:tcW w:type="dxa" w:w="33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$100–$800</w:t>
            </w:r>
          </w:p>
        </w:tc>
      </w:tr>
      <w:tr>
        <w:trPr>
          <w:cantSplit/>
          <w:tblHeader w:val="false"/>
        </w:trPr>
        <w:tc>
          <w:tcPr>
            <w:tcW w:type="dxa" w:w="60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Apple Developer Program</w:t>
            </w:r>
          </w:p>
        </w:tc>
        <w:tc>
          <w:tcPr>
            <w:tcW w:type="dxa" w:w="33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$99 per year</w:t>
            </w:r>
          </w:p>
        </w:tc>
      </w:tr>
      <w:tr>
        <w:trPr>
          <w:cantSplit/>
          <w:tblHeader w:val="false"/>
        </w:trPr>
        <w:tc>
          <w:tcPr>
            <w:tcW w:type="dxa" w:w="60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Google Play registration</w:t>
            </w:r>
          </w:p>
        </w:tc>
        <w:tc>
          <w:tcPr>
            <w:tcW w:type="dxa" w:w="33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$25 one time</w:t>
            </w:r>
          </w:p>
        </w:tc>
      </w:tr>
      <w:tr>
        <w:trPr>
          <w:cantSplit/>
          <w:tblHeader w:val="false"/>
        </w:trPr>
        <w:tc>
          <w:tcPr>
            <w:tcW w:type="dxa" w:w="60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Hosting and business email</w:t>
            </w:r>
          </w:p>
        </w:tc>
        <w:tc>
          <w:tcPr>
            <w:tcW w:type="dxa" w:w="33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$0–$40 per month</w:t>
            </w:r>
          </w:p>
        </w:tc>
      </w:tr>
      <w:tr>
        <w:trPr>
          <w:cantSplit/>
          <w:tblHeader w:val="false"/>
        </w:trPr>
        <w:tc>
          <w:tcPr>
            <w:tcW w:type="dxa" w:w="60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Legal and accounting review</w:t>
            </w:r>
          </w:p>
        </w:tc>
        <w:tc>
          <w:tcPr>
            <w:tcW w:type="dxa" w:w="33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$750–$3,000</w:t>
            </w:r>
          </w:p>
        </w:tc>
      </w:tr>
      <w:tr>
        <w:trPr>
          <w:cantSplit/>
          <w:tblHeader w:val="false"/>
        </w:trPr>
        <w:tc>
          <w:tcPr>
            <w:tcW w:type="dxa" w:w="60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Store graphics and marketing assets</w:t>
            </w:r>
          </w:p>
        </w:tc>
        <w:tc>
          <w:tcPr>
            <w:tcW w:type="dxa" w:w="33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$0–$500</w:t>
            </w:r>
          </w:p>
        </w:tc>
      </w:tr>
      <w:tr>
        <w:trPr>
          <w:cantSplit/>
          <w:tblHeader w:val="false"/>
        </w:trPr>
        <w:tc>
          <w:tcPr>
            <w:tcW w:type="dxa" w:w="60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Initial marketing experiments</w:t>
            </w:r>
          </w:p>
        </w:tc>
        <w:tc>
          <w:tcPr>
            <w:tcW w:type="dxa" w:w="33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$300–$1,000</w:t>
            </w:r>
          </w:p>
        </w:tc>
      </w:tr>
      <w:tr>
        <w:trPr>
          <w:cantSplit/>
          <w:tblHeader w:val="false"/>
        </w:trPr>
        <w:tc>
          <w:tcPr>
            <w:tcW w:type="dxa" w:w="60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Estimated DIY cash requirement</w:t>
            </w:r>
          </w:p>
        </w:tc>
        <w:tc>
          <w:tcPr>
            <w:tcW w:type="dxa" w:w="33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Approximately $1,200–$5,500</w:t>
            </w:r>
          </w:p>
        </w:tc>
      </w:tr>
    </w:tbl>
    <w:p>
      <w:pPr>
        <w:spacing w:before="0" w:after="140" w:line="300"/>
      </w:pPr>
      <w:r>
        <w:rPr>
          <w:rFonts w:ascii="Arial" w:cs="Arial" w:eastAsia="Arial" w:hAnsi="Arial"/>
          <w:sz w:val="22"/>
          <w:szCs w:val="22"/>
        </w:rPr>
        <w:t xml:space="preserve">The estimate excludes development labor, hardware already owned, refunds, taxes, and outsourced native development. Treat it as a planning range rather than a quotation.</w:t>
      </w:r>
    </w:p>
    <w:p>
      <w:pPr>
        <w:pStyle w:val="Heading2"/>
        <w:keepNext/>
      </w:pPr>
      <w:r>
        <w:rPr>
          <w:rFonts w:ascii="Arial" w:cs="Arial" w:eastAsia="Arial" w:hAnsi="Arial"/>
          <w:b/>
          <w:bCs/>
          <w:sz w:val="22"/>
          <w:szCs w:val="22"/>
        </w:rPr>
        <w:t xml:space="preserve">Illustrative First-Year Sales Scenarios</w:t>
      </w:r>
    </w:p>
    <w:p>
      <w:pPr>
        <w:spacing w:before="0" w:after="140" w:line="300"/>
      </w:pPr>
      <w:r>
        <w:rPr>
          <w:rFonts w:ascii="Arial" w:cs="Arial" w:eastAsia="Arial" w:hAnsi="Arial"/>
          <w:sz w:val="22"/>
          <w:szCs w:val="22"/>
        </w:rPr>
        <w:t xml:space="preserve">The following model assumes a $4.99 Analog Math Clock price, a $9.99 Flashcard Flurry price, and an approximate blended 15% store deduction.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100"/>
        <w:gridCol w:w="2960"/>
      </w:tblGrid>
      <w:tr>
        <w:trPr>
          <w:cantSplit/>
          <w:tblHeader/>
        </w:trPr>
        <w:tc>
          <w:tcPr>
            <w:tcW w:type="dxa" w:w="240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Scenario</w:t>
            </w:r>
          </w:p>
        </w:tc>
        <w:tc>
          <w:tcPr>
            <w:tcW w:type="dxa" w:w="190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Analog sales</w:t>
            </w:r>
          </w:p>
        </w:tc>
        <w:tc>
          <w:tcPr>
            <w:tcW w:type="dxa" w:w="210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Flashcard sales</w:t>
            </w:r>
          </w:p>
        </w:tc>
        <w:tc>
          <w:tcPr>
            <w:tcW w:type="dxa" w:w="296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Approx. net store revenue</w:t>
            </w:r>
          </w:p>
        </w:tc>
      </w:tr>
      <w:tr>
        <w:trPr>
          <w:cantSplit/>
          <w:tblHeader w:val="false"/>
        </w:trPr>
        <w:tc>
          <w:tcPr>
            <w:tcW w:type="dxa" w:w="24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Conservative</w:t>
            </w:r>
          </w:p>
        </w:tc>
        <w:tc>
          <w:tcPr>
            <w:tcW w:type="dxa" w:w="19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500</w:t>
            </w:r>
          </w:p>
        </w:tc>
        <w:tc>
          <w:tcPr>
            <w:tcW w:type="dxa" w:w="21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400</w:t>
            </w:r>
          </w:p>
        </w:tc>
        <w:tc>
          <w:tcPr>
            <w:tcW w:type="dxa" w:w="29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$5,517</w:t>
            </w:r>
          </w:p>
        </w:tc>
      </w:tr>
      <w:tr>
        <w:trPr>
          <w:cantSplit/>
          <w:tblHeader w:val="false"/>
        </w:trPr>
        <w:tc>
          <w:tcPr>
            <w:tcW w:type="dxa" w:w="24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Working target</w:t>
            </w:r>
          </w:p>
        </w:tc>
        <w:tc>
          <w:tcPr>
            <w:tcW w:type="dxa" w:w="19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1,500</w:t>
            </w:r>
          </w:p>
        </w:tc>
        <w:tc>
          <w:tcPr>
            <w:tcW w:type="dxa" w:w="21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1,000</w:t>
            </w:r>
          </w:p>
        </w:tc>
        <w:tc>
          <w:tcPr>
            <w:tcW w:type="dxa" w:w="29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$14,854</w:t>
            </w:r>
          </w:p>
        </w:tc>
      </w:tr>
      <w:tr>
        <w:trPr>
          <w:cantSplit/>
          <w:tblHeader w:val="false"/>
        </w:trPr>
        <w:tc>
          <w:tcPr>
            <w:tcW w:type="dxa" w:w="24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Strong traction</w:t>
            </w:r>
          </w:p>
        </w:tc>
        <w:tc>
          <w:tcPr>
            <w:tcW w:type="dxa" w:w="19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5,000</w:t>
            </w:r>
          </w:p>
        </w:tc>
        <w:tc>
          <w:tcPr>
            <w:tcW w:type="dxa" w:w="21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3,000</w:t>
            </w:r>
          </w:p>
        </w:tc>
        <w:tc>
          <w:tcPr>
            <w:tcW w:type="dxa" w:w="29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$46,682</w:t>
            </w:r>
          </w:p>
        </w:tc>
      </w:tr>
    </w:tbl>
    <w:p>
      <w:pPr>
        <w:spacing w:before="0" w:after="140" w:line="300"/>
      </w:pPr>
      <w:r>
        <w:rPr>
          <w:rFonts w:ascii="Arial" w:cs="Arial" w:eastAsia="Arial" w:hAnsi="Arial"/>
          <w:sz w:val="22"/>
          <w:szCs w:val="22"/>
        </w:rPr>
        <w:t xml:space="preserve">These are scenarios, not forecasts. They exclude refunds, taxes, discounts, operating expenses, currency conversion, and future policy changes.</w:t>
      </w:r>
    </w:p>
    <w:p>
      <w:pPr>
        <w:pStyle w:val="Heading2"/>
        <w:keepNext/>
      </w:pPr>
      <w:r>
        <w:rPr>
          <w:rFonts w:ascii="Arial" w:cs="Arial" w:eastAsia="Arial" w:hAnsi="Arial"/>
          <w:b/>
          <w:bCs/>
          <w:sz w:val="22"/>
          <w:szCs w:val="22"/>
        </w:rPr>
        <w:t xml:space="preserve">Approximate Break-Even Reference</w:t>
      </w:r>
    </w:p>
    <w:p>
      <w:pPr>
        <w:pStyle w:val="ListParagraph"/>
        <w:numPr>
          <w:ilvl w:val="0"/>
          <w:numId w:val="2"/>
        </w:numPr>
        <w:spacing w:after="80" w:line="280"/>
      </w:pPr>
      <w:r>
        <w:rPr>
          <w:rFonts w:ascii="Arial" w:cs="Arial" w:eastAsia="Arial" w:hAnsi="Arial"/>
          <w:sz w:val="22"/>
          <w:szCs w:val="22"/>
        </w:rPr>
        <w:t xml:space="preserve">$1,000 of fixed cost requires approximately 236 Analog Math Clock sales at $4.99.</w:t>
      </w:r>
    </w:p>
    <w:p>
      <w:pPr>
        <w:pStyle w:val="ListParagraph"/>
        <w:numPr>
          <w:ilvl w:val="0"/>
          <w:numId w:val="2"/>
        </w:numPr>
        <w:spacing w:after="80" w:line="280"/>
      </w:pPr>
      <w:r>
        <w:rPr>
          <w:rFonts w:ascii="Arial" w:cs="Arial" w:eastAsia="Arial" w:hAnsi="Arial"/>
          <w:sz w:val="22"/>
          <w:szCs w:val="22"/>
        </w:rPr>
        <w:t xml:space="preserve">$1,000 of fixed cost requires approximately 118 Flashcard Flurry sales at $9.99.</w:t>
      </w:r>
    </w:p>
    <w:p>
      <w:pPr>
        <w:spacing w:before="0" w:after="140" w:line="300"/>
      </w:pPr>
      <w:r>
        <w:rPr>
          <w:rFonts w:ascii="Arial" w:cs="Arial" w:eastAsia="Arial" w:hAnsi="Arial"/>
          <w:sz w:val="22"/>
          <w:szCs w:val="22"/>
        </w:rPr>
        <w:t xml:space="preserve">Direct website sales may carry lower processing fees but place entitlement, licensing, refunds, fraud, and sales-tax administration on the business. Stripe's current standard U.S. domestic-card price is 2.9% plus $0.30 per successful transaction.</w:t>
      </w:r>
    </w:p>
    <w:p>
      <w:pPr>
        <w:pStyle w:val="Heading1"/>
        <w:keepNext/>
        <w:pageBreakBefore/>
      </w:pPr>
      <w:r>
        <w:rPr>
          <w:rFonts w:ascii="Arial" w:cs="Arial" w:eastAsia="Arial" w:hAnsi="Arial"/>
          <w:b/>
          <w:bCs/>
          <w:sz w:val="22"/>
          <w:szCs w:val="22"/>
        </w:rPr>
        <w:t xml:space="preserve">9.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Area</w:t>
            </w:r>
          </w:p>
        </w:tc>
        <w:tc>
          <w:tcPr>
            <w:tcW w:type="dxa" w:w="696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Measures</w:t>
            </w:r>
          </w:p>
        </w:tc>
      </w:tr>
      <w:tr>
        <w:trPr>
          <w:cantSplit/>
          <w:tblHeader w:val="false"/>
        </w:trPr>
        <w:tc>
          <w:tcPr>
            <w:tcW w:type="dxa" w:w="24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Acquisition</w:t>
            </w:r>
          </w:p>
        </w:tc>
        <w:tc>
          <w:tcPr>
            <w:tcW w:type="dxa" w:w="69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Website visitors, email signups, PWA installs, store listing views</w:t>
            </w:r>
          </w:p>
        </w:tc>
      </w:tr>
      <w:tr>
        <w:trPr>
          <w:cantSplit/>
          <w:tblHeader w:val="false"/>
        </w:trPr>
        <w:tc>
          <w:tcPr>
            <w:tcW w:type="dxa" w:w="24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Conversion</w:t>
            </w:r>
          </w:p>
        </w:tc>
        <w:tc>
          <w:tcPr>
            <w:tcW w:type="dxa" w:w="69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Waitlist conversion, store-page conversion, paid purchases</w:t>
            </w:r>
          </w:p>
        </w:tc>
      </w:tr>
      <w:tr>
        <w:trPr>
          <w:cantSplit/>
          <w:tblHeader w:val="false"/>
        </w:trPr>
        <w:tc>
          <w:tcPr>
            <w:tcW w:type="dxa" w:w="24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Revenue</w:t>
            </w:r>
          </w:p>
        </w:tc>
        <w:tc>
          <w:tcPr>
            <w:tcW w:type="dxa" w:w="69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Revenue per customer, refunds, discounts, net receipts</w:t>
            </w:r>
          </w:p>
        </w:tc>
      </w:tr>
      <w:tr>
        <w:trPr>
          <w:cantSplit/>
          <w:tblHeader w:val="false"/>
        </w:trPr>
        <w:tc>
          <w:tcPr>
            <w:tcW w:type="dxa" w:w="24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Retention</w:t>
            </w:r>
          </w:p>
        </w:tc>
        <w:tc>
          <w:tcPr>
            <w:tcW w:type="dxa" w:w="69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7-day and 30-day active use, repeat study or clock sessions</w:t>
            </w:r>
          </w:p>
        </w:tc>
      </w:tr>
      <w:tr>
        <w:trPr>
          <w:cantSplit/>
          <w:tblHeader w:val="false"/>
        </w:trPr>
        <w:tc>
          <w:tcPr>
            <w:tcW w:type="dxa" w:w="24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Quality</w:t>
            </w:r>
          </w:p>
        </w:tc>
        <w:tc>
          <w:tcPr>
            <w:tcW w:type="dxa" w:w="69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Crash-free sessions, support requests, ratings and reviews</w:t>
            </w:r>
          </w:p>
        </w:tc>
      </w:tr>
      <w:tr>
        <w:trPr>
          <w:cantSplit/>
          <w:tblHeader w:val="false"/>
        </w:trPr>
        <w:tc>
          <w:tcPr>
            <w:tcW w:type="dxa" w:w="24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Product use</w:t>
            </w:r>
          </w:p>
        </w:tc>
        <w:tc>
          <w:tcPr>
            <w:tcW w:type="dxa" w:w="69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Decks studied, clocks customized, backups created, native features used</w:t>
            </w:r>
          </w:p>
        </w:tc>
      </w:tr>
      <w:tr>
        <w:trPr>
          <w:cantSplit/>
          <w:tblHeader w:val="false"/>
        </w:trPr>
        <w:tc>
          <w:tcPr>
            <w:tcW w:type="dxa" w:w="24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Marketing</w:t>
            </w:r>
          </w:p>
        </w:tc>
        <w:tc>
          <w:tcPr>
            <w:tcW w:type="dxa" w:w="69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Posts, videos, keywords, and communities that produce qualified visits</w:t>
            </w:r>
          </w:p>
        </w:tc>
      </w:tr>
    </w:tbl>
    <w:p>
      <w:pPr>
        <w:spacing w:before="0" w:after="140" w:line="300"/>
      </w:pPr>
      <w:r>
        <w:rPr>
          <w:rFonts w:ascii="Arial" w:cs="Arial" w:eastAsia="Arial" w:hAnsi="Arial"/>
          <w:sz w:val="22"/>
          <w:szCs w:val="22"/>
        </w:rPr>
        <w:t xml:space="preserve">Do not add invasive tracking merely to obtain more metrics. App-store analytics, aggregate hosting statistics, interviews, support requests, and voluntary surveys may be sufficient during the first stage.</w:t>
      </w:r>
    </w:p>
    <w:p>
      <w:pPr>
        <w:pStyle w:val="Heading1"/>
        <w:keepNext/>
        <w:pageBreakBefore/>
      </w:pPr>
      <w:r>
        <w:rPr>
          <w:rFonts w:ascii="Arial" w:cs="Arial" w:eastAsia="Arial" w:hAnsi="Arial"/>
          <w:b/>
          <w:bCs/>
          <w:sz w:val="22"/>
          <w:szCs w:val="22"/>
        </w:rPr>
        <w:t xml:space="preserve">10. Risks and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Risk</w:t>
            </w:r>
          </w:p>
        </w:tc>
        <w:tc>
          <w:tcPr>
            <w:tcW w:type="dxa" w:w="6060"/>
            <w:tcBorders>
              <w:top w:val="single" w:color="D9D9E3" w:sz="4"/>
              <w:left w:val="single" w:color="D9D9E3" w:sz="4"/>
              <w:bottom w:val="single" w:color="D9D9E3" w:sz="4"/>
              <w:right w:val="single" w:color="D9D9E3" w:sz="4"/>
            </w:tcBorders>
            <w:shd w:fill="EEF2FF" w:val="clear"/>
            <w:tcMar>
              <w:top w:type="dxa" w:w="100"/>
              <w:left w:type="dxa" w:w="120"/>
              <w:bottom w:type="dxa" w:w="100"/>
              <w:right w:type="dxa" w:w="120"/>
            </w:tcMar>
            <w:vAlign w:val="center"/>
          </w:tcPr>
          <w:p>
            <w:pPr>
              <w:spacing w:after="0" w:line="260"/>
            </w:pPr>
            <w:r>
              <w:rPr>
                <w:rFonts w:ascii="Arial" w:cs="Arial" w:eastAsia="Arial" w:hAnsi="Arial"/>
                <w:b/>
                <w:bCs/>
                <w:sz w:val="19"/>
                <w:szCs w:val="19"/>
              </w:rPr>
              <w:t xml:space="preserve">Planned response</w:t>
            </w:r>
          </w:p>
        </w:tc>
      </w:tr>
      <w:tr>
        <w:trPr>
          <w:cantSplit/>
          <w:tblHeader w:val="false"/>
        </w:trPr>
        <w:tc>
          <w:tcPr>
            <w:tcW w:type="dxa" w:w="33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Users choose the free PWA instead of paying</w:t>
            </w:r>
          </w:p>
        </w:tc>
        <w:tc>
          <w:tcPr>
            <w:tcW w:type="dxa" w:w="60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Provide meaningful native convenience and platform integrations</w:t>
            </w:r>
          </w:p>
        </w:tc>
      </w:tr>
      <w:tr>
        <w:trPr>
          <w:cantSplit/>
          <w:tblHeader w:val="false"/>
        </w:trPr>
        <w:tc>
          <w:tcPr>
            <w:tcW w:type="dxa" w:w="33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Flashcard market is crowded</w:t>
            </w:r>
          </w:p>
        </w:tc>
        <w:tc>
          <w:tcPr>
            <w:tcW w:type="dxa" w:w="60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Emphasize offline use, privacy, imports, no accounts, and data ownership</w:t>
            </w:r>
          </w:p>
        </w:tc>
      </w:tr>
      <w:tr>
        <w:trPr>
          <w:cantSplit/>
          <w:tblHeader w:val="false"/>
        </w:trPr>
        <w:tc>
          <w:tcPr>
            <w:tcW w:type="dxa" w:w="33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Analog Math Clock is viewed as a novelty</w:t>
            </w:r>
          </w:p>
        </w:tc>
        <w:tc>
          <w:tcPr>
            <w:tcW w:type="dxa" w:w="60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Position it as classroom décor, a world clock, and an interactive learning tool</w:t>
            </w:r>
          </w:p>
        </w:tc>
      </w:tr>
      <w:tr>
        <w:trPr>
          <w:cantSplit/>
          <w:tblHeader w:val="false"/>
        </w:trPr>
        <w:tc>
          <w:tcPr>
            <w:tcW w:type="dxa" w:w="33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Apple rejects a simple wrapper</w:t>
            </w:r>
          </w:p>
        </w:tc>
        <w:tc>
          <w:tcPr>
            <w:tcW w:type="dxa" w:w="60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Add native features and document the application's lasting utility</w:t>
            </w:r>
          </w:p>
        </w:tc>
      </w:tr>
      <w:tr>
        <w:trPr>
          <w:cantSplit/>
          <w:tblHeader w:val="false"/>
        </w:trPr>
        <w:tc>
          <w:tcPr>
            <w:tcW w:type="dxa" w:w="33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Subscriptions create resistance</w:t>
            </w:r>
          </w:p>
        </w:tc>
        <w:tc>
          <w:tcPr>
            <w:tcW w:type="dxa" w:w="60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Begin with one-time purchases and add subscriptions only for ongoing services</w:t>
            </w:r>
          </w:p>
        </w:tc>
      </w:tr>
      <w:tr>
        <w:trPr>
          <w:cantSplit/>
          <w:tblHeader w:val="false"/>
        </w:trPr>
        <w:tc>
          <w:tcPr>
            <w:tcW w:type="dxa" w:w="33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School purchasing is slow</w:t>
            </w:r>
          </w:p>
        </w:tc>
        <w:tc>
          <w:tcPr>
            <w:tcW w:type="dxa" w:w="60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Start with consumers, individual teachers, and homeschool families</w:t>
            </w:r>
          </w:p>
        </w:tc>
      </w:tr>
      <w:tr>
        <w:trPr>
          <w:cantSplit/>
          <w:tblHeader w:val="false"/>
        </w:trPr>
        <w:tc>
          <w:tcPr>
            <w:tcW w:type="dxa" w:w="33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Privacy obligations increase</w:t>
            </w:r>
          </w:p>
        </w:tc>
        <w:tc>
          <w:tcPr>
            <w:tcW w:type="dxa" w:w="60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Avoid accounts, ads, and cloud data until demand justifies the complexity</w:t>
            </w:r>
          </w:p>
        </w:tc>
      </w:tr>
      <w:tr>
        <w:trPr>
          <w:cantSplit/>
          <w:tblHeader w:val="false"/>
        </w:trPr>
        <w:tc>
          <w:tcPr>
            <w:tcW w:type="dxa" w:w="330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Support workload grows</w:t>
            </w:r>
          </w:p>
        </w:tc>
        <w:tc>
          <w:tcPr>
            <w:tcW w:type="dxa" w:w="6060"/>
            <w:tcBorders>
              <w:top w:val="single" w:color="D9D9E3" w:sz="4"/>
              <w:left w:val="single" w:color="D9D9E3" w:sz="4"/>
              <w:bottom w:val="single" w:color="D9D9E3" w:sz="4"/>
              <w:right w:val="single" w:color="D9D9E3" w:sz="4"/>
            </w:tcBorders>
            <w:shd w:fill="F7F7FA" w:val="clear"/>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Maintain FAQs, response templates, backups, and formal issue procedures</w:t>
            </w:r>
          </w:p>
        </w:tc>
      </w:tr>
      <w:tr>
        <w:trPr>
          <w:cantSplit/>
          <w:tblHeader w:val="false"/>
        </w:trPr>
        <w:tc>
          <w:tcPr>
            <w:tcW w:type="dxa" w:w="330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Current hosting becomes incompatible</w:t>
            </w:r>
          </w:p>
        </w:tc>
        <w:tc>
          <w:tcPr>
            <w:tcW w:type="dxa" w:w="6060"/>
            <w:tcBorders>
              <w:top w:val="single" w:color="D9D9E3" w:sz="4"/>
              <w:left w:val="single" w:color="D9D9E3" w:sz="4"/>
              <w:bottom w:val="single" w:color="D9D9E3" w:sz="4"/>
              <w:right w:val="single" w:color="D9D9E3" w:sz="4"/>
            </w:tcBorders>
            <w:tcMar>
              <w:top w:type="dxa" w:w="100"/>
              <w:left w:type="dxa" w:w="120"/>
              <w:bottom w:type="dxa" w:w="100"/>
              <w:right w:type="dxa" w:w="120"/>
            </w:tcMar>
            <w:vAlign w:val="center"/>
          </w:tcPr>
          <w:p>
            <w:pPr>
              <w:spacing w:after="0" w:line="260"/>
            </w:pPr>
            <w:r>
              <w:rPr>
                <w:rFonts w:ascii="Arial" w:cs="Arial" w:eastAsia="Arial" w:hAnsi="Arial"/>
                <w:b w:val="false"/>
                <w:bCs w:val="false"/>
                <w:sz w:val="19"/>
                <w:szCs w:val="19"/>
              </w:rPr>
              <w:t xml:space="preserve">Move production away from GitHub Pages before commercial sales</w:t>
            </w:r>
          </w:p>
        </w:tc>
      </w:tr>
    </w:tbl>
    <w:p>
      <w:pPr>
        <w:pStyle w:val="Heading1"/>
        <w:keepNext/>
        <w:pageBreakBefore/>
      </w:pPr>
      <w:r>
        <w:rPr>
          <w:rFonts w:ascii="Arial" w:cs="Arial" w:eastAsia="Arial" w:hAnsi="Arial"/>
          <w:b/>
          <w:bCs/>
          <w:sz w:val="22"/>
          <w:szCs w:val="22"/>
        </w:rPr>
        <w:t xml:space="preserve">11. Immediate Action Checklist</w:t>
      </w:r>
    </w:p>
    <w:p>
      <w:pPr>
        <w:pStyle w:val="ListParagraph"/>
        <w:numPr>
          <w:ilvl w:val="0"/>
          <w:numId w:val="5"/>
        </w:numPr>
        <w:spacing w:after="100" w:line="285"/>
      </w:pPr>
      <w:r>
        <w:rPr>
          <w:rFonts w:ascii="Arial" w:cs="Arial" w:eastAsia="Arial" w:hAnsi="Arial"/>
          <w:sz w:val="22"/>
          <w:szCs w:val="22"/>
        </w:rPr>
        <w:t xml:space="preserve">Choose and clear an umbrella business name.</w:t>
      </w:r>
    </w:p>
    <w:p>
      <w:pPr>
        <w:pStyle w:val="ListParagraph"/>
        <w:numPr>
          <w:ilvl w:val="0"/>
          <w:numId w:val="5"/>
        </w:numPr>
        <w:spacing w:after="100" w:line="285"/>
      </w:pPr>
      <w:r>
        <w:rPr>
          <w:rFonts w:ascii="Arial" w:cs="Arial" w:eastAsia="Arial" w:hAnsi="Arial"/>
          <w:sz w:val="22"/>
          <w:szCs w:val="22"/>
        </w:rPr>
        <w:t xml:space="preserve">Form the legal entity before opening store accounts.</w:t>
      </w:r>
    </w:p>
    <w:p>
      <w:pPr>
        <w:pStyle w:val="ListParagraph"/>
        <w:numPr>
          <w:ilvl w:val="0"/>
          <w:numId w:val="5"/>
        </w:numPr>
        <w:spacing w:after="100" w:line="285"/>
      </w:pPr>
      <w:r>
        <w:rPr>
          <w:rFonts w:ascii="Arial" w:cs="Arial" w:eastAsia="Arial" w:hAnsi="Arial"/>
          <w:sz w:val="22"/>
          <w:szCs w:val="22"/>
        </w:rPr>
        <w:t xml:space="preserve">Obtain the EIN, D-U-N-S number, bank account, and bookkeeping system.</w:t>
      </w:r>
    </w:p>
    <w:p>
      <w:pPr>
        <w:pStyle w:val="ListParagraph"/>
        <w:numPr>
          <w:ilvl w:val="0"/>
          <w:numId w:val="5"/>
        </w:numPr>
        <w:spacing w:after="100" w:line="285"/>
      </w:pPr>
      <w:r>
        <w:rPr>
          <w:rFonts w:ascii="Arial" w:cs="Arial" w:eastAsia="Arial" w:hAnsi="Arial"/>
          <w:sz w:val="22"/>
          <w:szCs w:val="22"/>
        </w:rPr>
        <w:t xml:space="preserve">Move both production applications to commercial-compatible hosting.</w:t>
      </w:r>
    </w:p>
    <w:p>
      <w:pPr>
        <w:pStyle w:val="ListParagraph"/>
        <w:numPr>
          <w:ilvl w:val="0"/>
          <w:numId w:val="5"/>
        </w:numPr>
        <w:spacing w:after="100" w:line="285"/>
      </w:pPr>
      <w:r>
        <w:rPr>
          <w:rFonts w:ascii="Arial" w:cs="Arial" w:eastAsia="Arial" w:hAnsi="Arial"/>
          <w:sz w:val="22"/>
          <w:szCs w:val="22"/>
        </w:rPr>
        <w:t xml:space="preserve">Complete the missing Analog Math Clock Terms and Support materials.</w:t>
      </w:r>
    </w:p>
    <w:p>
      <w:pPr>
        <w:pStyle w:val="ListParagraph"/>
        <w:numPr>
          <w:ilvl w:val="0"/>
          <w:numId w:val="5"/>
        </w:numPr>
        <w:spacing w:after="100" w:line="285"/>
      </w:pPr>
      <w:r>
        <w:rPr>
          <w:rFonts w:ascii="Arial" w:cs="Arial" w:eastAsia="Arial" w:hAnsi="Arial"/>
          <w:sz w:val="22"/>
          <w:szCs w:val="22"/>
        </w:rPr>
        <w:t xml:space="preserve">Create one shared privacy-first company message.</w:t>
      </w:r>
    </w:p>
    <w:p>
      <w:pPr>
        <w:pStyle w:val="ListParagraph"/>
        <w:numPr>
          <w:ilvl w:val="0"/>
          <w:numId w:val="5"/>
        </w:numPr>
        <w:spacing w:after="100" w:line="285"/>
      </w:pPr>
      <w:r>
        <w:rPr>
          <w:rFonts w:ascii="Arial" w:cs="Arial" w:eastAsia="Arial" w:hAnsi="Arial"/>
          <w:sz w:val="22"/>
          <w:szCs w:val="22"/>
        </w:rPr>
        <w:t xml:space="preserve">Keep the PWAs free while conducting at least 25 customer interviews.</w:t>
      </w:r>
    </w:p>
    <w:p>
      <w:pPr>
        <w:pStyle w:val="ListParagraph"/>
        <w:numPr>
          <w:ilvl w:val="0"/>
          <w:numId w:val="5"/>
        </w:numPr>
        <w:spacing w:after="100" w:line="285"/>
      </w:pPr>
      <w:r>
        <w:rPr>
          <w:rFonts w:ascii="Arial" w:cs="Arial" w:eastAsia="Arial" w:hAnsi="Arial"/>
          <w:sz w:val="22"/>
          <w:szCs w:val="22"/>
        </w:rPr>
        <w:t xml:space="preserve">Build qualified waitlists for both native applications.</w:t>
      </w:r>
    </w:p>
    <w:p>
      <w:pPr>
        <w:pStyle w:val="ListParagraph"/>
        <w:numPr>
          <w:ilvl w:val="0"/>
          <w:numId w:val="5"/>
        </w:numPr>
        <w:spacing w:after="100" w:line="285"/>
      </w:pPr>
      <w:r>
        <w:rPr>
          <w:rFonts w:ascii="Arial" w:cs="Arial" w:eastAsia="Arial" w:hAnsi="Arial"/>
          <w:sz w:val="22"/>
          <w:szCs w:val="22"/>
        </w:rPr>
        <w:t xml:space="preserve">Use Analog Math Clock as the first native store pilot.</w:t>
      </w:r>
    </w:p>
    <w:p>
      <w:pPr>
        <w:pStyle w:val="ListParagraph"/>
        <w:numPr>
          <w:ilvl w:val="0"/>
          <w:numId w:val="5"/>
        </w:numPr>
        <w:spacing w:after="100" w:line="285"/>
      </w:pPr>
      <w:r>
        <w:rPr>
          <w:rFonts w:ascii="Arial" w:cs="Arial" w:eastAsia="Arial" w:hAnsi="Arial"/>
          <w:sz w:val="22"/>
          <w:szCs w:val="22"/>
        </w:rPr>
        <w:t xml:space="preserve">Begin with one-time purchases rather than subscriptions.</w:t>
      </w:r>
    </w:p>
    <w:p>
      <w:pPr>
        <w:pStyle w:val="ListParagraph"/>
        <w:numPr>
          <w:ilvl w:val="0"/>
          <w:numId w:val="5"/>
        </w:numPr>
        <w:spacing w:after="100" w:line="285"/>
      </w:pPr>
      <w:r>
        <w:rPr>
          <w:rFonts w:ascii="Arial" w:cs="Arial" w:eastAsia="Arial" w:hAnsi="Arial"/>
          <w:sz w:val="22"/>
          <w:szCs w:val="22"/>
        </w:rPr>
        <w:t xml:space="preserve">Release Flashcard Flurry after the first store workflow is stable.</w:t>
      </w:r>
    </w:p>
    <w:p>
      <w:pPr>
        <w:pStyle w:val="ListParagraph"/>
        <w:numPr>
          <w:ilvl w:val="0"/>
          <w:numId w:val="5"/>
        </w:numPr>
        <w:spacing w:after="100" w:line="285"/>
      </w:pPr>
      <w:r>
        <w:rPr>
          <w:rFonts w:ascii="Arial" w:cs="Arial" w:eastAsia="Arial" w:hAnsi="Arial"/>
          <w:sz w:val="22"/>
          <w:szCs w:val="22"/>
        </w:rPr>
        <w:t xml:space="preserve">Add accounts, cloud sync, or institutional features only after demand is proven.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E3" w:sz="4"/>
              <w:left w:val="single" w:color="D9D9E3" w:sz="4"/>
              <w:bottom w:val="single" w:color="D9D9E3" w:sz="4"/>
              <w:right w:val="single" w:color="D9D9E3" w:sz="4"/>
            </w:tcBorders>
            <w:shd w:fill="EEF2FF" w:val="clear"/>
            <w:tcMar>
              <w:top w:type="dxa" w:w="180"/>
              <w:left w:type="dxa" w:w="220"/>
              <w:bottom w:type="dxa" w:w="180"/>
              <w:right w:type="dxa" w:w="220"/>
            </w:tcMar>
          </w:tcPr>
          <w:p>
            <w:pPr>
              <w:spacing w:before="0" w:after="0" w:line="300"/>
            </w:pPr>
            <w:r>
              <w:rPr>
                <w:rFonts w:ascii="Arial" w:cs="Arial" w:eastAsia="Arial" w:hAnsi="Arial"/>
                <w:b/>
                <w:bCs/>
                <w:sz w:val="22"/>
                <w:szCs w:val="22"/>
              </w:rPr>
              <w:t xml:space="preserve">First milestone:</w:t>
            </w:r>
            <w:r>
              <w:rPr>
                <w:rFonts w:ascii="Arial" w:cs="Arial" w:eastAsia="Arial" w:hAnsi="Arial"/>
                <w:sz w:val="22"/>
                <w:szCs w:val="22"/>
              </w:rPr>
              <w:t xml:space="preserve"> Do not define success as maximum revenue. Define it as 25 completed interviews, 100 qualified subscribers, a dependable beta group, and clear evidence that customers will pay.</w:t>
            </w:r>
          </w:p>
        </w:tc>
      </w:tr>
    </w:tbl>
    <w:p>
      <w:pPr>
        <w:pStyle w:val="Heading1"/>
        <w:keepNext/>
        <w:pageBreakBefore/>
      </w:pPr>
      <w:r>
        <w:rPr>
          <w:rFonts w:ascii="Arial" w:cs="Arial" w:eastAsia="Arial" w:hAnsi="Arial"/>
          <w:b/>
          <w:bCs/>
          <w:sz w:val="22"/>
          <w:szCs w:val="22"/>
        </w:rPr>
        <w:t xml:space="preserve">12. Source Notes</w:t>
      </w:r>
    </w:p>
    <w:p>
      <w:pPr>
        <w:spacing w:before="0" w:after="140" w:line="300"/>
      </w:pPr>
      <w:r>
        <w:rPr>
          <w:rFonts w:ascii="Arial" w:cs="Arial" w:eastAsia="Arial" w:hAnsi="Arial"/>
          <w:sz w:val="22"/>
          <w:szCs w:val="22"/>
        </w:rPr>
        <w:t xml:space="preserve">The following official and product references informed the September 2026 planning assumptions. Store policies, fees, privacy rules, and platform requirements can change; re-check them before implementation or submission.</w:t>
      </w:r>
    </w:p>
    <w:p>
      <w:pPr>
        <w:spacing w:before="0" w:after="140" w:line="300"/>
      </w:pPr>
      <w:r>
        <w:rPr>
          <w:rFonts w:ascii="Arial" w:cs="Arial" w:eastAsia="Arial" w:hAnsi="Arial"/>
          <w:b/>
          <w:bCs/>
          <w:sz w:val="22"/>
          <w:szCs w:val="22"/>
        </w:rPr>
        <w:t xml:space="preserve">Analog Math Clock: </w:t>
      </w:r>
      <w:hyperlink w:history="1" r:id="rIdaz0hlxwbdsigp89yjxcar">
        <w:r>
          <w:rPr>
            <w:rStyle w:val="Hyperlink"/>
            <w:rFonts w:ascii="Arial" w:cs="Arial" w:eastAsia="Arial" w:hAnsi="Arial"/>
            <w:sz w:val="20"/>
            <w:szCs w:val="20"/>
          </w:rPr>
          <w:t xml:space="preserve">analogmathclock.com</w:t>
        </w:r>
      </w:hyperlink>
    </w:p>
    <w:p>
      <w:pPr>
        <w:spacing w:before="0" w:after="140" w:line="300"/>
      </w:pPr>
      <w:r>
        <w:rPr>
          <w:rFonts w:ascii="Arial" w:cs="Arial" w:eastAsia="Arial" w:hAnsi="Arial"/>
          <w:b/>
          <w:bCs/>
          <w:sz w:val="22"/>
          <w:szCs w:val="22"/>
        </w:rPr>
        <w:t xml:space="preserve">Flashcard Flurry: </w:t>
      </w:r>
      <w:hyperlink w:history="1" r:id="rIduk3yz4avwg8c8ihbvzalf">
        <w:r>
          <w:rPr>
            <w:rStyle w:val="Hyperlink"/>
            <w:rFonts w:ascii="Arial" w:cs="Arial" w:eastAsia="Arial" w:hAnsi="Arial"/>
            <w:sz w:val="20"/>
            <w:szCs w:val="20"/>
          </w:rPr>
          <w:t xml:space="preserve">flashcardflurry.com</w:t>
        </w:r>
      </w:hyperlink>
    </w:p>
    <w:p>
      <w:pPr>
        <w:spacing w:before="0" w:after="140" w:line="300"/>
      </w:pPr>
      <w:r>
        <w:rPr>
          <w:rFonts w:ascii="Arial" w:cs="Arial" w:eastAsia="Arial" w:hAnsi="Arial"/>
          <w:b/>
          <w:bCs/>
          <w:sz w:val="22"/>
          <w:szCs w:val="22"/>
        </w:rPr>
        <w:t xml:space="preserve">SBA business structure guidance: </w:t>
      </w:r>
      <w:hyperlink w:history="1" r:id="rId4wyzqg433biqluxhfuqly">
        <w:r>
          <w:rPr>
            <w:rStyle w:val="Hyperlink"/>
            <w:rFonts w:ascii="Arial" w:cs="Arial" w:eastAsia="Arial" w:hAnsi="Arial"/>
            <w:sz w:val="20"/>
            <w:szCs w:val="20"/>
          </w:rPr>
          <w:t xml:space="preserve">Choose a business structure</w:t>
        </w:r>
      </w:hyperlink>
    </w:p>
    <w:p>
      <w:pPr>
        <w:spacing w:before="0" w:after="140" w:line="300"/>
      </w:pPr>
      <w:r>
        <w:rPr>
          <w:rFonts w:ascii="Arial" w:cs="Arial" w:eastAsia="Arial" w:hAnsi="Arial"/>
          <w:b/>
          <w:bCs/>
          <w:sz w:val="22"/>
          <w:szCs w:val="22"/>
        </w:rPr>
        <w:t xml:space="preserve">IRS EIN guidance: </w:t>
      </w:r>
      <w:hyperlink w:history="1" r:id="rId1jnpr7t-aspfosfeq5yqm">
        <w:r>
          <w:rPr>
            <w:rStyle w:val="Hyperlink"/>
            <w:rFonts w:ascii="Arial" w:cs="Arial" w:eastAsia="Arial" w:hAnsi="Arial"/>
            <w:sz w:val="20"/>
            <w:szCs w:val="20"/>
          </w:rPr>
          <w:t xml:space="preserve">Instructions for Form SS-4</w:t>
        </w:r>
      </w:hyperlink>
    </w:p>
    <w:p>
      <w:pPr>
        <w:spacing w:before="0" w:after="140" w:line="300"/>
      </w:pPr>
      <w:r>
        <w:rPr>
          <w:rFonts w:ascii="Arial" w:cs="Arial" w:eastAsia="Arial" w:hAnsi="Arial"/>
          <w:b/>
          <w:bCs/>
          <w:sz w:val="22"/>
          <w:szCs w:val="22"/>
        </w:rPr>
        <w:t xml:space="preserve">USPTO search: </w:t>
      </w:r>
      <w:hyperlink w:history="1" r:id="rIdezra5vrlfzbulfwnmdrhm">
        <w:r>
          <w:rPr>
            <w:rStyle w:val="Hyperlink"/>
            <w:rFonts w:ascii="Arial" w:cs="Arial" w:eastAsia="Arial" w:hAnsi="Arial"/>
            <w:sz w:val="20"/>
            <w:szCs w:val="20"/>
          </w:rPr>
          <w:t xml:space="preserve">Trademark Search</w:t>
        </w:r>
      </w:hyperlink>
    </w:p>
    <w:p>
      <w:pPr>
        <w:spacing w:before="0" w:after="140" w:line="300"/>
      </w:pPr>
      <w:r>
        <w:rPr>
          <w:rFonts w:ascii="Arial" w:cs="Arial" w:eastAsia="Arial" w:hAnsi="Arial"/>
          <w:b/>
          <w:bCs/>
          <w:sz w:val="22"/>
          <w:szCs w:val="22"/>
        </w:rPr>
        <w:t xml:space="preserve">Apple enrollment and fees: </w:t>
      </w:r>
      <w:hyperlink w:history="1" r:id="rIdrjkq-vkfd7a6uazrgwx3z">
        <w:r>
          <w:rPr>
            <w:rStyle w:val="Hyperlink"/>
            <w:rFonts w:ascii="Arial" w:cs="Arial" w:eastAsia="Arial" w:hAnsi="Arial"/>
            <w:sz w:val="20"/>
            <w:szCs w:val="20"/>
          </w:rPr>
          <w:t xml:space="preserve">Apple Developer Program enrollment</w:t>
        </w:r>
      </w:hyperlink>
    </w:p>
    <w:p>
      <w:pPr>
        <w:spacing w:before="0" w:after="140" w:line="300"/>
      </w:pPr>
      <w:r>
        <w:rPr>
          <w:rFonts w:ascii="Arial" w:cs="Arial" w:eastAsia="Arial" w:hAnsi="Arial"/>
          <w:b/>
          <w:bCs/>
          <w:sz w:val="22"/>
          <w:szCs w:val="22"/>
        </w:rPr>
        <w:t xml:space="preserve">Apple review requirements: </w:t>
      </w:r>
      <w:hyperlink w:history="1" r:id="rIdyxfi9ymyjk9qoeywmz0k_">
        <w:r>
          <w:rPr>
            <w:rStyle w:val="Hyperlink"/>
            <w:rFonts w:ascii="Arial" w:cs="Arial" w:eastAsia="Arial" w:hAnsi="Arial"/>
            <w:sz w:val="20"/>
            <w:szCs w:val="20"/>
          </w:rPr>
          <w:t xml:space="preserve">App Review Guidelines</w:t>
        </w:r>
      </w:hyperlink>
    </w:p>
    <w:p>
      <w:pPr>
        <w:spacing w:before="0" w:after="140" w:line="300"/>
      </w:pPr>
      <w:r>
        <w:rPr>
          <w:rFonts w:ascii="Arial" w:cs="Arial" w:eastAsia="Arial" w:hAnsi="Arial"/>
          <w:b/>
          <w:bCs/>
          <w:sz w:val="22"/>
          <w:szCs w:val="22"/>
        </w:rPr>
        <w:t xml:space="preserve">Apple small-business fees: </w:t>
      </w:r>
      <w:hyperlink w:history="1" r:id="rIdd_ueuu-rfc0k34-mrjpmw">
        <w:r>
          <w:rPr>
            <w:rStyle w:val="Hyperlink"/>
            <w:rFonts w:ascii="Arial" w:cs="Arial" w:eastAsia="Arial" w:hAnsi="Arial"/>
            <w:sz w:val="20"/>
            <w:szCs w:val="20"/>
          </w:rPr>
          <w:t xml:space="preserve">App Store Small Business Program</w:t>
        </w:r>
      </w:hyperlink>
    </w:p>
    <w:p>
      <w:pPr>
        <w:spacing w:before="0" w:after="140" w:line="300"/>
      </w:pPr>
      <w:r>
        <w:rPr>
          <w:rFonts w:ascii="Arial" w:cs="Arial" w:eastAsia="Arial" w:hAnsi="Arial"/>
          <w:b/>
          <w:bCs/>
          <w:sz w:val="22"/>
          <w:szCs w:val="22"/>
        </w:rPr>
        <w:t xml:space="preserve">Apple privacy disclosures: </w:t>
      </w:r>
      <w:hyperlink w:history="1" r:id="rId7viqnzgcs17qsjgygyckk">
        <w:r>
          <w:rPr>
            <w:rStyle w:val="Hyperlink"/>
            <w:rFonts w:ascii="Arial" w:cs="Arial" w:eastAsia="Arial" w:hAnsi="Arial"/>
            <w:sz w:val="20"/>
            <w:szCs w:val="20"/>
          </w:rPr>
          <w:t xml:space="preserve">Manage app privacy</w:t>
        </w:r>
      </w:hyperlink>
    </w:p>
    <w:p>
      <w:pPr>
        <w:spacing w:before="0" w:after="140" w:line="300"/>
      </w:pPr>
      <w:r>
        <w:rPr>
          <w:rFonts w:ascii="Arial" w:cs="Arial" w:eastAsia="Arial" w:hAnsi="Arial"/>
          <w:b/>
          <w:bCs/>
          <w:sz w:val="22"/>
          <w:szCs w:val="22"/>
        </w:rPr>
        <w:t xml:space="preserve">Google account and distribution: </w:t>
      </w:r>
      <w:hyperlink w:history="1" r:id="rIddjtaofmr2pr3f3ejuh3ju">
        <w:r>
          <w:rPr>
            <w:rStyle w:val="Hyperlink"/>
            <w:rFonts w:ascii="Arial" w:cs="Arial" w:eastAsia="Arial" w:hAnsi="Arial"/>
            <w:sz w:val="20"/>
            <w:szCs w:val="20"/>
          </w:rPr>
          <w:t xml:space="preserve">Choose a distribution</w:t>
        </w:r>
      </w:hyperlink>
    </w:p>
    <w:p>
      <w:pPr>
        <w:spacing w:before="0" w:after="140" w:line="300"/>
      </w:pPr>
      <w:r>
        <w:rPr>
          <w:rFonts w:ascii="Arial" w:cs="Arial" w:eastAsia="Arial" w:hAnsi="Arial"/>
          <w:b/>
          <w:bCs/>
          <w:sz w:val="22"/>
          <w:szCs w:val="22"/>
        </w:rPr>
        <w:t xml:space="preserve">Google testing: </w:t>
      </w:r>
      <w:hyperlink w:history="1" r:id="rIdukk9hpw0q7tetdojo9qbi">
        <w:r>
          <w:rPr>
            <w:rStyle w:val="Hyperlink"/>
            <w:rFonts w:ascii="Arial" w:cs="Arial" w:eastAsia="Arial" w:hAnsi="Arial"/>
            <w:sz w:val="20"/>
            <w:szCs w:val="20"/>
          </w:rPr>
          <w:t xml:space="preserve">App testing requirements</w:t>
        </w:r>
      </w:hyperlink>
    </w:p>
    <w:p>
      <w:pPr>
        <w:spacing w:before="0" w:after="140" w:line="300"/>
      </w:pPr>
      <w:r>
        <w:rPr>
          <w:rFonts w:ascii="Arial" w:cs="Arial" w:eastAsia="Arial" w:hAnsi="Arial"/>
          <w:b/>
          <w:bCs/>
          <w:sz w:val="22"/>
          <w:szCs w:val="22"/>
        </w:rPr>
        <w:t xml:space="preserve">Google privacy disclosures: </w:t>
      </w:r>
      <w:hyperlink w:history="1" r:id="rIde5fyzhmqy-3eq4fms8rcb">
        <w:r>
          <w:rPr>
            <w:rStyle w:val="Hyperlink"/>
            <w:rFonts w:ascii="Arial" w:cs="Arial" w:eastAsia="Arial" w:hAnsi="Arial"/>
            <w:sz w:val="20"/>
            <w:szCs w:val="20"/>
          </w:rPr>
          <w:t xml:space="preserve">Data Safety requirements</w:t>
        </w:r>
      </w:hyperlink>
    </w:p>
    <w:p>
      <w:pPr>
        <w:spacing w:before="0" w:after="140" w:line="300"/>
      </w:pPr>
      <w:r>
        <w:rPr>
          <w:rFonts w:ascii="Arial" w:cs="Arial" w:eastAsia="Arial" w:hAnsi="Arial"/>
          <w:b/>
          <w:bCs/>
          <w:sz w:val="22"/>
          <w:szCs w:val="22"/>
        </w:rPr>
        <w:t xml:space="preserve">GitHub Pages limitations: </w:t>
      </w:r>
      <w:hyperlink w:history="1" r:id="rIdtdrh0xejkcufagjlocxsh">
        <w:r>
          <w:rPr>
            <w:rStyle w:val="Hyperlink"/>
            <w:rFonts w:ascii="Arial" w:cs="Arial" w:eastAsia="Arial" w:hAnsi="Arial"/>
            <w:sz w:val="20"/>
            <w:szCs w:val="20"/>
          </w:rPr>
          <w:t xml:space="preserve">GitHub Pages limits</w:t>
        </w:r>
      </w:hyperlink>
    </w:p>
    <w:p>
      <w:pPr>
        <w:spacing w:before="0" w:after="140" w:line="300"/>
      </w:pPr>
      <w:r>
        <w:rPr>
          <w:rFonts w:ascii="Arial" w:cs="Arial" w:eastAsia="Arial" w:hAnsi="Arial"/>
          <w:b/>
          <w:bCs/>
          <w:sz w:val="22"/>
          <w:szCs w:val="22"/>
        </w:rPr>
        <w:t xml:space="preserve">FTC children's privacy guidance: </w:t>
      </w:r>
      <w:hyperlink w:history="1" r:id="rIdzggtggf5fhavso_2zvyhe">
        <w:r>
          <w:rPr>
            <w:rStyle w:val="Hyperlink"/>
            <w:rFonts w:ascii="Arial" w:cs="Arial" w:eastAsia="Arial" w:hAnsi="Arial"/>
            <w:sz w:val="20"/>
            <w:szCs w:val="20"/>
          </w:rPr>
          <w:t xml:space="preserve">Children's Online Privacy Protection Rule</w:t>
        </w:r>
      </w:hyperlink>
    </w:p>
    <w:p>
      <w:pPr>
        <w:spacing w:before="0" w:after="140" w:line="300"/>
      </w:pPr>
      <w:r>
        <w:rPr>
          <w:rFonts w:ascii="Arial" w:cs="Arial" w:eastAsia="Arial" w:hAnsi="Arial"/>
          <w:b/>
          <w:bCs/>
          <w:sz w:val="22"/>
          <w:szCs w:val="22"/>
        </w:rPr>
        <w:t xml:space="preserve">Stripe pricing: </w:t>
      </w:r>
      <w:hyperlink w:history="1" r:id="rIdwy3_5o0rhudoarqurldn2">
        <w:r>
          <w:rPr>
            <w:rStyle w:val="Hyperlink"/>
            <w:rFonts w:ascii="Arial" w:cs="Arial" w:eastAsia="Arial" w:hAnsi="Arial"/>
            <w:sz w:val="20"/>
            <w:szCs w:val="20"/>
          </w:rPr>
          <w:t xml:space="preserve">Payments pricing</w:t>
        </w:r>
      </w:hyperlink>
    </w:p>
    <w:p>
      <w:pPr>
        <w:spacing w:before="0" w:after="140" w:line="300"/>
      </w:pPr>
      <w:r>
        <w:rPr>
          <w:rFonts w:ascii="Arial" w:cs="Arial" w:eastAsia="Arial" w:hAnsi="Arial"/>
          <w:sz w:val="22"/>
          <w:szCs w:val="22"/>
        </w:rPr>
        <w:t xml:space="preserve">Disclaimer: This document provides general business planning guidance and is not individualized legal, accounting, tax, investment, or financial advice. Confirm entity, tax, privacy, sales, contract, employment, and intellectual-property decisions with qualified professionals.</w:t>
      </w:r>
    </w:p>
    <w:sectPr>
      <w:footerReference w:type="default" r:id="rId6"/>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E3" w:sz="4" w:space="4"/>
      </w:pBdr>
      <w:jc w:val="right"/>
    </w:pPr>
    <w:r>
      <w:rPr>
        <w:rFonts w:ascii="Arial" w:cs="Arial" w:eastAsia="Arial" w:hAnsi="Arial"/>
        <w:color w:val="5C5C5C"/>
        <w:sz w:val="18"/>
        <w:szCs w:val="18"/>
      </w:rPr>
      <w:t xml:space="preserve">Analog Math Clock + Flashcard Flurry Business Plan  |  </w:t>
    </w:r>
    <w:r>
      <w:rPr>
        <w:rFonts w:ascii="Arial" w:cs="Arial" w:eastAsia="Arial" w:hAnsi="Arial"/>
        <w:color w:val="5C5C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424"/>
        <w:sz w:val="22"/>
        <w:szCs w:val="22"/>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240"/>
    </w:pPr>
    <w:rPr>
      <w:rFonts w:ascii="Arial" w:cs="Arial" w:eastAsia="Arial" w:hAnsi="Arial"/>
      <w:b/>
      <w:bCs/>
      <w:color w:val="242424"/>
      <w:sz w:val="48"/>
      <w:szCs w:val="48"/>
    </w:rPr>
  </w:style>
  <w:style w:type="paragraph" w:styleId="Heading1">
    <w:name w:val="Heading 1"/>
    <w:basedOn w:val="Normal"/>
    <w:next w:val="Normal"/>
    <w:qFormat/>
    <w:pPr>
      <w:pBdr>
        <w:bottom w:val="single" w:color="4F46E5" w:sz="6" w:space="4"/>
      </w:pBdr>
      <w:spacing w:before="260" w:after="160"/>
      <w:outlineLvl w:val="0"/>
    </w:pPr>
    <w:rPr>
      <w:rFonts w:ascii="Arial" w:cs="Arial" w:eastAsia="Arial" w:hAnsi="Arial"/>
      <w:b/>
      <w:bCs/>
      <w:color w:val="3730A3"/>
      <w:sz w:val="32"/>
      <w:szCs w:val="32"/>
    </w:rPr>
  </w:style>
  <w:style w:type="paragraph" w:styleId="Heading2">
    <w:name w:val="Heading 2"/>
    <w:basedOn w:val="Normal"/>
    <w:next w:val="Normal"/>
    <w:qFormat/>
    <w:pPr>
      <w:spacing w:before="220" w:after="120"/>
      <w:outlineLvl w:val="1"/>
    </w:pPr>
    <w:rPr>
      <w:rFonts w:ascii="Arial" w:cs="Arial" w:eastAsia="Arial" w:hAnsi="Arial"/>
      <w:b/>
      <w:bCs/>
      <w:color w:val="242424"/>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24242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az0hlxwbdsigp89yjxcar" Type="http://schemas.openxmlformats.org/officeDocument/2006/relationships/hyperlink" Target="https://analogmathclock.com/" TargetMode="External"/><Relationship Id="rIduk3yz4avwg8c8ihbvzalf" Type="http://schemas.openxmlformats.org/officeDocument/2006/relationships/hyperlink" Target="https://flashcardflurry.com/app/" TargetMode="External"/><Relationship Id="rId4wyzqg433biqluxhfuqly" Type="http://schemas.openxmlformats.org/officeDocument/2006/relationships/hyperlink" Target="https://www.sba.gov/business-guide/launch-your-business/choose-business-structure" TargetMode="External"/><Relationship Id="rId1jnpr7t-aspfosfeq5yqm" Type="http://schemas.openxmlformats.org/officeDocument/2006/relationships/hyperlink" Target="https://www.irs.gov/instructions/iss4" TargetMode="External"/><Relationship Id="rIdezra5vrlfzbulfwnmdrhm" Type="http://schemas.openxmlformats.org/officeDocument/2006/relationships/hyperlink" Target="https://www.uspto.gov/trademarks/search" TargetMode="External"/><Relationship Id="rIdrjkq-vkfd7a6uazrgwx3z" Type="http://schemas.openxmlformats.org/officeDocument/2006/relationships/hyperlink" Target="https://developer.apple.com/programs/enroll/" TargetMode="External"/><Relationship Id="rIdyxfi9ymyjk9qoeywmz0k_" Type="http://schemas.openxmlformats.org/officeDocument/2006/relationships/hyperlink" Target="https://developer.apple.com/app-store/review/guidelines/" TargetMode="External"/><Relationship Id="rIdd_ueuu-rfc0k34-mrjpmw" Type="http://schemas.openxmlformats.org/officeDocument/2006/relationships/hyperlink" Target="https://developer.apple.com/app-store/small-business-program/" TargetMode="External"/><Relationship Id="rId7viqnzgcs17qsjgygyckk" Type="http://schemas.openxmlformats.org/officeDocument/2006/relationships/hyperlink" Target="https://developer.apple.com/help/app-store-connect/manage-app-information/manage-app-privacy" TargetMode="External"/><Relationship Id="rIddjtaofmr2pr3f3ejuh3ju" Type="http://schemas.openxmlformats.org/officeDocument/2006/relationships/hyperlink" Target="https://support.google.com/android-developer-console/answer/16640817" TargetMode="External"/><Relationship Id="rIdukk9hpw0q7tetdojo9qbi" Type="http://schemas.openxmlformats.org/officeDocument/2006/relationships/hyperlink" Target="https://support.google.com/googleplay/android-developer/answer/14151465" TargetMode="External"/><Relationship Id="rIde5fyzhmqy-3eq4fms8rcb" Type="http://schemas.openxmlformats.org/officeDocument/2006/relationships/hyperlink" Target="https://support.google.com/googleplay/android-developer/answer/10787469" TargetMode="External"/><Relationship Id="rIdtdrh0xejkcufagjlocxsh" Type="http://schemas.openxmlformats.org/officeDocument/2006/relationships/hyperlink" Target="https://docs.github.com/en/pages/getting-started-with-github-pages/github-pages-limits" TargetMode="External"/><Relationship Id="rIdzggtggf5fhavso_2zvyhe" Type="http://schemas.openxmlformats.org/officeDocument/2006/relationships/hyperlink" Target="https://www.ftc.gov/legal-library/browse/rules/childrens-online-privacy-protection-rule-coppa" TargetMode="External"/><Relationship Id="rIdwy3_5o0rhudoarqurldn2" Type="http://schemas.openxmlformats.org/officeDocument/2006/relationships/hyperlink" Target="https://stripe.com/pricing" TargetMode="External"/><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Analog Math Clock and Flashcard Flurry Business Plan</dc:title>
  <dc:subject>Commercialization and go-to-market plan</dc:subject>
  <dc:creator>Copilot</dc:creator>
  <cp:keywords>Analog Math Clock, Flashcard Flurry, business plan, PWA, app stores</cp:keywords>
  <dc:description>A business plan for commercializing Analog Math Clock and Flashcard Flurry.</dc:description>
  <cp:lastModifiedBy>Un-named</cp:lastModifiedBy>
  <cp:revision>1</cp:revision>
  <dcterms:created xsi:type="dcterms:W3CDTF">2026-09-14T11:32:25.068Z</dcterms:created>
  <dcterms:modified xsi:type="dcterms:W3CDTF">2026-09-14T11:32:25.069Z</dcterms:modified>
</cp:coreProperties>
</file>

<file path=docProps/custom.xml><?xml version="1.0" encoding="utf-8"?>
<Properties xmlns="http://schemas.openxmlformats.org/officeDocument/2006/custom-properties" xmlns:vt="http://schemas.openxmlformats.org/officeDocument/2006/docPropsVTypes"/>
</file>