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00" w:before="100"/>
      </w:pPr>
    </w:p>
    <w:p>
      <w:pPr>
        <w:spacing w:after="100" w:before="100"/>
      </w:pPr>
    </w:p>
    <w:p>
      <w:pPr>
        <w:spacing w:after="80" w:before="80"/>
        <w:jc w:val="center"/>
      </w:pPr>
      <w:r>
        <w:rPr>
          <w:rFonts w:ascii="Arial" w:cs="Arial" w:eastAsia="Arial" w:hAnsi="Arial"/>
          <w:b/>
          <w:bCs/>
          <w:color w:val="1A1A2E"/>
          <w:sz w:val="44"/>
          <w:szCs w:val="44"/>
        </w:rPr>
        <w:t xml:space="preserve">复杂环境救援机器人聚类搜索方法</w:t>
      </w:r>
    </w:p>
    <w:p>
      <w:pPr>
        <w:spacing w:after="100" w:before="100"/>
      </w:pPr>
    </w:p>
    <w:p>
      <w:pPr>
        <w:spacing w:after="80" w:before="80"/>
        <w:jc w:val="center"/>
      </w:pPr>
      <w:r>
        <w:rPr>
          <w:rFonts w:ascii="Arial" w:cs="Arial" w:eastAsia="Arial" w:hAnsi="Arial"/>
          <w:b/>
          <w:bCs/>
          <w:color w:val="2E75B6"/>
          <w:sz w:val="32"/>
          <w:szCs w:val="32"/>
        </w:rPr>
        <w:t xml:space="preserve">SCCS 仿真实验总结报告</w:t>
      </w:r>
    </w:p>
    <w:p>
      <w:pPr>
        <w:spacing w:after="100" w:before="100"/>
      </w:pPr>
    </w:p>
    <w:p>
      <w:pPr>
        <w:spacing w:after="100" w:before="100"/>
      </w:pPr>
    </w:p>
    <w:p>
      <w:pPr>
        <w:spacing w:after="80" w:before="80"/>
        <w:jc w:val="center"/>
      </w:pPr>
      <w:r>
        <w:rPr>
          <w:rFonts w:ascii="Arial" w:cs="Arial" w:eastAsia="Arial" w:hAnsi="Arial"/>
          <w:i/>
          <w:iCs/>
          <w:color w:val="666666"/>
          <w:sz w:val="24"/>
          <w:szCs w:val="24"/>
        </w:rPr>
        <w:t xml:space="preserve">State-aware Clustering Search for Rescue Robots</w:t>
      </w:r>
    </w:p>
    <w:p>
      <w:pPr>
        <w:spacing w:after="80" w:before="80"/>
        <w:jc w:val="center"/>
      </w:pPr>
      <w:r>
        <w:rPr>
          <w:rFonts w:ascii="Arial" w:cs="Arial" w:eastAsia="Arial" w:hAnsi="Arial"/>
          <w:i/>
          <w:iCs/>
          <w:color w:val="666666"/>
          <w:sz w:val="24"/>
          <w:szCs w:val="24"/>
        </w:rPr>
        <w:t xml:space="preserve">Experiment Summary Report</w:t>
      </w:r>
    </w:p>
    <w:p>
      <w:pPr>
        <w:spacing w:after="100" w:before="100"/>
      </w:pPr>
    </w:p>
    <w:p>
      <w:pPr>
        <w:spacing w:after="100" w:before="100"/>
      </w:pPr>
    </w:p>
    <w:p>
      <w:pPr>
        <w:spacing w:after="100" w:before="100"/>
      </w:pPr>
    </w:p>
    <w:p>
      <w:pPr>
        <w:spacing w:after="100" w:before="100"/>
      </w:pPr>
    </w:p>
    <w:p>
      <w:pPr>
        <w:spacing w:after="80" w:before="80"/>
        <w:jc w:val="left"/>
      </w:pPr>
      <w:r>
        <w:rPr>
          <w:rFonts w:ascii="Arial" w:cs="Arial" w:eastAsia="Arial" w:hAnsi="Arial"/>
          <w:sz w:val="22"/>
          <w:szCs w:val="22"/>
        </w:rPr>
        <w:t xml:space="preserve"/>
      </w:r>
    </w:p>
    <w:p>
      <w:pPr>
        <w:spacing w:after="100" w:before="100"/>
      </w:pPr>
    </w:p>
    <w:p>
      <w:pPr>
        <w:spacing w:after="100" w:before="100"/>
      </w:pPr>
    </w:p>
    <w:p>
      <w:pPr>
        <w:spacing w:after="80" w:before="80"/>
        <w:jc w:val="center"/>
      </w:pPr>
      <w:r>
        <w:rPr>
          <w:rFonts w:ascii="Arial" w:cs="Arial" w:eastAsia="Arial" w:hAnsi="Arial"/>
          <w:color w:val="999999"/>
          <w:sz w:val="22"/>
          <w:szCs w:val="22"/>
        </w:rPr>
        <w:t xml:space="preserve">2026 年 5 月</w:t>
      </w:r>
    </w:p>
    <w:p>
      <w:r>
        <w:br w:type="page"/>
      </w:r>
    </w:p>
    <w:p>
      <w:pPr>
        <w:pStyle w:val="Heading1"/>
        <w:spacing w:after="120" w:before="240"/>
      </w:pPr>
      <w:r>
        <w:rPr>
          <w:rFonts w:ascii="Arial" w:cs="Arial" w:eastAsia="Arial" w:hAnsi="Arial"/>
          <w:b/>
          <w:bCs/>
        </w:rPr>
        <w:t xml:space="preserve">目录</w:t>
      </w:r>
    </w:p>
    <w:p>
      <w:pPr>
        <w:pStyle w:val="ListParagraph"/>
        <w:numPr>
          <w:ilvl w:val="0"/>
          <w:numId w:val="2"/>
        </w:numPr>
        <w:spacing w:after="40" w:before="40"/>
      </w:pPr>
      <w:r>
        <w:rPr>
          <w:rFonts w:ascii="Arial" w:cs="Arial" w:eastAsia="Arial" w:hAnsi="Arial"/>
          <w:sz w:val="21"/>
          <w:szCs w:val="21"/>
        </w:rPr>
        <w:t xml:space="preserve">1. 项目概述</w:t>
      </w:r>
    </w:p>
    <w:p>
      <w:pPr>
        <w:pStyle w:val="ListParagraph"/>
        <w:numPr>
          <w:ilvl w:val="0"/>
          <w:numId w:val="2"/>
        </w:numPr>
        <w:spacing w:after="40" w:before="40"/>
      </w:pPr>
      <w:r>
        <w:rPr>
          <w:rFonts w:ascii="Arial" w:cs="Arial" w:eastAsia="Arial" w:hAnsi="Arial"/>
          <w:sz w:val="21"/>
          <w:szCs w:val="21"/>
        </w:rPr>
        <w:t xml:space="preserve">2. 系统架构</w:t>
      </w:r>
    </w:p>
    <w:p>
      <w:pPr>
        <w:pStyle w:val="ListParagraph"/>
        <w:numPr>
          <w:ilvl w:val="0"/>
          <w:numId w:val="2"/>
        </w:numPr>
        <w:spacing w:after="40" w:before="40"/>
      </w:pPr>
      <w:r>
        <w:rPr>
          <w:rFonts w:ascii="Arial" w:cs="Arial" w:eastAsia="Arial" w:hAnsi="Arial"/>
          <w:sz w:val="21"/>
          <w:szCs w:val="21"/>
        </w:rPr>
        <w:t xml:space="preserve">3. 实验环境与参数配置</w:t>
      </w:r>
    </w:p>
    <w:p>
      <w:pPr>
        <w:pStyle w:val="ListParagraph"/>
        <w:numPr>
          <w:ilvl w:val="0"/>
          <w:numId w:val="2"/>
        </w:numPr>
        <w:spacing w:after="40" w:before="40"/>
      </w:pPr>
      <w:r>
        <w:rPr>
          <w:rFonts w:ascii="Arial" w:cs="Arial" w:eastAsia="Arial" w:hAnsi="Arial"/>
          <w:sz w:val="21"/>
          <w:szCs w:val="21"/>
        </w:rPr>
        <w:t xml:space="preserve">4. 感知模块测试结果</w:t>
      </w:r>
    </w:p>
    <w:p>
      <w:pPr>
        <w:pStyle w:val="ListParagraph"/>
        <w:numPr>
          <w:ilvl w:val="0"/>
          <w:numId w:val="2"/>
        </w:numPr>
        <w:spacing w:after="40" w:before="40"/>
      </w:pPr>
      <w:r>
        <w:rPr>
          <w:rFonts w:ascii="Arial" w:cs="Arial" w:eastAsia="Arial" w:hAnsi="Arial"/>
          <w:sz w:val="21"/>
          <w:szCs w:val="21"/>
        </w:rPr>
        <w:t xml:space="preserve">5. 实验一：SOTA 对比</w:t>
      </w:r>
    </w:p>
    <w:p>
      <w:pPr>
        <w:pStyle w:val="ListParagraph"/>
        <w:numPr>
          <w:ilvl w:val="0"/>
          <w:numId w:val="2"/>
        </w:numPr>
        <w:spacing w:after="40" w:before="40"/>
      </w:pPr>
      <w:r>
        <w:rPr>
          <w:rFonts w:ascii="Arial" w:cs="Arial" w:eastAsia="Arial" w:hAnsi="Arial"/>
          <w:sz w:val="21"/>
          <w:szCs w:val="21"/>
        </w:rPr>
        <w:t xml:space="preserve">6. 实验二：消融实验</w:t>
      </w:r>
    </w:p>
    <w:p>
      <w:pPr>
        <w:pStyle w:val="ListParagraph"/>
        <w:numPr>
          <w:ilvl w:val="0"/>
          <w:numId w:val="2"/>
        </w:numPr>
        <w:spacing w:after="40" w:before="40"/>
      </w:pPr>
      <w:r>
        <w:rPr>
          <w:rFonts w:ascii="Arial" w:cs="Arial" w:eastAsia="Arial" w:hAnsi="Arial"/>
          <w:sz w:val="21"/>
          <w:szCs w:val="21"/>
        </w:rPr>
        <w:t xml:space="preserve">7. 实验三：极端环境鲁棒性</w:t>
      </w:r>
    </w:p>
    <w:p>
      <w:pPr>
        <w:pStyle w:val="ListParagraph"/>
        <w:numPr>
          <w:ilvl w:val="0"/>
          <w:numId w:val="2"/>
        </w:numPr>
        <w:spacing w:after="40" w:before="40"/>
      </w:pPr>
      <w:r>
        <w:rPr>
          <w:rFonts w:ascii="Arial" w:cs="Arial" w:eastAsia="Arial" w:hAnsi="Arial"/>
          <w:sz w:val="21"/>
          <w:szCs w:val="21"/>
        </w:rPr>
        <w:t xml:space="preserve">8. 实验四：可扩展性分析</w:t>
      </w:r>
    </w:p>
    <w:p>
      <w:pPr>
        <w:pStyle w:val="ListParagraph"/>
        <w:numPr>
          <w:ilvl w:val="0"/>
          <w:numId w:val="2"/>
        </w:numPr>
        <w:spacing w:after="40" w:before="40"/>
      </w:pPr>
      <w:r>
        <w:rPr>
          <w:rFonts w:ascii="Arial" w:cs="Arial" w:eastAsia="Arial" w:hAnsi="Arial"/>
          <w:sz w:val="21"/>
          <w:szCs w:val="21"/>
        </w:rPr>
        <w:t xml:space="preserve">9. 综合分析与结论</w:t>
      </w:r>
    </w:p>
    <w:p>
      <w:pPr>
        <w:pStyle w:val="ListParagraph"/>
        <w:numPr>
          <w:ilvl w:val="0"/>
          <w:numId w:val="2"/>
        </w:numPr>
        <w:spacing w:after="40" w:before="40"/>
      </w:pPr>
      <w:r>
        <w:rPr>
          <w:rFonts w:ascii="Arial" w:cs="Arial" w:eastAsia="Arial" w:hAnsi="Arial"/>
          <w:sz w:val="21"/>
          <w:szCs w:val="21"/>
        </w:rPr>
        <w:t xml:space="preserve">附录：代码结构说明</w:t>
      </w:r>
    </w:p>
    <w:p>
      <w:r>
        <w:br w:type="page"/>
      </w:r>
    </w:p>
    <w:p>
      <w:pPr>
        <w:pStyle w:val="Heading1"/>
        <w:spacing w:after="120" w:before="240"/>
      </w:pPr>
      <w:r>
        <w:rPr>
          <w:rFonts w:ascii="Arial" w:cs="Arial" w:eastAsia="Arial" w:hAnsi="Arial"/>
          <w:b/>
          <w:bCs/>
        </w:rPr>
        <w:t xml:space="preserve">1. 项目概述</w:t>
      </w:r>
    </w:p>
    <w:p>
      <w:pPr>
        <w:spacing w:after="80" w:before="80"/>
        <w:jc w:val="left"/>
      </w:pPr>
      <w:r>
        <w:rPr>
          <w:rFonts w:ascii="Arial" w:cs="Arial" w:eastAsia="Arial" w:hAnsi="Arial"/>
          <w:sz w:val="22"/>
          <w:szCs w:val="22"/>
        </w:rPr>
        <w:t xml:space="preserve">本项目实现了一套面向复杂灾害环境的救援机器人协同搜索仿真系统——SCCS（State-aware Clustering Search，基于状态感知的聚类搜索方法）。系统针对地震、塌方等灾害场景中"信息孤岛"的核心挑战，提出三项关键创新：</w:t>
      </w:r>
    </w:p>
    <w:p>
      <w:pPr>
        <w:pStyle w:val="ListParagraph"/>
        <w:numPr>
          <w:ilvl w:val="0"/>
          <w:numId w:val="2"/>
        </w:numPr>
        <w:spacing w:after="40" w:before="40"/>
      </w:pPr>
      <w:r>
        <w:rPr>
          <w:rFonts w:ascii="Arial" w:cs="Arial" w:eastAsia="Arial" w:hAnsi="Arial"/>
          <w:sz w:val="21"/>
          <w:szCs w:val="21"/>
        </w:rPr>
        <w:t xml:space="preserve">ADC 自适应密度聚类算法：根据幸存者密度和机器人数量动态调整 DBSCAN 的 ε 参数，实现搜索区域的智能划分与负载均衡</w:t>
      </w:r>
    </w:p>
    <w:p>
      <w:pPr>
        <w:pStyle w:val="ListParagraph"/>
        <w:numPr>
          <w:ilvl w:val="0"/>
          <w:numId w:val="2"/>
        </w:numPr>
        <w:spacing w:after="40" w:before="40"/>
      </w:pPr>
      <w:r>
        <w:rPr>
          <w:rFonts w:ascii="Arial" w:cs="Arial" w:eastAsia="Arial" w:hAnsi="Arial"/>
          <w:sz w:val="21"/>
          <w:szCs w:val="21"/>
        </w:rPr>
        <w:t xml:space="preserve">TCFM 三色荧光标记机制：通过黄色（待救）、绿色（已救）、红色（死亡）环境标记实现机器人间的隐式协同，将通信复杂度从 O(N²) 降至 O(1)</w:t>
      </w:r>
    </w:p>
    <w:p>
      <w:pPr>
        <w:pStyle w:val="ListParagraph"/>
        <w:numPr>
          <w:ilvl w:val="0"/>
          <w:numId w:val="2"/>
        </w:numPr>
        <w:spacing w:after="40" w:before="40"/>
      </w:pPr>
      <w:r>
        <w:rPr>
          <w:rFonts w:ascii="Arial" w:cs="Arial" w:eastAsia="Arial" w:hAnsi="Arial"/>
          <w:sz w:val="21"/>
          <w:szCs w:val="21"/>
        </w:rPr>
        <w:t xml:space="preserve">三级抗干扰感知流水线：AIE 自适应图像增强 → EKF 时空一致性校验 → LiDAR 强度交叉验证，在扬尘和弱光条件下仍保持高可靠感知</w:t>
      </w:r>
    </w:p>
    <w:p>
      <w:pPr>
        <w:spacing w:after="80" w:before="80"/>
        <w:jc w:val="left"/>
      </w:pPr>
      <w:r>
        <w:rPr>
          <w:rFonts w:ascii="Arial" w:cs="Arial" w:eastAsia="Arial" w:hAnsi="Arial"/>
          <w:sz w:val="22"/>
          <w:szCs w:val="22"/>
        </w:rPr>
        <w:t xml:space="preserve">系统包含两大运行模式：(1) Python 独立仿真，用于批量实验与数据分析；(2) ROS2 Humble + Docker Compose 分布式部署，支持与 Gazebo/Foxglove 可视化平台对接。</w:t>
      </w:r>
    </w:p>
    <w:p>
      <w:pPr>
        <w:spacing w:after="80" w:before="80"/>
        <w:jc w:val="left"/>
      </w:pPr>
      <w:r>
        <w:rPr>
          <w:rFonts w:ascii="Arial" w:cs="Arial" w:eastAsia="Arial" w:hAnsi="Arial"/>
          <w:sz w:val="22"/>
          <w:szCs w:val="22"/>
        </w:rPr>
        <w:t xml:space="preserve">代码实现分为六个核心模块：环境模拟（env.py）、机器人智能体（robot.py）、寻路算法（pathfinding.py）、感知模块（perception/）、算法模块（algorithms/）和通信模块（tcfm.py）。实验运行器（run_experiments.py）可一键生成论文所需的全部实验数据和图表。</w:t>
      </w:r>
    </w:p>
    <w:p>
      <w:r>
        <w:br w:type="page"/>
      </w:r>
    </w:p>
    <w:p>
      <w:pPr>
        <w:pStyle w:val="Heading1"/>
        <w:spacing w:after="120" w:before="240"/>
      </w:pPr>
      <w:r>
        <w:rPr>
          <w:rFonts w:ascii="Arial" w:cs="Arial" w:eastAsia="Arial" w:hAnsi="Arial"/>
          <w:b/>
          <w:bCs/>
        </w:rPr>
        <w:t xml:space="preserve">2. 系统架构</w:t>
      </w:r>
    </w:p>
    <w:p>
      <w:pPr>
        <w:pStyle w:val="Heading2"/>
        <w:spacing w:after="120" w:before="240"/>
      </w:pPr>
      <w:r>
        <w:rPr>
          <w:rFonts w:ascii="Arial" w:cs="Arial" w:eastAsia="Arial" w:hAnsi="Arial"/>
          <w:b/>
          <w:bCs/>
        </w:rPr>
        <w:t xml:space="preserve">2.1 总体架构</w:t>
      </w:r>
    </w:p>
    <w:p>
      <w:pPr>
        <w:spacing w:after="80" w:before="80"/>
        <w:jc w:val="left"/>
      </w:pPr>
      <w:r>
        <w:rPr>
          <w:rFonts w:ascii="Arial" w:cs="Arial" w:eastAsia="Arial" w:hAnsi="Arial"/>
          <w:sz w:val="22"/>
          <w:szCs w:val="22"/>
        </w:rPr>
        <w:t xml:space="preserve">SCCS 系统遵循"感知—决策—执行"三层闭环设计：</w:t>
      </w:r>
    </w:p>
    <w:p>
      <w:pPr>
        <w:pStyle w:val="ListParagraph"/>
        <w:numPr>
          <w:ilvl w:val="0"/>
          <w:numId w:val="2"/>
        </w:numPr>
        <w:spacing w:after="40" w:before="40"/>
      </w:pPr>
      <w:r>
        <w:rPr>
          <w:rFonts w:ascii="Arial" w:cs="Arial" w:eastAsia="Arial" w:hAnsi="Arial"/>
          <w:sz w:val="21"/>
          <w:szCs w:val="21"/>
        </w:rPr>
        <w:t xml:space="preserve">感知层：融合 LiDAR + Camera 数据，通过三级流水线（AIE 增强 → EKF 跟踪 → LiDAR 验证）生成高置信度环境模型</w:t>
      </w:r>
    </w:p>
    <w:p>
      <w:pPr>
        <w:pStyle w:val="ListParagraph"/>
        <w:numPr>
          <w:ilvl w:val="0"/>
          <w:numId w:val="2"/>
        </w:numPr>
        <w:spacing w:after="40" w:before="40"/>
      </w:pPr>
      <w:r>
        <w:rPr>
          <w:rFonts w:ascii="Arial" w:cs="Arial" w:eastAsia="Arial" w:hAnsi="Arial"/>
          <w:sz w:val="21"/>
          <w:szCs w:val="21"/>
        </w:rPr>
        <w:t xml:space="preserve">决策层：ADC 聚类进行任务分配，TCFM 状态机驱动路径选择，实现时空解耦的隐式协同</w:t>
      </w:r>
    </w:p>
    <w:p>
      <w:pPr>
        <w:pStyle w:val="ListParagraph"/>
        <w:numPr>
          <w:ilvl w:val="0"/>
          <w:numId w:val="2"/>
        </w:numPr>
        <w:spacing w:after="40" w:before="40"/>
      </w:pPr>
      <w:r>
        <w:rPr>
          <w:rFonts w:ascii="Arial" w:cs="Arial" w:eastAsia="Arial" w:hAnsi="Arial"/>
          <w:sz w:val="21"/>
          <w:szCs w:val="21"/>
        </w:rPr>
        <w:t xml:space="preserve">执行层：A* 寻路 + 防碰撞移动 + 物理标记喷涂，以 20Hz 频率执行</w:t>
      </w:r>
    </w:p>
    <w:p>
      <w:pPr>
        <w:pStyle w:val="Heading2"/>
        <w:spacing w:after="120" w:before="240"/>
      </w:pPr>
      <w:r>
        <w:rPr>
          <w:rFonts w:ascii="Arial" w:cs="Arial" w:eastAsia="Arial" w:hAnsi="Arial"/>
          <w:b/>
          <w:bCs/>
        </w:rPr>
        <w:t xml:space="preserve">2.2 核心算法概览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算法/模块</w:t>
            </w:r>
          </w:p>
        </w:tc>
        <w:tc>
          <w:tcPr>
            <w:tcW w:type="dxa" w:w="2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文件</w:t>
            </w:r>
          </w:p>
        </w:tc>
        <w:tc>
          <w:tcPr>
            <w:tcW w:type="dxa" w:w="40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核心机制</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贝叶斯雷视融合</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robot.py</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P(lidar|camera) = PL·PC / (PL·PC + (1-PL)(1-PC))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ADC 密度聚类</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algorithms/sccs.py</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ε = 8·(1+0.4·lnK) / (1+8·density)，负载均衡</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TCFM 标记通信</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tcfm.py</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黄/绿/红三色环境标记，O(1) 隐式通信</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 寻路</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pathfinding.py</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曼哈顿启发式 + 四方向搜索 + 路径缓存</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AIE 图像增强</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perception/aie.py</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CLAHE + 暗通道先验去霾 + 伽马校正</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EKF 轨迹跟踪</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perception/ekf_tracker.py</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 维状态 [x,y,vx,vy] + τ=3 确认</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LiDAR 交叉验证</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perception/lidar_validator.py</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荧光反射率 0.82-1.0 vs 砖块 0.22-0.68</w:t>
            </w:r>
          </w:p>
        </w:tc>
      </w:tr>
    </w:tbl>
    <w:p>
      <w:r>
        <w:br w:type="page"/>
      </w:r>
    </w:p>
    <w:p>
      <w:pPr>
        <w:pStyle w:val="Heading1"/>
        <w:spacing w:after="120" w:before="240"/>
      </w:pPr>
      <w:r>
        <w:rPr>
          <w:rFonts w:ascii="Arial" w:cs="Arial" w:eastAsia="Arial" w:hAnsi="Arial"/>
          <w:b/>
          <w:bCs/>
        </w:rPr>
        <w:t xml:space="preserve">3. 实验环境与参数配置</w:t>
      </w:r>
    </w:p>
    <w:p>
      <w:pPr>
        <w:pStyle w:val="Heading2"/>
        <w:spacing w:after="120" w:before="240"/>
      </w:pPr>
      <w:r>
        <w:rPr>
          <w:rFonts w:ascii="Arial" w:cs="Arial" w:eastAsia="Arial" w:hAnsi="Arial"/>
          <w:b/>
          <w:bCs/>
        </w:rPr>
        <w:t xml:space="preserve">3.1 仿真环境参数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c>
          <w:tcPr>
            <w:tcW w:type="dxa" w:w="2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参数</w:t>
            </w:r>
          </w:p>
        </w:tc>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取值</w:t>
            </w:r>
          </w:p>
        </w:tc>
        <w:tc>
          <w:tcPr>
            <w:tcW w:type="dxa" w:w="36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说明</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地图尺寸</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80 × 80 格</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等比例 1 格 = 0.5m，对应 40m×40m 场地</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障碍物占比</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30%</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随机矩形障碍块，模拟废墟碎石堆</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幸存者数量</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50 个</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分布于 5 个高斯聚集簇，簇标准差 5.0 格</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生命衰减速率</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0.0018 / 步</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生命强度降至 0 变为死亡（红色）</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随机种子</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30 个</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42, 123, 456, ..., 9999</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最大仿真步数</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4000 步</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超时终止</w:t>
            </w:r>
          </w:p>
        </w:tc>
      </w:tr>
    </w:tbl>
    <w:p>
      <w:pPr>
        <w:pStyle w:val="Heading2"/>
        <w:spacing w:after="120" w:before="240"/>
      </w:pPr>
      <w:r>
        <w:rPr>
          <w:rFonts w:ascii="Arial" w:cs="Arial" w:eastAsia="Arial" w:hAnsi="Arial"/>
          <w:b/>
          <w:bCs/>
        </w:rPr>
        <w:t xml:space="preserve">3.2 传感器参数</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600"/>
        <w:gridCol w:w="1968"/>
        <w:gridCol w:w="1968"/>
        <w:gridCol w:w="1968"/>
      </w:tblGrid>
      <w:tr>
        <w:tc>
          <w:tcPr>
            <w:tcW w:type="dxa" w:w="2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传感器</w:t>
            </w:r>
          </w:p>
        </w:tc>
        <w:tc>
          <w:tcPr>
            <w:tcW w:type="dxa" w:w="1968"/>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正常环境</w:t>
            </w:r>
          </w:p>
        </w:tc>
        <w:tc>
          <w:tcPr>
            <w:tcW w:type="dxa" w:w="1968"/>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扬尘环境</w:t>
            </w:r>
          </w:p>
        </w:tc>
        <w:tc>
          <w:tcPr>
            <w:tcW w:type="dxa" w:w="1968"/>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弱光环境</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LiDAR 有效范围</w:t>
            </w:r>
          </w:p>
        </w:tc>
        <w:tc>
          <w:tcPr>
            <w:tcW w:type="dxa" w:w="19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8 格</w:t>
            </w:r>
          </w:p>
        </w:tc>
        <w:tc>
          <w:tcPr>
            <w:tcW w:type="dxa" w:w="19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7 格</w:t>
            </w:r>
          </w:p>
        </w:tc>
        <w:tc>
          <w:tcPr>
            <w:tcW w:type="dxa" w:w="19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8 格</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Camera 有效范围</w:t>
            </w:r>
          </w:p>
        </w:tc>
        <w:tc>
          <w:tcPr>
            <w:tcW w:type="dxa" w:w="19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 格</w:t>
            </w:r>
          </w:p>
        </w:tc>
        <w:tc>
          <w:tcPr>
            <w:tcW w:type="dxa" w:w="19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 格</w:t>
            </w:r>
          </w:p>
        </w:tc>
        <w:tc>
          <w:tcPr>
            <w:tcW w:type="dxa" w:w="19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 格</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检测概率</w:t>
            </w:r>
          </w:p>
        </w:tc>
        <w:tc>
          <w:tcPr>
            <w:tcW w:type="dxa" w:w="19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0.88</w:t>
            </w:r>
          </w:p>
        </w:tc>
        <w:tc>
          <w:tcPr>
            <w:tcW w:type="dxa" w:w="19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0.75</w:t>
            </w:r>
          </w:p>
        </w:tc>
        <w:tc>
          <w:tcPr>
            <w:tcW w:type="dxa" w:w="19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0.75</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环境因子</w:t>
            </w:r>
          </w:p>
        </w:tc>
        <w:tc>
          <w:tcPr>
            <w:tcW w:type="dxa" w:w="19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w:t>
            </w:r>
          </w:p>
        </w:tc>
        <w:tc>
          <w:tcPr>
            <w:tcW w:type="dxa" w:w="19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0.55</w:t>
            </w:r>
          </w:p>
        </w:tc>
        <w:tc>
          <w:tcPr>
            <w:tcW w:type="dxa" w:w="19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0.40</w:t>
            </w:r>
          </w:p>
        </w:tc>
      </w:tr>
    </w:tbl>
    <w:p>
      <w:pPr>
        <w:pStyle w:val="Heading2"/>
        <w:spacing w:after="120" w:before="240"/>
      </w:pPr>
      <w:r>
        <w:rPr>
          <w:rFonts w:ascii="Arial" w:cs="Arial" w:eastAsia="Arial" w:hAnsi="Arial"/>
          <w:b/>
          <w:bCs/>
        </w:rPr>
        <w:t xml:space="preserve">3.3 机器人/算法参数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参数</w:t>
            </w:r>
          </w:p>
        </w:tc>
        <w:tc>
          <w:tcPr>
            <w:tcW w:type="dxa" w:w="50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取值</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机器人数量</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 台（可扩展性实验: 3/5/7/9）</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ADC 重聚类间隔</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40 步</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广播通信同步间隔</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25 步（对比算法）</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救援执行半径</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1.5 格</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TCFM 标记读取半径</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 格</w:t>
            </w:r>
          </w:p>
        </w:tc>
      </w:tr>
    </w:tbl>
    <w:p>
      <w:pPr>
        <w:pStyle w:val="Heading2"/>
        <w:spacing w:after="120" w:before="240"/>
      </w:pPr>
      <w:r>
        <w:rPr>
          <w:rFonts w:ascii="Arial" w:cs="Arial" w:eastAsia="Arial" w:hAnsi="Arial"/>
          <w:b/>
          <w:bCs/>
        </w:rPr>
        <w:t xml:space="preserve">3.4 对比算法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算法</w:t>
            </w:r>
          </w:p>
        </w:tc>
        <w:tc>
          <w:tcPr>
            <w:tcW w:type="dxa" w:w="3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策略</w:t>
            </w:r>
          </w:p>
        </w:tc>
        <w:tc>
          <w:tcPr>
            <w:tcW w:type="dxa" w:w="30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通信方式</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SCCS（本文）</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ADC 聚类 + TCFM 三色标记协调</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TCFM 隐式通信 O(1)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Greedy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最近幸存者贪心选择</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广播每 25 步同步 O(N²)</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PSO</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Voronoi 区域巡逻 + 蛇形路径</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广播每 25 步同步 O(N²)</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Random</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纯随机游走</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几乎无通信</w:t>
            </w:r>
          </w:p>
        </w:tc>
      </w:tr>
    </w:tbl>
    <w:p>
      <w:r>
        <w:br w:type="page"/>
      </w:r>
    </w:p>
    <w:p>
      <w:pPr>
        <w:pStyle w:val="Heading1"/>
        <w:spacing w:after="120" w:before="240"/>
      </w:pPr>
      <w:r>
        <w:rPr>
          <w:rFonts w:ascii="Arial" w:cs="Arial" w:eastAsia="Arial" w:hAnsi="Arial"/>
          <w:b/>
          <w:bCs/>
        </w:rPr>
        <w:t xml:space="preserve">4. 感知模块测试结果</w:t>
      </w:r>
    </w:p>
    <w:p>
      <w:pPr>
        <w:pStyle w:val="Heading2"/>
        <w:spacing w:after="120" w:before="240"/>
      </w:pPr>
      <w:r>
        <w:rPr>
          <w:rFonts w:ascii="Arial" w:cs="Arial" w:eastAsia="Arial" w:hAnsi="Arial"/>
          <w:b/>
          <w:bCs/>
        </w:rPr>
        <w:t xml:space="preserve">4.1 三级流水线集成测试</w:t>
      </w:r>
    </w:p>
    <w:p>
      <w:pPr>
        <w:spacing w:after="80" w:before="80"/>
        <w:jc w:val="left"/>
      </w:pPr>
      <w:r>
        <w:rPr>
          <w:rFonts w:ascii="Arial" w:cs="Arial" w:eastAsia="Arial" w:hAnsi="Arial"/>
          <w:sz w:val="22"/>
          <w:szCs w:val="22"/>
        </w:rPr>
        <w:t xml:space="preserve">模拟单个幸存者位于距离机器人 5.4 格处，测试不同场景下三级感知流水线的检测性能：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026"/>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场景</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检测到幸存者</w:t>
            </w:r>
          </w:p>
        </w:tc>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EKF 状态</w:t>
            </w:r>
          </w:p>
        </w:tc>
        <w:tc>
          <w:tcPr>
            <w:tcW w:type="dxa" w:w="20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用时（步）</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正常 (normal)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confirmed=1, pending=0, tracks=1</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扬尘 (dust)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confirmed=1, pending=0, tracks=1</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弱光 (lowlight)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confirmed=1, pending=2, tracks=3</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33</w:t>
            </w:r>
          </w:p>
        </w:tc>
      </w:tr>
    </w:tbl>
    <w:p>
      <w:pPr>
        <w:spacing w:after="80" w:before="80"/>
        <w:jc w:val="left"/>
      </w:pPr>
      <w:r>
        <w:rPr>
          <w:rFonts w:ascii="Arial" w:cs="Arial" w:eastAsia="Arial" w:hAnsi="Arial"/>
          <w:sz w:val="22"/>
          <w:szCs w:val="22"/>
        </w:rPr>
        <w:t xml:space="preserve">正常环境下 4 步即可确认目标；扬尘环境下需 23 步（视觉受限但 LiDAR 补偿）；弱光环境下需要 33 步，且产生 2 个虚假 pending 轨迹，但 EKF τ=3 确认机制正确过滤了虚警。</w:t>
      </w:r>
    </w:p>
    <w:p>
      <w:pPr>
        <w:pStyle w:val="Heading2"/>
        <w:spacing w:after="120" w:before="240"/>
      </w:pPr>
      <w:r>
        <w:rPr>
          <w:rFonts w:ascii="Arial" w:cs="Arial" w:eastAsia="Arial" w:hAnsi="Arial"/>
          <w:b/>
          <w:bCs/>
        </w:rPr>
        <w:t xml:space="preserve">4.2 EKF 单元测试（τ=3 确认机制）</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步数</w:t>
            </w:r>
          </w:p>
        </w:tc>
        <w:tc>
          <w:tcPr>
            <w:tcW w:type="dxa" w:w="225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confirmed</w:t>
            </w:r>
          </w:p>
        </w:tc>
        <w:tc>
          <w:tcPr>
            <w:tcW w:type="dxa" w:w="225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pending</w:t>
            </w:r>
          </w:p>
        </w:tc>
        <w:tc>
          <w:tcPr>
            <w:tcW w:type="dxa" w:w="225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total_tracks</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第 1 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第 2 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第 3 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第 4 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第 5 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第 6 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r>
    </w:tbl>
    <w:p>
      <w:pPr>
        <w:spacing w:after="80" w:before="80"/>
        <w:jc w:val="left"/>
      </w:pPr>
      <w:r>
        <w:rPr>
          <w:rFonts w:ascii="Arial" w:cs="Arial" w:eastAsia="Arial" w:hAnsi="Arial"/>
          <w:sz w:val="22"/>
          <w:szCs w:val="22"/>
        </w:rPr>
        <w:t xml:space="preserve">验证了 τ=3 帧确认机制的正确性：目标需连续 3 帧被关联且残差 &lt; 2.5 格才转为 confirmed 状态。</w:t>
      </w:r>
    </w:p>
    <w:p>
      <w:pPr>
        <w:pStyle w:val="Heading2"/>
        <w:spacing w:after="120" w:before="240"/>
      </w:pPr>
      <w:r>
        <w:rPr>
          <w:rFonts w:ascii="Arial" w:cs="Arial" w:eastAsia="Arial" w:hAnsi="Arial"/>
          <w:b/>
          <w:bCs/>
        </w:rPr>
        <w:t xml:space="preserve">4.3 LiDAR 误检率验证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指标</w:t>
            </w:r>
          </w:p>
        </w:tc>
        <w:tc>
          <w:tcPr>
            <w:tcW w:type="dxa" w:w="4513"/>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数值</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纯视觉误检率</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72.9%</w:t>
            </w:r>
          </w:p>
        </w:tc>
      </w:tr>
      <w:tr>
        <w:tc>
          <w:tcPr>
            <w:tcW w:type="dxa" w:w="451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融合后误检率</w:t>
            </w:r>
          </w:p>
        </w:tc>
        <w:tc>
          <w:tcPr>
            <w:tcW w:type="dxa" w:w="451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3.9%</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误检率降低幅度</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94.7%</w:t>
            </w:r>
          </w:p>
        </w:tc>
      </w:tr>
    </w:tbl>
    <w:p>
      <w:pPr>
        <w:spacing w:after="80" w:before="80"/>
        <w:jc w:val="left"/>
      </w:pPr>
      <w:r>
        <w:rPr>
          <w:rFonts w:ascii="Arial" w:cs="Arial" w:eastAsia="Arial" w:hAnsi="Arial"/>
          <w:sz w:val="22"/>
          <w:szCs w:val="22"/>
        </w:rPr>
        <w:t xml:space="preserve">蒙特卡洛 2000 次采样结果。LiDAR 交叉验证利用荧光材料（反射率 0.82-1.0）与砖块（反射率 0.22-0.68）的反射率差异，将误检率从 72.9% 降至 3.9%，降低 94.7%。</w:t>
      </w:r>
    </w:p>
    <w:p>
      <w:pPr>
        <w:pStyle w:val="Heading2"/>
        <w:spacing w:after="120" w:before="240"/>
      </w:pPr>
      <w:r>
        <w:rPr>
          <w:rFonts w:ascii="Arial" w:cs="Arial" w:eastAsia="Arial" w:hAnsi="Arial"/>
          <w:b/>
          <w:bCs/>
        </w:rPr>
        <w:t xml:space="preserve">4.4 AIE 增强模块测试</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场景</w:t>
            </w:r>
          </w:p>
        </w:tc>
        <w:tc>
          <w:tcPr>
            <w:tcW w:type="dxa" w:w="225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增强前亮度</w:t>
            </w:r>
          </w:p>
        </w:tc>
        <w:tc>
          <w:tcPr>
            <w:tcW w:type="dxa" w:w="225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增强后亮度</w:t>
            </w:r>
          </w:p>
        </w:tc>
        <w:tc>
          <w:tcPr>
            <w:tcW w:type="dxa" w:w="225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提升值</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正常 (normal)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27.0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65.0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+38.0</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扬尘 (dust)</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27.0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60.1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+33.1</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弱光 (lowlight)</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27.0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110.2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+83.2</w:t>
            </w:r>
          </w:p>
        </w:tc>
      </w:tr>
    </w:tbl>
    <w:p>
      <w:pPr>
        <w:spacing w:after="80" w:before="80"/>
        <w:jc w:val="left"/>
      </w:pPr>
      <w:r>
        <w:rPr>
          <w:rFonts w:ascii="Arial" w:cs="Arial" w:eastAsia="Arial" w:hAnsi="Arial"/>
          <w:sz w:val="22"/>
          <w:szCs w:val="22"/>
        </w:rPr>
        <w:t xml:space="preserve">AIE 模块针对不同退化场景采用不同策略：正常模式仅在阴影区做 CLAHE；扬尘模式使用暗通道先验去霾；弱光模式使用伽马校正（γ=0.5）大幅提亮。</w:t>
      </w:r>
    </w:p>
    <w:p>
      <w:r>
        <w:br w:type="page"/>
      </w:r>
    </w:p>
    <w:p>
      <w:pPr>
        <w:pStyle w:val="Heading1"/>
        <w:spacing w:after="120" w:before="240"/>
      </w:pPr>
      <w:r>
        <w:rPr>
          <w:rFonts w:ascii="Arial" w:cs="Arial" w:eastAsia="Arial" w:hAnsi="Arial"/>
          <w:b/>
          <w:bCs/>
        </w:rPr>
        <w:t xml:space="preserve">5. 实验一：SOTA 对比</w:t>
      </w:r>
    </w:p>
    <w:p>
      <w:pPr>
        <w:spacing w:after="80" w:before="80"/>
        <w:jc w:val="left"/>
      </w:pPr>
      <w:r>
        <w:rPr>
          <w:rFonts w:ascii="Arial" w:cs="Arial" w:eastAsia="Arial" w:hAnsi="Arial"/>
          <w:sz w:val="22"/>
          <w:szCs w:val="22"/>
        </w:rPr>
        <w:t xml:space="preserve">在统一的 80×80 栅格地图中，使用 30 个随机种子评估四种方法的性能。</w:t>
      </w:r>
    </w:p>
    <w:p>
      <w:pPr>
        <w:pStyle w:val="Heading2"/>
        <w:spacing w:after="120" w:before="240"/>
      </w:pPr>
      <w:r>
        <w:rPr>
          <w:rFonts w:ascii="Arial" w:cs="Arial" w:eastAsia="Arial" w:hAnsi="Arial"/>
          <w:b/>
          <w:bCs/>
        </w:rPr>
        <w:t xml:space="preserve">5.1 主要结果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700"/>
        <w:gridCol w:w="1600"/>
        <w:gridCol w:w="1526"/>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方法</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覆盖率</w:t>
            </w:r>
          </w:p>
        </w:tc>
        <w:tc>
          <w:tcPr>
            <w:tcW w:type="dxa" w:w="1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完成步数 ↓</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负载方差 ↓</w:t>
            </w:r>
          </w:p>
        </w:tc>
        <w:tc>
          <w:tcPr>
            <w:tcW w:type="dxa" w:w="15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通信开销 ↓</w:t>
            </w:r>
          </w:p>
        </w:tc>
      </w:tr>
      <w:tr>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SCCS（本文）</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0.911 ± 0.118</w:t>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193</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9.89</w:t>
            </w:r>
          </w:p>
        </w:tc>
        <w:tc>
          <w:tcPr>
            <w:tcW w:type="dxa" w:w="152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0 条</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Greedy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0.858 ± 0.086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258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30.34</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197 条</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PSO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0.835 ± 0.096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295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44.52</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226 条</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Random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0.569 ± 0.170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488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30.88</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 条</w:t>
            </w:r>
          </w:p>
        </w:tc>
      </w:tr>
    </w:tbl>
    <w:p>
      <w:pPr>
        <w:pStyle w:val="Heading2"/>
        <w:spacing w:after="120" w:before="240"/>
      </w:pPr>
      <w:r>
        <w:rPr>
          <w:rFonts w:ascii="Arial" w:cs="Arial" w:eastAsia="Arial" w:hAnsi="Arial"/>
          <w:b/>
          <w:bCs/>
        </w:rPr>
        <w:t xml:space="preserve">5.2 关键发现</w:t>
      </w:r>
    </w:p>
    <w:p>
      <w:pPr>
        <w:spacing w:after="80" w:before="80"/>
        <w:jc w:val="left"/>
      </w:pPr>
      <w:r>
        <w:rPr>
          <w:rFonts w:ascii="Arial" w:cs="Arial" w:eastAsia="Arial" w:hAnsi="Arial"/>
          <w:sz w:val="22"/>
          <w:szCs w:val="22"/>
        </w:rPr>
        <w:t xml:space="preserve">覆盖率领先：SCCS 平均覆盖率 91.1%，较 Greedy 提升 6.2%，较 PSO 提升 9.1%。</w:t>
      </w:r>
    </w:p>
    <w:p>
      <w:pPr>
        <w:spacing w:after="80" w:before="80"/>
        <w:jc w:val="left"/>
      </w:pPr>
      <w:r>
        <w:rPr>
          <w:rFonts w:ascii="Arial" w:cs="Arial" w:eastAsia="Arial" w:hAnsi="Arial"/>
          <w:sz w:val="22"/>
          <w:szCs w:val="22"/>
        </w:rPr>
        <w:t xml:space="preserve">完成速度提升 25.2%：SCCS 平均 193 步完成，Greedy 需 258 步，PSO 需 295 步。</w:t>
      </w:r>
    </w:p>
    <w:p>
      <w:pPr>
        <w:spacing w:after="80" w:before="80"/>
        <w:jc w:val="left"/>
      </w:pPr>
      <w:r>
        <w:rPr>
          <w:rFonts w:ascii="Arial" w:cs="Arial" w:eastAsia="Arial" w:hAnsi="Arial"/>
          <w:sz w:val="22"/>
          <w:szCs w:val="22"/>
        </w:rPr>
        <w:t xml:space="preserve">负载方差降低 67.4%：ADC 聚类+负载均衡使机器人工作量差异从 30.34 降至 9.89，体现良好的协同分工。</w:t>
      </w:r>
    </w:p>
    <w:p>
      <w:pPr>
        <w:spacing w:after="80" w:before="80"/>
        <w:jc w:val="left"/>
      </w:pPr>
      <w:r>
        <w:rPr>
          <w:rFonts w:ascii="Arial" w:cs="Arial" w:eastAsia="Arial" w:hAnsi="Arial"/>
          <w:sz w:val="22"/>
          <w:szCs w:val="22"/>
        </w:rPr>
        <w:t xml:space="preserve">通信开销消除 100%：TCFM 物理标记替代显式通信，将通信从 197 条（Greedy）降至 0 条。</w:t>
      </w:r>
    </w:p>
    <w:p>
      <w:pPr>
        <w:spacing w:after="80" w:before="80"/>
        <w:jc w:val="left"/>
      </w:pPr>
      <w:r>
        <w:rPr>
          <w:rFonts w:ascii="Arial" w:cs="Arial" w:eastAsia="Arial" w:hAnsi="Arial"/>
          <w:sz w:val="22"/>
          <w:szCs w:val="22"/>
        </w:rPr>
        <w:t xml:space="preserve">Random 策略的覆盖率仅 56.9%，但无通信开销——这体现了"完全无通信也能完成部分任务"的下界，也反衬出 SCCS 在不增加通信成本的前提下大幅提升性能的优势。</w:t>
      </w:r>
    </w:p>
    <w:p>
      <w:r>
        <w:br w:type="page"/>
      </w:r>
    </w:p>
    <w:p>
      <w:pPr>
        <w:pStyle w:val="Heading1"/>
        <w:spacing w:after="120" w:before="240"/>
      </w:pPr>
      <w:r>
        <w:rPr>
          <w:rFonts w:ascii="Arial" w:cs="Arial" w:eastAsia="Arial" w:hAnsi="Arial"/>
          <w:b/>
          <w:bCs/>
        </w:rPr>
        <w:t xml:space="preserve">6. 实验二：消融实验</w:t>
      </w:r>
    </w:p>
    <w:p>
      <w:pPr>
        <w:spacing w:after="80" w:before="80"/>
        <w:jc w:val="left"/>
      </w:pPr>
      <w:r>
        <w:rPr>
          <w:rFonts w:ascii="Arial" w:cs="Arial" w:eastAsia="Arial" w:hAnsi="Arial"/>
          <w:sz w:val="22"/>
          <w:szCs w:val="22"/>
        </w:rPr>
        <w:t xml:space="preserve">通过逐步移除核心模块，量化各组件对系统性能的独立贡献。</w:t>
      </w:r>
    </w:p>
    <w:p>
      <w:pPr>
        <w:pStyle w:val="Heading2"/>
        <w:spacing w:after="120" w:before="240"/>
      </w:pPr>
      <w:r>
        <w:rPr>
          <w:rFonts w:ascii="Arial" w:cs="Arial" w:eastAsia="Arial" w:hAnsi="Arial"/>
          <w:b/>
          <w:bCs/>
        </w:rPr>
        <w:t xml:space="preserve">6.1 消融结果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526"/>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变体</w:t>
            </w:r>
          </w:p>
        </w:tc>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覆盖率</w:t>
            </w:r>
          </w:p>
        </w:tc>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完成步数</w:t>
            </w:r>
          </w:p>
        </w:tc>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通信开销</w:t>
            </w:r>
          </w:p>
        </w:tc>
        <w:tc>
          <w:tcPr>
            <w:tcW w:type="dxa" w:w="25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对应贡献</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Full SCCS</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0.911</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193</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0 条</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基准</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w/o TCFM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0.913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190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142 条</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TCFM 消除 100% 通信</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w/o 聚类</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0.770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258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 条</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聚类提升覆盖率 18.3%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w/o LiDAR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0.767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355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 条</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融合提升覆盖率 18.8%</w:t>
            </w:r>
          </w:p>
        </w:tc>
      </w:tr>
    </w:tbl>
    <w:p>
      <w:pPr>
        <w:pStyle w:val="Heading2"/>
        <w:spacing w:after="120" w:before="240"/>
      </w:pPr>
      <w:r>
        <w:rPr>
          <w:rFonts w:ascii="Arial" w:cs="Arial" w:eastAsia="Arial" w:hAnsi="Arial"/>
          <w:b/>
          <w:bCs/>
        </w:rPr>
        <w:t xml:space="preserve">6.2 模块贡献分析</w:t>
      </w:r>
    </w:p>
    <w:p>
      <w:pPr>
        <w:spacing w:after="80" w:before="80"/>
        <w:jc w:val="left"/>
      </w:pPr>
      <w:r>
        <w:rPr>
          <w:rFonts w:ascii="Arial" w:cs="Arial" w:eastAsia="Arial" w:hAnsi="Arial"/>
          <w:b/>
          <w:bCs/>
          <w:sz w:val="22"/>
          <w:szCs w:val="22"/>
        </w:rPr>
        <w:t xml:space="preserve">TCFM 模块（通信贡献）：</w:t>
      </w:r>
    </w:p>
    <w:p>
      <w:pPr>
        <w:spacing w:after="80" w:before="80"/>
        <w:jc w:val="left"/>
      </w:pPr>
      <w:r>
        <w:rPr>
          <w:rFonts w:ascii="Arial" w:cs="Arial" w:eastAsia="Arial" w:hAnsi="Arial"/>
          <w:sz w:val="22"/>
          <w:szCs w:val="22"/>
        </w:rPr>
        <w:t xml:space="preserve">去掉 TCFM 改用广播通信后，覆盖率基本不变（0.911 → 0.913），但通信开销从 0 增至 142 条。这证明 TCFM 在维持性能不变的前提下，彻底消除了显式通信需求。</w:t>
      </w:r>
    </w:p>
    <w:p>
      <w:pPr>
        <w:spacing w:after="80" w:before="80"/>
        <w:jc w:val="left"/>
      </w:pPr>
      <w:r>
        <w:rPr>
          <w:rFonts w:ascii="Arial" w:cs="Arial" w:eastAsia="Arial" w:hAnsi="Arial"/>
          <w:b/>
          <w:bCs/>
          <w:sz w:val="22"/>
          <w:szCs w:val="22"/>
        </w:rPr>
        <w:t xml:space="preserve">ADC 聚类模块（覆盖率贡献 +18.3%）：</w:t>
      </w:r>
    </w:p>
    <w:p>
      <w:pPr>
        <w:spacing w:after="80" w:before="80"/>
        <w:jc w:val="left"/>
      </w:pPr>
      <w:r>
        <w:rPr>
          <w:rFonts w:ascii="Arial" w:cs="Arial" w:eastAsia="Arial" w:hAnsi="Arial"/>
          <w:sz w:val="22"/>
          <w:szCs w:val="22"/>
        </w:rPr>
        <w:t xml:space="preserve">去掉聚类后，覆盖率从 91.1% 降至 77.0%，完成步数从 193 增至 258（+33.7%）。聚类机制通过智能任务分配避免多机器人重复搜索同一区域，显著提升了搜索效率。</w:t>
      </w:r>
    </w:p>
    <w:p>
      <w:pPr>
        <w:spacing w:after="80" w:before="80"/>
        <w:jc w:val="left"/>
      </w:pPr>
      <w:r>
        <w:rPr>
          <w:rFonts w:ascii="Arial" w:cs="Arial" w:eastAsia="Arial" w:hAnsi="Arial"/>
          <w:b/>
          <w:bCs/>
          <w:sz w:val="22"/>
          <w:szCs w:val="22"/>
        </w:rPr>
        <w:t xml:space="preserve">LiDAR 融合模块（覆盖率贡献 +18.8%）：</w:t>
      </w:r>
    </w:p>
    <w:p>
      <w:pPr>
        <w:spacing w:after="80" w:before="80"/>
        <w:jc w:val="left"/>
      </w:pPr>
      <w:r>
        <w:rPr>
          <w:rFonts w:ascii="Arial" w:cs="Arial" w:eastAsia="Arial" w:hAnsi="Arial"/>
          <w:sz w:val="22"/>
          <w:szCs w:val="22"/>
        </w:rPr>
        <w:t xml:space="preserve">去掉 LiDAR 融合（降级为纯视觉）后，覆盖率从 91.1% 降至 76.7%，完成步数从 193 增至 355（+83.9%）。LiDAR 主动探测在覆盖范围和抗干扰能力上的优势极为显著。</w:t>
      </w:r>
    </w:p>
    <w:p>
      <w:r>
        <w:br w:type="page"/>
      </w:r>
    </w:p>
    <w:p>
      <w:pPr>
        <w:pStyle w:val="Heading1"/>
        <w:spacing w:after="120" w:before="240"/>
      </w:pPr>
      <w:r>
        <w:rPr>
          <w:rFonts w:ascii="Arial" w:cs="Arial" w:eastAsia="Arial" w:hAnsi="Arial"/>
          <w:b/>
          <w:bCs/>
        </w:rPr>
        <w:t xml:space="preserve">7. 实验三：极端环境鲁棒性</w:t>
      </w:r>
    </w:p>
    <w:p>
      <w:pPr>
        <w:spacing w:after="80" w:before="80"/>
        <w:jc w:val="left"/>
      </w:pPr>
      <w:r>
        <w:rPr>
          <w:rFonts w:ascii="Arial" w:cs="Arial" w:eastAsia="Arial" w:hAnsi="Arial"/>
          <w:sz w:val="22"/>
          <w:szCs w:val="22"/>
        </w:rPr>
        <w:t xml:space="preserve">在正常、扬尘和弱光三种环境下，对比 SCCS 雷视融合与 Greedy 纯视觉的性能表现。</w:t>
      </w:r>
    </w:p>
    <w:p>
      <w:pPr>
        <w:pStyle w:val="Heading2"/>
        <w:spacing w:after="120" w:before="240"/>
      </w:pPr>
      <w:r>
        <w:rPr>
          <w:rFonts w:ascii="Arial" w:cs="Arial" w:eastAsia="Arial" w:hAnsi="Arial"/>
          <w:b/>
          <w:bCs/>
        </w:rPr>
        <w:t xml:space="preserve">7.1 鲁棒性对比</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环境</w:t>
            </w:r>
          </w:p>
        </w:tc>
        <w:tc>
          <w:tcPr>
            <w:tcW w:type="dxa" w:w="225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SCCS 融合</w:t>
            </w:r>
          </w:p>
        </w:tc>
        <w:tc>
          <w:tcPr>
            <w:tcW w:type="dxa" w:w="225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Greedy 纯视觉</w:t>
            </w:r>
          </w:p>
        </w:tc>
        <w:tc>
          <w:tcPr>
            <w:tcW w:type="dxa" w:w="225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覆盖率差距</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正常环境</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0.911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0.732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+17.9%</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扬尘环境</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0.912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0.468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C0392B"/>
                <w:sz w:val="20"/>
                <w:szCs w:val="20"/>
              </w:rPr>
              <w:t xml:space="preserve">+44.4%</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弱光环境</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0.910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0.305</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C0392B"/>
                <w:sz w:val="20"/>
                <w:szCs w:val="20"/>
              </w:rPr>
              <w:t xml:space="preserve">+60.5%</w:t>
            </w:r>
          </w:p>
        </w:tc>
      </w:tr>
    </w:tbl>
    <w:p>
      <w:pPr>
        <w:pStyle w:val="Heading2"/>
        <w:spacing w:after="120" w:before="240"/>
      </w:pPr>
      <w:r>
        <w:rPr>
          <w:rFonts w:ascii="Arial" w:cs="Arial" w:eastAsia="Arial" w:hAnsi="Arial"/>
          <w:b/>
          <w:bCs/>
        </w:rPr>
        <w:t xml:space="preserve">7.2 关键发现</w:t>
      </w:r>
    </w:p>
    <w:p>
      <w:pPr>
        <w:spacing w:after="80" w:before="80"/>
        <w:jc w:val="left"/>
      </w:pPr>
      <w:r>
        <w:rPr>
          <w:rFonts w:ascii="Arial" w:cs="Arial" w:eastAsia="Arial" w:hAnsi="Arial"/>
          <w:sz w:val="22"/>
          <w:szCs w:val="22"/>
        </w:rPr>
        <w:t xml:space="preserve">Greedy 纯视觉覆盖率从正常环境的 73.2% 骤降至弱光环境的 30.5%，降幅达 58.3%。而 SCCS 雷视融合在三种环境下始终保持 91.0% 以上的覆盖率，波动仅 0.2%。</w:t>
      </w:r>
    </w:p>
    <w:p>
      <w:pPr>
        <w:spacing w:after="80" w:before="80"/>
        <w:jc w:val="left"/>
      </w:pPr>
      <w:r>
        <w:rPr>
          <w:rFonts w:ascii="Arial" w:cs="Arial" w:eastAsia="Arial" w:hAnsi="Arial"/>
          <w:sz w:val="22"/>
          <w:szCs w:val="22"/>
        </w:rPr>
        <w:t xml:space="preserve">LiDAR 主动探测不受光照影响的核心优势在极端环境中尤为显著。弱光条件下，融合方案将覆盖率差距拉大至 60.5%，充分体现了多模态融合在感知退化场景中的不可替代性。</w:t>
      </w:r>
    </w:p>
    <w:p>
      <w:r>
        <w:br w:type="page"/>
      </w:r>
    </w:p>
    <w:p>
      <w:pPr>
        <w:pStyle w:val="Heading1"/>
        <w:spacing w:after="120" w:before="240"/>
      </w:pPr>
      <w:r>
        <w:rPr>
          <w:rFonts w:ascii="Arial" w:cs="Arial" w:eastAsia="Arial" w:hAnsi="Arial"/>
          <w:b/>
          <w:bCs/>
        </w:rPr>
        <w:t xml:space="preserve">8. 实验四：可扩展性分析</w:t>
      </w:r>
    </w:p>
    <w:p>
      <w:pPr>
        <w:spacing w:after="80" w:before="80"/>
        <w:jc w:val="left"/>
      </w:pPr>
      <w:r>
        <w:rPr>
          <w:rFonts w:ascii="Arial" w:cs="Arial" w:eastAsia="Arial" w:hAnsi="Arial"/>
          <w:sz w:val="22"/>
          <w:szCs w:val="22"/>
        </w:rPr>
        <w:t xml:space="preserve">测试 SCCS 和 Greedy 在 3、5、7、9 台机器人规模下的性能变化。</w:t>
      </w:r>
    </w:p>
    <w:p>
      <w:pPr>
        <w:pStyle w:val="Heading2"/>
        <w:spacing w:after="120" w:before="240"/>
      </w:pPr>
      <w:r>
        <w:rPr>
          <w:rFonts w:ascii="Arial" w:cs="Arial" w:eastAsia="Arial" w:hAnsi="Arial"/>
          <w:b/>
          <w:bCs/>
        </w:rPr>
        <w:t xml:space="preserve">8.1 可扩展性数据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机器人数</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SCCS 覆盖率</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Greedy 覆盖率</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SCCS 步数</w:t>
            </w:r>
          </w:p>
        </w:tc>
        <w:tc>
          <w:tcPr>
            <w:tcW w:type="dxa" w:w="18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Greedy 步数</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 = 3</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0.861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0.764</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273</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335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 = 5</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0.911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0.858</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193</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258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 = 7</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0.923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0.901</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171</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234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 = 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0.922</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0.924</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164</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190</w:t>
            </w:r>
          </w:p>
        </w:tc>
      </w:tr>
    </w:tbl>
    <w:p>
      <w:pPr>
        <w:pStyle w:val="Heading2"/>
        <w:spacing w:after="120" w:before="240"/>
      </w:pPr>
      <w:r>
        <w:rPr>
          <w:rFonts w:ascii="Arial" w:cs="Arial" w:eastAsia="Arial" w:hAnsi="Arial"/>
          <w:b/>
          <w:bCs/>
        </w:rPr>
        <w:t xml:space="preserve">8.2 可扩展性分析</w:t>
      </w:r>
    </w:p>
    <w:p>
      <w:pPr>
        <w:spacing w:after="80" w:before="80"/>
        <w:jc w:val="left"/>
      </w:pPr>
      <w:r>
        <w:rPr>
          <w:rFonts w:ascii="Arial" w:cs="Arial" w:eastAsia="Arial" w:hAnsi="Arial"/>
          <w:sz w:val="22"/>
          <w:szCs w:val="22"/>
        </w:rPr>
        <w:t xml:space="preserve">SCCS 在 3~9 台机器人规模下始终优于 Greedy，体现了良好的可扩展性：</w:t>
      </w:r>
    </w:p>
    <w:p>
      <w:pPr>
        <w:pStyle w:val="ListParagraph"/>
        <w:numPr>
          <w:ilvl w:val="0"/>
          <w:numId w:val="2"/>
        </w:numPr>
        <w:spacing w:after="40" w:before="40"/>
      </w:pPr>
      <w:r>
        <w:rPr>
          <w:rFonts w:ascii="Arial" w:cs="Arial" w:eastAsia="Arial" w:hAnsi="Arial"/>
          <w:sz w:val="21"/>
          <w:szCs w:val="21"/>
        </w:rPr>
        <w:t xml:space="preserve">N=3 时，覆盖率领先 12.7%（0.861 vs 0.764），体现了 SCCS 在机器人稀缺时的高效任务分配</w:t>
      </w:r>
    </w:p>
    <w:p>
      <w:pPr>
        <w:pStyle w:val="ListParagraph"/>
        <w:numPr>
          <w:ilvl w:val="0"/>
          <w:numId w:val="2"/>
        </w:numPr>
        <w:spacing w:after="40" w:before="40"/>
      </w:pPr>
      <w:r>
        <w:rPr>
          <w:rFonts w:ascii="Arial" w:cs="Arial" w:eastAsia="Arial" w:hAnsi="Arial"/>
          <w:sz w:val="21"/>
          <w:szCs w:val="21"/>
        </w:rPr>
        <w:t xml:space="preserve">N=5 时，覆盖率领先 6.2%，完成时间快 25.2%</w:t>
      </w:r>
    </w:p>
    <w:p>
      <w:pPr>
        <w:pStyle w:val="ListParagraph"/>
        <w:numPr>
          <w:ilvl w:val="0"/>
          <w:numId w:val="2"/>
        </w:numPr>
        <w:spacing w:after="40" w:before="40"/>
      </w:pPr>
      <w:r>
        <w:rPr>
          <w:rFonts w:ascii="Arial" w:cs="Arial" w:eastAsia="Arial" w:hAnsi="Arial"/>
          <w:sz w:val="21"/>
          <w:szCs w:val="21"/>
        </w:rPr>
        <w:t xml:space="preserve">N=7 时，覆盖率领先 2.4%，差距开始收敛</w:t>
      </w:r>
    </w:p>
    <w:p>
      <w:pPr>
        <w:pStyle w:val="ListParagraph"/>
        <w:numPr>
          <w:ilvl w:val="0"/>
          <w:numId w:val="2"/>
        </w:numPr>
        <w:spacing w:after="40" w:before="40"/>
      </w:pPr>
      <w:r>
        <w:rPr>
          <w:rFonts w:ascii="Arial" w:cs="Arial" w:eastAsia="Arial" w:hAnsi="Arial"/>
          <w:sz w:val="21"/>
          <w:szCs w:val="21"/>
        </w:rPr>
        <w:t xml:space="preserve">N=9 时，覆盖率几乎持平（0.922 vs 0.924），但 SCCS 完成时间仍快 13.7%</w:t>
      </w:r>
    </w:p>
    <w:p>
      <w:pPr>
        <w:spacing w:after="80" w:before="80"/>
        <w:jc w:val="left"/>
      </w:pPr>
      <w:r>
        <w:rPr>
          <w:rFonts w:ascii="Arial" w:cs="Arial" w:eastAsia="Arial" w:hAnsi="Arial"/>
          <w:sz w:val="22"/>
          <w:szCs w:val="22"/>
        </w:rPr>
        <w:t xml:space="preserve">随机器人数量增加，Greedy 的覆盖率逐渐追近 SCCS，这是因为在足够多的机器人覆盖下，随机搜索也能达到高覆盖率。但 SCCS 始终在完成时间上保持优势，且在任何规模下都避免了 Greedy 的高通信开销。</w:t>
      </w:r>
    </w:p>
    <w:p>
      <w:r>
        <w:br w:type="page"/>
      </w:r>
    </w:p>
    <w:p>
      <w:pPr>
        <w:pStyle w:val="Heading1"/>
        <w:spacing w:after="120" w:before="240"/>
      </w:pPr>
      <w:r>
        <w:rPr>
          <w:rFonts w:ascii="Arial" w:cs="Arial" w:eastAsia="Arial" w:hAnsi="Arial"/>
          <w:b/>
          <w:bCs/>
        </w:rPr>
        <w:t xml:space="preserve">9. 综合分析与结论</w:t>
      </w:r>
    </w:p>
    <w:p>
      <w:pPr>
        <w:pStyle w:val="Heading2"/>
        <w:spacing w:after="120" w:before="240"/>
      </w:pPr>
      <w:r>
        <w:rPr>
          <w:rFonts w:ascii="Arial" w:cs="Arial" w:eastAsia="Arial" w:hAnsi="Arial"/>
          <w:b/>
          <w:bCs/>
        </w:rPr>
        <w:t xml:space="preserve">9.1 性能总结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626"/>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维度</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SCCS 表现</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对比基线</w:t>
            </w:r>
          </w:p>
        </w:tc>
        <w:tc>
          <w:tcPr>
            <w:tcW w:type="dxa" w:w="26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提升幅度</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搜索覆盖率</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91.1%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Greedy 85.8%</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完成速度</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193 步</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Greedy 258 步</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+25.2%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负载均衡</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方差 9.89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Greedy 30.34</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-67.4%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通信开销</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 条</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Greedy 197 条</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扬尘鲁棒性</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91.2%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Greedy 46.8%</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+44.4%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弱光鲁棒性</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91.0%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Greedy 30.5%</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+60.5%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误检率</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纯视觉 72.9%</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-94.7%</w:t>
            </w:r>
          </w:p>
        </w:tc>
      </w:tr>
    </w:tbl>
    <w:p>
      <w:pPr>
        <w:pStyle w:val="Heading2"/>
        <w:spacing w:after="120" w:before="240"/>
      </w:pPr>
      <w:r>
        <w:rPr>
          <w:rFonts w:ascii="Arial" w:cs="Arial" w:eastAsia="Arial" w:hAnsi="Arial"/>
          <w:b/>
          <w:bCs/>
        </w:rPr>
        <w:t xml:space="preserve">9.2 三大创新贡献</w:t>
      </w:r>
    </w:p>
    <w:p>
      <w:pPr>
        <w:spacing w:after="80" w:before="80"/>
        <w:jc w:val="left"/>
      </w:pPr>
      <w:r>
        <w:rPr>
          <w:rFonts w:ascii="Arial" w:cs="Arial" w:eastAsia="Arial" w:hAnsi="Arial"/>
          <w:b/>
          <w:bCs/>
          <w:color w:val="2E75B6"/>
          <w:sz w:val="22"/>
          <w:szCs w:val="22"/>
        </w:rPr>
        <w:t xml:space="preserve">贡献一：ADC 自适应密度聚类（覆盖率 +18.3%）</w:t>
      </w:r>
    </w:p>
    <w:p>
      <w:pPr>
        <w:spacing w:after="80" w:before="80"/>
        <w:jc w:val="left"/>
      </w:pPr>
      <w:r>
        <w:rPr>
          <w:rFonts w:ascii="Arial" w:cs="Arial" w:eastAsia="Arial" w:hAnsi="Arial"/>
          <w:sz w:val="22"/>
          <w:szCs w:val="22"/>
        </w:rPr>
        <w:t xml:space="preserve">通过幸存者密度和机器人数量动态调整聚类参数，配合负载均衡策略，有效解决了多机器人重复搜索的资源浪费问题。</w:t>
      </w:r>
    </w:p>
    <w:p>
      <w:pPr>
        <w:spacing w:after="80" w:before="80"/>
        <w:jc w:val="left"/>
      </w:pPr>
      <w:r>
        <w:rPr>
          <w:rFonts w:ascii="Arial" w:cs="Arial" w:eastAsia="Arial" w:hAnsi="Arial"/>
          <w:b/>
          <w:bCs/>
          <w:color w:val="2E75B6"/>
          <w:sz w:val="22"/>
          <w:szCs w:val="22"/>
        </w:rPr>
        <w:t xml:space="preserve">贡献二：TCFM 三色荧光标记（通信消除 100%）</w:t>
      </w:r>
    </w:p>
    <w:p>
      <w:pPr>
        <w:spacing w:after="80" w:before="80"/>
        <w:jc w:val="left"/>
      </w:pPr>
      <w:r>
        <w:rPr>
          <w:rFonts w:ascii="Arial" w:cs="Arial" w:eastAsia="Arial" w:hAnsi="Arial"/>
          <w:sz w:val="22"/>
          <w:szCs w:val="22"/>
        </w:rPr>
        <w:t xml:space="preserve">借鉴生物界"共识主动性"原理，将机器人间协作编码为环境中的持久化物理标记，在维持协同性能的同时彻底消除显式通信需求。该机制天然具备对通信中断的鲁棒性。</w:t>
      </w:r>
    </w:p>
    <w:p>
      <w:pPr>
        <w:spacing w:after="80" w:before="80"/>
        <w:jc w:val="left"/>
      </w:pPr>
      <w:r>
        <w:rPr>
          <w:rFonts w:ascii="Arial" w:cs="Arial" w:eastAsia="Arial" w:hAnsi="Arial"/>
          <w:b/>
          <w:bCs/>
          <w:color w:val="2E75B6"/>
          <w:sz w:val="22"/>
          <w:szCs w:val="22"/>
        </w:rPr>
        <w:t xml:space="preserve">贡献三：三级抗干扰感知流水线（误检率降低 94.7%）</w:t>
      </w:r>
    </w:p>
    <w:p>
      <w:pPr>
        <w:spacing w:after="80" w:before="80"/>
        <w:jc w:val="left"/>
      </w:pPr>
      <w:r>
        <w:rPr>
          <w:rFonts w:ascii="Arial" w:cs="Arial" w:eastAsia="Arial" w:hAnsi="Arial"/>
          <w:sz w:val="22"/>
          <w:szCs w:val="22"/>
        </w:rPr>
        <w:t xml:space="preserve">AIE 图像增强→EKF 时空校验→LiDAR 交叉验证的三级流水线，在扬尘和弱光等极端条件下仍保持 91%+ 的覆盖率，体现了多模态融合在感知退化场景中的核心价值。</w:t>
      </w:r>
    </w:p>
    <w:p>
      <w:pPr>
        <w:pStyle w:val="Heading2"/>
        <w:spacing w:after="120" w:before="240"/>
      </w:pPr>
      <w:r>
        <w:rPr>
          <w:rFonts w:ascii="Arial" w:cs="Arial" w:eastAsia="Arial" w:hAnsi="Arial"/>
          <w:b/>
          <w:bCs/>
        </w:rPr>
        <w:t xml:space="preserve">9.3 结论</w:t>
      </w:r>
    </w:p>
    <w:p>
      <w:pPr>
        <w:spacing w:after="80" w:before="80"/>
        <w:jc w:val="left"/>
      </w:pPr>
      <w:r>
        <w:rPr>
          <w:rFonts w:ascii="Arial" w:cs="Arial" w:eastAsia="Arial" w:hAnsi="Arial"/>
          <w:sz w:val="22"/>
          <w:szCs w:val="22"/>
        </w:rPr>
        <w:t xml:space="preserve">SCCS 系统通过"感知—决策—执行"三层架构与 TCFM 隐式协同机制的有机结合，在多机器人救援仿真中取得了显著性能提升。实验结果表明：</w:t>
      </w:r>
    </w:p>
    <w:p>
      <w:pPr>
        <w:pStyle w:val="ListParagraph"/>
        <w:numPr>
          <w:ilvl w:val="0"/>
          <w:numId w:val="2"/>
        </w:numPr>
        <w:spacing w:after="40" w:before="40"/>
      </w:pPr>
      <w:r>
        <w:rPr>
          <w:rFonts w:ascii="Arial" w:cs="Arial" w:eastAsia="Arial" w:hAnsi="Arial"/>
          <w:sz w:val="21"/>
          <w:szCs w:val="21"/>
        </w:rPr>
        <w:t xml:space="preserve">在正常环境下，覆盖率 91.1%，较最佳基线提升 6.2%</w:t>
      </w:r>
    </w:p>
    <w:p>
      <w:pPr>
        <w:pStyle w:val="ListParagraph"/>
        <w:numPr>
          <w:ilvl w:val="0"/>
          <w:numId w:val="2"/>
        </w:numPr>
        <w:spacing w:after="40" w:before="40"/>
      </w:pPr>
      <w:r>
        <w:rPr>
          <w:rFonts w:ascii="Arial" w:cs="Arial" w:eastAsia="Arial" w:hAnsi="Arial"/>
          <w:sz w:val="21"/>
          <w:szCs w:val="21"/>
        </w:rPr>
        <w:t xml:space="preserve">在极端环境下，覆盖率维持 91%+，纯视觉方法仅 30-47%</w:t>
      </w:r>
    </w:p>
    <w:p>
      <w:pPr>
        <w:pStyle w:val="ListParagraph"/>
        <w:numPr>
          <w:ilvl w:val="0"/>
          <w:numId w:val="2"/>
        </w:numPr>
        <w:spacing w:after="40" w:before="40"/>
      </w:pPr>
      <w:r>
        <w:rPr>
          <w:rFonts w:ascii="Arial" w:cs="Arial" w:eastAsia="Arial" w:hAnsi="Arial"/>
          <w:sz w:val="21"/>
          <w:szCs w:val="21"/>
        </w:rPr>
        <w:t xml:space="preserve">TCFM 将显式通信从 O(N²) 降至 O(1)，消除 100% 通信开销</w:t>
      </w:r>
    </w:p>
    <w:p>
      <w:pPr>
        <w:pStyle w:val="ListParagraph"/>
        <w:numPr>
          <w:ilvl w:val="0"/>
          <w:numId w:val="2"/>
        </w:numPr>
        <w:spacing w:after="40" w:before="40"/>
      </w:pPr>
      <w:r>
        <w:rPr>
          <w:rFonts w:ascii="Arial" w:cs="Arial" w:eastAsia="Arial" w:hAnsi="Arial"/>
          <w:sz w:val="21"/>
          <w:szCs w:val="21"/>
        </w:rPr>
        <w:t xml:space="preserve">三级感知流水线将误检率从 72.9% 降至 3.9%</w:t>
      </w:r>
    </w:p>
    <w:p>
      <w:pPr>
        <w:spacing w:after="80" w:before="80"/>
        <w:jc w:val="left"/>
      </w:pPr>
      <w:r>
        <w:rPr>
          <w:rFonts w:ascii="Arial" w:cs="Arial" w:eastAsia="Arial" w:hAnsi="Arial"/>
          <w:sz w:val="22"/>
          <w:szCs w:val="22"/>
        </w:rPr>
        <w:t xml:space="preserve">该方法为复杂灾害场景下的多机器人自主协同救援提供了可行的技术范式，特别是在通信受限和感知退化的双重挑战下展现了独特的理论优势和实践价值。</w:t>
      </w:r>
    </w:p>
    <w:p>
      <w:r>
        <w:br w:type="page"/>
      </w:r>
    </w:p>
    <w:p>
      <w:pPr>
        <w:pStyle w:val="Heading1"/>
        <w:spacing w:after="120" w:before="240"/>
      </w:pPr>
      <w:r>
        <w:rPr>
          <w:rFonts w:ascii="Arial" w:cs="Arial" w:eastAsia="Arial" w:hAnsi="Arial"/>
          <w:b/>
          <w:bCs/>
        </w:rPr>
        <w:t xml:space="preserve">附录：代码结构说明</w:t>
      </w:r>
    </w:p>
    <w:p>
      <w:pPr>
        <w:pStyle w:val="Heading2"/>
        <w:spacing w:after="120" w:before="240"/>
      </w:pPr>
      <w:r>
        <w:rPr>
          <w:rFonts w:ascii="Arial" w:cs="Arial" w:eastAsia="Arial" w:hAnsi="Arial"/>
          <w:b/>
          <w:bCs/>
        </w:rPr>
        <w:t xml:space="preserve">A.1 Python 独立仿真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文件</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行数</w:t>
            </w:r>
          </w:p>
        </w:tc>
        <w:tc>
          <w:tcPr>
            <w:tcW w:type="dxa" w:w="50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功能</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env.py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~250</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救援环境模拟：80×80 栅格地图、50 幸存者、生命衰减</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robot.py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~300</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机器人智能体：贝叶斯融合感知、目标选择、防碰撞移动</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tcfm.py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~120</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TCFM 三色荧光标记 + BroadcastComm 广播对比</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pathfinding.py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~70</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 寻路：曼哈顿启发式 + 四方向 + 路径缓存</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run_experiments.py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~500</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一键实验：4 实验 + 6 图表（300 DPI 莫兰迪配色）</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test_perception.py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~150</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感知模块独立测试</w:t>
            </w:r>
          </w:p>
        </w:tc>
      </w:tr>
    </w:tbl>
    <w:p>
      <w:pPr>
        <w:pStyle w:val="Heading2"/>
        <w:spacing w:after="120" w:before="240"/>
      </w:pPr>
      <w:r>
        <w:rPr>
          <w:rFonts w:ascii="Arial" w:cs="Arial" w:eastAsia="Arial" w:hAnsi="Arial"/>
          <w:b/>
          <w:bCs/>
        </w:rPr>
        <w:t xml:space="preserve">A.2 算法模块（algorithms/）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文件</w:t>
            </w:r>
          </w:p>
        </w:tc>
        <w:tc>
          <w:tcPr>
            <w:tcW w:type="dxa" w:w="62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功能</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sccs.py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SCCS 系统：ADC 聚类 + TCFM 运行主循环 + 动态负载均衡</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baselines.py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Greedy/PSO/Random 对比算法 + SCCS_noTCFM/noClustering/noFusion 消融变体</w:t>
            </w:r>
          </w:p>
        </w:tc>
      </w:tr>
    </w:tbl>
    <w:p>
      <w:pPr>
        <w:pStyle w:val="Heading2"/>
        <w:spacing w:after="120" w:before="240"/>
      </w:pPr>
      <w:r>
        <w:rPr>
          <w:rFonts w:ascii="Arial" w:cs="Arial" w:eastAsia="Arial" w:hAnsi="Arial"/>
          <w:b/>
          <w:bCs/>
        </w:rPr>
        <w:t xml:space="preserve">A.3 感知模块（perception/）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文件</w:t>
            </w:r>
          </w:p>
        </w:tc>
        <w:tc>
          <w:tcPr>
            <w:tcW w:type="dxa" w:w="62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功能</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aie.py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AIE 自适应图像增强（CLAHE + 暗通道先验 + 伽马校正）</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ekf_tracker.py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EKF 时空一致性校验（τ=3 确认 + 最近邻关联）</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lidar_validator.py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LiDAR 强度交叉验证（三级置信度策略）</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fusion_pipeline.py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三级流水线串联集成</w:t>
            </w:r>
          </w:p>
        </w:tc>
      </w:tr>
    </w:tbl>
    <w:p>
      <w:pPr>
        <w:pStyle w:val="Heading2"/>
        <w:spacing w:after="120" w:before="240"/>
      </w:pPr>
      <w:r>
        <w:rPr>
          <w:rFonts w:ascii="Arial" w:cs="Arial" w:eastAsia="Arial" w:hAnsi="Arial"/>
          <w:b/>
          <w:bCs/>
        </w:rPr>
        <w:t xml:space="preserve">A.4 ROS2 分布式仿真（ros2_ws/）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文件</w:t>
            </w:r>
          </w:p>
        </w:tc>
        <w:tc>
          <w:tcPr>
            <w:tcW w:type="dxa" w:w="62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功能</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env_node.py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环境管理节点：10Hz 推进仿真，发布幸存者状态</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robot_node.py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机器人节点：贝叶斯感知 + A* 寻路 + 救援执行</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sccs_node.py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SCCS 协调节点：ADC 聚类 + 任务分配 + 负载均衡</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rescue.launch.py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启动文件：5 机器人 + Foxglove Bridge 可视化</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docker-compose.yml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Docker Compose：ROS2 Humble 一键部署</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8"/>
        <w:szCs w:val="18"/>
      </w:rPr>
      <w:t xml:space="preserve">第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999999"/>
        <w:sz w:val="18"/>
        <w:szCs w:val="18"/>
      </w:rPr>
      <w:t xml:space="preserve">SCCS 救援机器人仿真实验总结报告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2026-05-27T13:25:11.613Z</dcterms:created>
  <dcterms:modified xsi:type="dcterms:W3CDTF">2026-05-27T13:25:11.617Z</dcterms:modified>
</cp:coreProperties>
</file>

<file path=docProps/custom.xml><?xml version="1.0" encoding="utf-8"?>
<Properties xmlns="http://schemas.openxmlformats.org/officeDocument/2006/custom-properties" xmlns:vt="http://schemas.openxmlformats.org/officeDocument/2006/docPropsVTypes"/>
</file>