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Ameaças e controles de segurança da PoC E2</w:t>
      </w:r>
    </w:p>
    <w:p>
      <w:r>
        <w:t xml:space="preserve">Esta análise cobre o fluxo da demonstração: leitura de um QR Code ou marcador, consulta do identificador em dados de teste e apresentação de informações do ativo sobre a imagem da câmera, com consulta manual alternativa. Os três controles abaixo são </w:t>
      </w:r>
      <w:r>
        <w:rPr>
          <w:b/>
        </w:rPr>
        <w:t>planejados</w:t>
      </w:r>
      <w:r>
        <w:t>: a documentação recebida não inclui código ou testes da PoC que comprovem sua implementação. Atualizar a situação apenas após executar e registrar a verificação no repositório.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4"/>
        <w:gridCol w:w="2964"/>
        <w:gridCol w:w="2964"/>
        <w:gridCol w:w="2964"/>
        <w:gridCol w:w="2964"/>
      </w:tblGrid>
      <w:tr>
        <w:trPr>
          <w:tblHeader w:val="true"/>
          <w:tblHeader w:val="true"/>
          <w:tblHeader w:val="true"/>
          <w:tblHeader w:val="true"/>
          <w:tblHeader w:val="true"/>
        </w:trPr>
        <w:tc>
          <w:tcPr>
            <w:tcW w:type="dxa" w:w="2520"/>
            <w:vAlign w:val="center"/>
            <w:shd w:fill="2438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 / onde ocorre</w:t>
            </w:r>
          </w:p>
        </w:tc>
        <w:tc>
          <w:tcPr>
            <w:tcW w:type="dxa" w:w="2592"/>
            <w:vAlign w:val="center"/>
            <w:shd w:fill="2438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Ameaça</w:t>
            </w:r>
          </w:p>
        </w:tc>
        <w:tc>
          <w:tcPr>
            <w:tcW w:type="dxa" w:w="2736"/>
            <w:vAlign w:val="center"/>
            <w:shd w:fill="2438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Consequência</w:t>
            </w:r>
          </w:p>
        </w:tc>
        <w:tc>
          <w:tcPr>
            <w:tcW w:type="dxa" w:w="5328"/>
            <w:vAlign w:val="center"/>
            <w:shd w:fill="2438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Controle previsto</w:t>
            </w:r>
          </w:p>
        </w:tc>
        <w:tc>
          <w:tcPr>
            <w:tcW w:type="dxa" w:w="1512"/>
            <w:vAlign w:val="center"/>
            <w:shd w:fill="24384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Leitura do marcador e campo de consulta manual, antes da busca pelo ativo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QR Code trocado, identificador inexistente ou entrada fora do formato esperado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Exibição do ativo errado, resultado enganoso ou falha na consulta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Aceitar somente o formato e o tamanho definidos para o identificador; consultar sua existência na origem dos dados antes de mostrar o resultado; para código desconhecido, exibir erro e permitir nova leitura ou digitação. Nunca interpretar o conteúdo do QR Code como comando ou endereço a abrir automaticamente.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Planejado; implementação não verificada.</w:t>
            </w:r>
          </w:p>
        </w:tc>
      </w:tr>
      <w:tr>
        <w:tc>
          <w:tcPr>
            <w:tcW w:type="dxa" w:w="2520"/>
            <w:vAlign w:val="center"/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Acesso à consulta e às ações do aplicativo/API, caso o fluxo passe a utilizar autenticação</w:t>
            </w:r>
          </w:p>
        </w:tc>
        <w:tc>
          <w:tcPr>
            <w:tcW w:type="dxa" w:w="2592"/>
            <w:vAlign w:val="center"/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Pessoa sem permissão acessa dados do ativo ou registra uma ação usando a consulta direta ou um código compartilhado</w:t>
            </w:r>
          </w:p>
        </w:tc>
        <w:tc>
          <w:tcPr>
            <w:tcW w:type="dxa" w:w="2736"/>
            <w:vAlign w:val="center"/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Divulgação de informações ou alteração por usuário não autorizado</w:t>
            </w:r>
          </w:p>
        </w:tc>
        <w:tc>
          <w:tcPr>
            <w:tcW w:type="dxa" w:w="5328"/>
            <w:vAlign w:val="center"/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Exigir login para os dados e ações restritos, verificar o perfil no serviço que entrega ou altera os dados e negar requisições sem permissão; a leitura do código, por si só, não concede acesso. Na versão com dados locais simulados, não inserir informações reais ou sensíveis.</w:t>
            </w:r>
          </w:p>
        </w:tc>
        <w:tc>
          <w:tcPr>
            <w:tcW w:type="dxa" w:w="1512"/>
            <w:vAlign w:val="center"/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Planejado; autenticação e autorização não verificadas na PoC.</w:t>
            </w:r>
          </w:p>
        </w:tc>
      </w:tr>
      <w:t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Arquivo de dados simulados da PoC e, na evolução, API/banco e histórico de ações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Registro é alterado acidentalmente, substituído sem controle ou perdido</w:t>
            </w:r>
          </w:p>
        </w:tc>
        <w:tc>
          <w:tcPr>
            <w:tcW w:type="dxa" w:w="27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Nome, patrimônio ou localização incorretos na RA/consulta; perda do histórico</w:t>
            </w:r>
          </w:p>
        </w:tc>
        <w:tc>
          <w:tcPr>
            <w:tcW w:type="dxa" w:w="53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Manter dados de demonstração versionados e identificados como simulados; validar campos e vínculos marcador–ativo antes de aceitar alterações; na versão persistente, restringir escrita por perfil, registrar alterações com usuário/data e criar cópia de segurança com teste de restauração.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color w:val="141414"/>
                <w:sz w:val="16"/>
              </w:rPr>
              <w:t>Planejado; validação, histórico e backup não verificados.</w:t>
            </w:r>
          </w:p>
        </w:tc>
      </w:tr>
    </w:tbl>
    <w:p>
      <w:pPr>
        <w:pStyle w:val="Heading1"/>
        <w:keepNext/>
      </w:pPr>
      <w:r>
        <w:t>Fluxo das ameaças e dos controles</w:t>
      </w:r>
    </w:p>
    <w:p>
      <w:pPr>
        <w:spacing w:after="16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8869680" cy="3585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seguran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585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Como verificar os controles após a implementação</w:t>
      </w:r>
    </w:p>
    <w:p>
      <w:pPr>
        <w:pStyle w:val="ListNumber"/>
      </w:pPr>
      <w:r>
        <w:t>Ler um código válido e conferir se o identificador corresponde ao ativo exibido; repetir com código inexistente e entrada malformada e observar a mensagem de erro.</w:t>
      </w:r>
    </w:p>
    <w:p>
      <w:pPr>
        <w:pStyle w:val="ListNumber"/>
      </w:pPr>
      <w:r>
        <w:t>Tentar consultar dados restritos ou registrar uma ação sem login e com perfil sem permissão; confirmar o bloqueio no serviço, inclusive em chamada direta à API se houver.</w:t>
      </w:r>
    </w:p>
    <w:p>
      <w:pPr>
        <w:pStyle w:val="ListNumber"/>
      </w:pPr>
      <w:r>
        <w:t>Alterar um registro de teste, conferir validação e rastreabilidade; restaurar uma cópia dos dados e confirmar a recuperação do registro.</w:t>
      </w:r>
    </w:p>
    <w:p>
      <w:r/>
      <w:r>
        <w:rPr>
          <w:b/>
        </w:rPr>
        <w:t>Coerência com os demais arquivos da E2:</w:t>
      </w:r>
      <w:r>
        <w:t xml:space="preserve"> usar aqui o mesmo nome e formato do identificador descritos em </w:t>
      </w:r>
      <w:r>
        <w:rPr>
          <w:i/>
        </w:rPr>
        <w:t>docs/modelo-dados.md</w:t>
      </w:r>
      <w:r>
        <w:t xml:space="preserve"> e </w:t>
      </w:r>
      <w:r>
        <w:rPr>
          <w:i/>
        </w:rPr>
        <w:t>docs/api.md</w:t>
      </w:r>
      <w:r>
        <w:t xml:space="preserve">, e as mesmas mensagens e alternativas representadas em </w:t>
      </w:r>
      <w:r>
        <w:rPr>
          <w:i/>
        </w:rPr>
        <w:t>docs/wireframes/</w:t>
      </w:r>
      <w:r>
        <w:t>. Ajustar este texto ao fluxo e às funcionalidades efetivamente demonstrados antes da entrega.</w:t>
      </w:r>
    </w:p>
    <w:sectPr w:rsidR="00FC693F" w:rsidRPr="0006063C" w:rsidSect="00034616">
      <w:footerReference w:type="default" r:id="rId9"/>
      <w:headerReference w:type="default" r:id="rId10"/>
      <w:pgSz w:w="16834" w:h="11909"/>
      <w:pgMar w:top="936" w:right="1008" w:bottom="792" w:left="1008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Projeto Integrador IV  |  Entrega E2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88720" cy="2938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nai_asset-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29384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414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