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120"/>
      </w:pPr>
      <w:r>
        <w:rPr>
          <w:rFonts w:ascii="Calibri" w:hAnsi="Calibri" w:eastAsia="Arial Unicode MS"/>
          <w:b/>
          <w:color w:val="D19A32"/>
          <w:sz w:val="21"/>
        </w:rPr>
        <w:t>建设方案 / CONSTRUCTION PROPOSAL</w:t>
      </w:r>
    </w:p>
    <w:p>
      <w:pPr>
        <w:pStyle w:val="Title"/>
        <w:spacing w:after="240"/>
        <w:jc w:val="left"/>
      </w:pPr>
      <w:r>
        <w:rPr>
          <w:rFonts w:ascii="Calibri" w:hAnsi="Calibri" w:eastAsia="Arial Unicode MS"/>
          <w:b/>
          <w:color w:val="0B2545"/>
          <w:sz w:val="56"/>
        </w:rPr>
        <w:t>项目全生命周期管理系统</w:t>
        <w:br/>
        <w:t>建设方案 V0.1</w:t>
      </w:r>
    </w:p>
    <w:p>
      <w:pPr>
        <w:pStyle w:val="Subtitle"/>
        <w:spacing w:after="480"/>
      </w:pPr>
      <w:r>
        <w:rPr>
          <w:rFonts w:ascii="Calibri" w:hAnsi="Calibri" w:eastAsia="Arial Unicode MS"/>
          <w:color w:val="1F4D78"/>
          <w:sz w:val="28"/>
        </w:rPr>
        <w:t>从业务需求蓝图到可执行建设路线</w:t>
      </w:r>
    </w:p>
    <w:p>
      <w:pPr>
        <w:spacing w:before="80" w:after="40"/>
        <w:jc w:val="center"/>
        <w:keepLines w:val="1"/>
      </w:pPr>
      <w:r>
        <w:drawing>
          <wp:inline xmlns:a="http://schemas.openxmlformats.org/drawingml/2006/main" xmlns:pic="http://schemas.openxmlformats.org/drawingml/2006/picture">
            <wp:extent cx="5897880" cy="1340427"/>
            <wp:docPr id="1" name="Picture 1" descr="从商机到任务与证据的一条项目主线" title="从商机到任务与证据的一条项目主线"/>
            <wp:cNvGraphicFramePr>
              <a:graphicFrameLocks noChangeAspect="1"/>
            </wp:cNvGraphicFramePr>
            <a:graphic>
              <a:graphicData uri="http://schemas.openxmlformats.org/drawingml/2006/picture">
                <pic:pic>
                  <pic:nvPicPr>
                    <pic:cNvPr id="0" name="cover_strip.png"/>
                    <pic:cNvPicPr/>
                  </pic:nvPicPr>
                  <pic:blipFill>
                    <a:blip r:embed="rId13"/>
                    <a:stretch>
                      <a:fillRect/>
                    </a:stretch>
                  </pic:blipFill>
                  <pic:spPr>
                    <a:xfrm>
                      <a:off x="0" y="0"/>
                      <a:ext cx="5897880" cy="1340427"/>
                    </a:xfrm>
                    <a:prstGeom prst="rect"/>
                  </pic:spPr>
                </pic:pic>
              </a:graphicData>
            </a:graphic>
          </wp:inline>
        </w:drawing>
      </w:r>
    </w:p>
    <w:p>
      <w:pPr>
        <w:spacing w:before="680" w:after="100"/>
      </w:pPr>
      <w:r>
        <w:rPr>
          <w:rFonts w:ascii="Calibri" w:hAnsi="Calibri" w:eastAsia="Arial Unicode MS"/>
          <w:b/>
          <w:color w:val="64748B"/>
          <w:sz w:val="18"/>
        </w:rPr>
        <w:t>文档状态</w:t>
      </w:r>
      <w:r>
        <w:rPr>
          <w:rFonts w:ascii="Calibri" w:hAnsi="Calibri" w:eastAsia="Arial Unicode MS"/>
          <w:b/>
          <w:color w:val="0B2545"/>
          <w:sz w:val="21"/>
        </w:rPr>
        <w:t xml:space="preserve">  内部评审稿</w:t>
      </w:r>
    </w:p>
    <w:p>
      <w:pPr>
        <w:spacing w:after="100"/>
      </w:pPr>
      <w:r>
        <w:rPr>
          <w:rFonts w:ascii="Calibri" w:hAnsi="Calibri" w:eastAsia="Arial Unicode MS"/>
          <w:b/>
          <w:color w:val="64748B"/>
          <w:sz w:val="18"/>
        </w:rPr>
        <w:t>编制日期</w:t>
      </w:r>
      <w:r>
        <w:rPr>
          <w:rFonts w:ascii="Calibri" w:hAnsi="Calibri" w:eastAsia="Arial Unicode MS"/>
          <w:color w:val="1F2937"/>
          <w:sz w:val="21"/>
        </w:rPr>
        <w:t xml:space="preserve">  2026年7月</w:t>
      </w:r>
    </w:p>
    <w:p>
      <w:r>
        <w:rPr>
          <w:rFonts w:ascii="Calibri" w:hAnsi="Calibri" w:eastAsia="Arial Unicode MS"/>
          <w:b/>
          <w:color w:val="64748B"/>
          <w:sz w:val="18"/>
        </w:rPr>
        <w:t>适用范围</w:t>
      </w:r>
      <w:r>
        <w:rPr>
          <w:rFonts w:ascii="Calibri" w:hAnsi="Calibri" w:eastAsia="Arial Unicode MS"/>
          <w:color w:val="1F2937"/>
          <w:sz w:val="21"/>
        </w:rPr>
        <w:t xml:space="preserve">  商务部门、产研部门、PMO事业部及公司管理层</w:t>
      </w:r>
    </w:p>
    <w:p>
      <w:r>
        <w:br w:type="page"/>
      </w:r>
    </w:p>
    <w:p>
      <w:pPr>
        <w:pStyle w:val="Heading1"/>
        <w:keepNext w:val="1"/>
      </w:pPr>
      <w:r>
        <w:t>文档控制</w:t>
      </w:r>
    </w:p>
    <w:tbl>
      <w:tblPr>
        <w:tblW w:type="dxa" w:w="9360"/>
        <w:jc w:val="left"/>
        <w:tblLayout w:type="fixed"/>
        <w:tblLook w:firstColumn="1" w:firstRow="1" w:lastColumn="0" w:lastRow="0" w:noHBand="0" w:noVBand="1" w:val="04A0"/>
        <w:tblInd w:w="120" w:type="dxa"/>
        <w:tblBorders>
          <w:top w:val="single" w:sz="4" w:color="D7DEE8"/>
          <w:left w:val="single" w:sz="4" w:color="D7DEE8"/>
          <w:bottom w:val="single" w:sz="4" w:color="D7DEE8"/>
          <w:right w:val="single" w:sz="4" w:color="D7DEE8"/>
          <w:insideH w:val="single" w:sz="4" w:color="D7DEE8"/>
          <w:insideV w:val="single" w:sz="4" w:color="D7DEE8"/>
        </w:tblBorders>
      </w:tblPr>
      <w:tblGrid>
        <w:gridCol w:w="1650"/>
        <w:gridCol w:w="7710"/>
      </w:tblGrid>
      <w:tr>
        <w:trPr>
          <w:tblHeader w:val="true"/>
          <w:cantSplit w:val="true"/>
        </w:trPr>
        <w:tc>
          <w:tcPr>
            <w:tcW w:type="dxa" w:w="1650"/>
            <w:vAlign w:val="center"/>
            <w:tcMar>
              <w:top w:w="80" w:type="dxa"/>
              <w:start w:w="120" w:type="dxa"/>
              <w:bottom w:w="80" w:type="dxa"/>
              <w:end w:w="120" w:type="dxa"/>
            </w:tcMar>
            <w:shd w:fill="EEF4FF"/>
          </w:tcPr>
          <w:p>
            <w:pPr>
              <w:spacing w:before="0" w:after="40" w:line="259" w:lineRule="auto"/>
              <w:jc w:val="center"/>
            </w:pPr>
            <w:r>
              <w:rPr>
                <w:rFonts w:ascii="Calibri" w:hAnsi="Calibri" w:eastAsia="Arial Unicode MS"/>
                <w:b/>
                <w:color w:val="0B2545"/>
                <w:sz w:val="19"/>
              </w:rPr>
              <w:t>项目</w:t>
            </w:r>
          </w:p>
        </w:tc>
        <w:tc>
          <w:tcPr>
            <w:tcW w:type="dxa" w:w="7710"/>
            <w:vAlign w:val="center"/>
            <w:tcMar>
              <w:top w:w="80" w:type="dxa"/>
              <w:start w:w="120" w:type="dxa"/>
              <w:bottom w:w="80" w:type="dxa"/>
              <w:end w:w="120" w:type="dxa"/>
            </w:tcMar>
            <w:shd w:fill="EEF4FF"/>
          </w:tcPr>
          <w:p>
            <w:pPr>
              <w:spacing w:before="0" w:after="40" w:line="259" w:lineRule="auto"/>
            </w:pPr>
            <w:r>
              <w:rPr>
                <w:rFonts w:ascii="Calibri" w:hAnsi="Calibri" w:eastAsia="Arial Unicode MS"/>
                <w:b/>
                <w:color w:val="0B2545"/>
                <w:sz w:val="19"/>
              </w:rPr>
              <w:t>内容</w:t>
            </w:r>
          </w:p>
        </w:tc>
      </w:tr>
      <w:tr>
        <w:trPr>
          <w:cantSplit w:val="true"/>
        </w:trPr>
        <w:tc>
          <w:tcPr>
            <w:tcW w:type="dxa" w:w="1650"/>
            <w:vAlign w:val="center"/>
            <w:tcMar>
              <w:top w:w="80" w:type="dxa"/>
              <w:start w:w="120" w:type="dxa"/>
              <w:bottom w:w="80" w:type="dxa"/>
              <w:end w:w="120" w:type="dxa"/>
            </w:tcMar>
          </w:tcPr>
          <w:p>
            <w:pPr>
              <w:spacing w:before="0" w:after="40" w:line="259" w:lineRule="auto"/>
              <w:jc w:val="center"/>
            </w:pPr>
            <w:r>
              <w:rPr>
                <w:rFonts w:ascii="Calibri" w:hAnsi="Calibri" w:eastAsia="Arial Unicode MS"/>
                <w:b/>
                <w:color w:val="1F2937"/>
                <w:sz w:val="19"/>
              </w:rPr>
              <w:t>文档名称</w:t>
            </w:r>
          </w:p>
        </w:tc>
        <w:tc>
          <w:tcPr>
            <w:tcW w:type="dxa" w:w="771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9"/>
              </w:rPr>
              <w:t>项目全生命周期管理系统建设方案 V0.1</w:t>
            </w:r>
          </w:p>
        </w:tc>
      </w:tr>
      <w:tr>
        <w:trPr>
          <w:cantSplit w:val="true"/>
        </w:trPr>
        <w:tc>
          <w:tcPr>
            <w:tcW w:type="dxa" w:w="1650"/>
            <w:vAlign w:val="center"/>
            <w:tcMar>
              <w:top w:w="80" w:type="dxa"/>
              <w:start w:w="120" w:type="dxa"/>
              <w:bottom w:w="80" w:type="dxa"/>
              <w:end w:w="120" w:type="dxa"/>
            </w:tcMar>
            <w:shd w:fill="F8FAFC"/>
          </w:tcPr>
          <w:p>
            <w:pPr>
              <w:spacing w:before="0" w:after="40" w:line="259" w:lineRule="auto"/>
              <w:jc w:val="center"/>
            </w:pPr>
            <w:r>
              <w:rPr>
                <w:rFonts w:ascii="Calibri" w:hAnsi="Calibri" w:eastAsia="Arial Unicode MS"/>
                <w:b/>
                <w:color w:val="1F2937"/>
                <w:sz w:val="19"/>
              </w:rPr>
              <w:t>文档定位</w:t>
            </w:r>
          </w:p>
        </w:tc>
        <w:tc>
          <w:tcPr>
            <w:tcW w:type="dxa" w:w="771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9"/>
              </w:rPr>
              <w:t>承接已确认业务蓝图，明确建设范围、总体路线、组织治理、实施里程碑、投入框架、迁移推广与验收机制。</w:t>
            </w:r>
          </w:p>
        </w:tc>
      </w:tr>
      <w:tr>
        <w:trPr>
          <w:cantSplit w:val="true"/>
        </w:trPr>
        <w:tc>
          <w:tcPr>
            <w:tcW w:type="dxa" w:w="1650"/>
            <w:vAlign w:val="center"/>
            <w:tcMar>
              <w:top w:w="80" w:type="dxa"/>
              <w:start w:w="120" w:type="dxa"/>
              <w:bottom w:w="80" w:type="dxa"/>
              <w:end w:w="120" w:type="dxa"/>
            </w:tcMar>
          </w:tcPr>
          <w:p>
            <w:pPr>
              <w:spacing w:before="0" w:after="40" w:line="259" w:lineRule="auto"/>
              <w:jc w:val="center"/>
            </w:pPr>
            <w:r>
              <w:rPr>
                <w:rFonts w:ascii="Calibri" w:hAnsi="Calibri" w:eastAsia="Arial Unicode MS"/>
                <w:b/>
                <w:color w:val="1F2937"/>
                <w:sz w:val="19"/>
              </w:rPr>
              <w:t>当前状态</w:t>
            </w:r>
          </w:p>
        </w:tc>
        <w:tc>
          <w:tcPr>
            <w:tcW w:type="dxa" w:w="771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9"/>
              </w:rPr>
              <w:t>内部评审稿；用于建设立项、预算测算、供应模式确定及后续 PRD 启动。</w:t>
            </w:r>
          </w:p>
        </w:tc>
      </w:tr>
      <w:tr>
        <w:trPr>
          <w:cantSplit w:val="true"/>
        </w:trPr>
        <w:tc>
          <w:tcPr>
            <w:tcW w:type="dxa" w:w="1650"/>
            <w:vAlign w:val="center"/>
            <w:tcMar>
              <w:top w:w="80" w:type="dxa"/>
              <w:start w:w="120" w:type="dxa"/>
              <w:bottom w:w="80" w:type="dxa"/>
              <w:end w:w="120" w:type="dxa"/>
            </w:tcMar>
            <w:shd w:fill="F8FAFC"/>
          </w:tcPr>
          <w:p>
            <w:pPr>
              <w:spacing w:before="0" w:after="40" w:line="259" w:lineRule="auto"/>
              <w:jc w:val="center"/>
            </w:pPr>
            <w:r>
              <w:rPr>
                <w:rFonts w:ascii="Calibri" w:hAnsi="Calibri" w:eastAsia="Arial Unicode MS"/>
                <w:b/>
                <w:color w:val="1F2937"/>
                <w:sz w:val="19"/>
              </w:rPr>
              <w:t>不包含</w:t>
            </w:r>
          </w:p>
        </w:tc>
        <w:tc>
          <w:tcPr>
            <w:tcW w:type="dxa" w:w="771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9"/>
              </w:rPr>
              <w:t>菜单与页面、字段字典、按钮与交互、详细状态机、接口字段、技术选型参数及最终 SLA 阈值。</w:t>
            </w:r>
          </w:p>
        </w:tc>
      </w:tr>
      <w:tr>
        <w:trPr>
          <w:cantSplit w:val="true"/>
        </w:trPr>
        <w:tc>
          <w:tcPr>
            <w:tcW w:type="dxa" w:w="1650"/>
            <w:vAlign w:val="center"/>
            <w:tcMar>
              <w:top w:w="80" w:type="dxa"/>
              <w:start w:w="120" w:type="dxa"/>
              <w:bottom w:w="80" w:type="dxa"/>
              <w:end w:w="120" w:type="dxa"/>
            </w:tcMar>
          </w:tcPr>
          <w:p>
            <w:pPr>
              <w:spacing w:before="0" w:after="40" w:line="259" w:lineRule="auto"/>
              <w:jc w:val="center"/>
            </w:pPr>
            <w:r>
              <w:rPr>
                <w:rFonts w:ascii="Calibri" w:hAnsi="Calibri" w:eastAsia="Arial Unicode MS"/>
                <w:b/>
                <w:color w:val="1F2937"/>
                <w:sz w:val="19"/>
              </w:rPr>
              <w:t>版本基线</w:t>
            </w:r>
          </w:p>
        </w:tc>
        <w:tc>
          <w:tcPr>
            <w:tcW w:type="dxa" w:w="771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9"/>
              </w:rPr>
              <w:t>BRD V0.2 为最高业务事实；V0.2 主清单提供 100 项控制点；V0.1 归并映射提供 26 个系统单元。</w:t>
            </w:r>
          </w:p>
        </w:tc>
      </w:tr>
    </w:tbl>
    <w:p>
      <w:pPr>
        <w:spacing w:after="40"/>
      </w:pPr>
    </w:p>
    <w:p>
      <w:pPr>
        <w:pStyle w:val="Heading2"/>
        <w:keepNext w:val="1"/>
      </w:pPr>
      <w:r>
        <w:t>编制依据与口径</w:t>
      </w:r>
    </w:p>
    <w:p>
      <w:pPr>
        <w:numPr>
          <w:ilvl w:val="0"/>
          <w:numId w:val="10"/>
        </w:numPr>
        <w:spacing w:after="160" w:line="280" w:lineRule="auto"/>
      </w:pPr>
      <w:r>
        <w:rPr>
          <w:rFonts w:ascii="Calibri" w:hAnsi="Calibri" w:eastAsia="Arial Unicode MS"/>
          <w:color w:val="1F2937"/>
          <w:sz w:val="22"/>
        </w:rPr>
        <w:t>《项目全生命周期管理系统业务需求文档（BRD）V0.2》及图形化业务需求蓝图；</w:t>
      </w:r>
    </w:p>
    <w:p>
      <w:pPr>
        <w:numPr>
          <w:ilvl w:val="0"/>
          <w:numId w:val="10"/>
        </w:numPr>
        <w:spacing w:after="160" w:line="280" w:lineRule="auto"/>
      </w:pPr>
      <w:r>
        <w:rPr>
          <w:rFonts w:ascii="Calibri" w:hAnsi="Calibri" w:eastAsia="Arial Unicode MS"/>
          <w:color w:val="1F2937"/>
          <w:sz w:val="22"/>
        </w:rPr>
        <w:t>《项目规定动作与成果物主清单 V0.2（读者版）》：100 项动作，含 66 项 PMO 原始动作、34 项需求补充动作、7 项制度补强项；</w:t>
      </w:r>
    </w:p>
    <w:p>
      <w:pPr>
        <w:numPr>
          <w:ilvl w:val="0"/>
          <w:numId w:val="10"/>
        </w:numPr>
        <w:spacing w:after="160" w:line="280" w:lineRule="auto"/>
      </w:pPr>
      <w:r>
        <w:rPr>
          <w:rFonts w:ascii="Calibri" w:hAnsi="Calibri" w:eastAsia="Arial Unicode MS"/>
          <w:color w:val="1F2937"/>
          <w:sz w:val="22"/>
        </w:rPr>
        <w:t>《项目规定动作系统归并映射 V0.1》：100 项动作一一映射至 6 个业务域、26 个系统单元；</w:t>
      </w:r>
    </w:p>
    <w:p>
      <w:pPr>
        <w:numPr>
          <w:ilvl w:val="0"/>
          <w:numId w:val="10"/>
        </w:numPr>
        <w:spacing w:after="160" w:line="280" w:lineRule="auto"/>
      </w:pPr>
      <w:r>
        <w:rPr>
          <w:rFonts w:ascii="Calibri" w:hAnsi="Calibri" w:eastAsia="Arial Unicode MS"/>
          <w:color w:val="1F2937"/>
          <w:sz w:val="22"/>
        </w:rPr>
        <w:t>如来源之间出现名称或口径差异，以 BRD V0.2 为准，并在 PRD 启动前更新清单/映射中的旧称。</w:t>
      </w:r>
    </w:p>
    <w:p>
      <w:pPr>
        <w:pStyle w:val="LeadCallout"/>
        <w:spacing w:before="120" w:after="200"/>
        <w:ind w:left="200" w:right="200"/>
        <w:shd w:fill="FFF8E8"/>
        <w:pBdr>
          <w:left w:val="single" w:sz="18" w:space="8" w:color="D19A32"/>
        </w:pBdr>
        <w:keepLines w:val="1"/>
      </w:pPr>
      <w:r>
        <w:rPr>
          <w:rFonts w:ascii="Calibri" w:hAnsi="Calibri" w:eastAsia="Arial Unicode MS"/>
          <w:b/>
          <w:color w:val="D19A32"/>
          <w:sz w:val="21"/>
        </w:rPr>
        <w:t xml:space="preserve">边界提醒  </w:t>
      </w:r>
      <w:r>
        <w:rPr>
          <w:rFonts w:ascii="Calibri" w:hAnsi="Calibri" w:eastAsia="Arial Unicode MS"/>
          <w:color w:val="1F2937"/>
          <w:sz w:val="21"/>
        </w:rPr>
        <w:t>本建设方案回答“建什么、先后怎么建、由谁推进、投入如何估、怎样试点和验收”。页面、字段和交互设计留待项目级 PRD 与后续功能 SPEC。</w:t>
      </w:r>
    </w:p>
    <w:p>
      <w:pPr>
        <w:pStyle w:val="Heading1"/>
        <w:pageBreakBefore/>
        <w:keepNext w:val="1"/>
      </w:pPr>
      <w:r>
        <w:t>阅读导航</w:t>
      </w:r>
    </w:p>
    <w:p>
      <w:pPr>
        <w:numPr>
          <w:ilvl w:val="0"/>
          <w:numId w:val="11"/>
        </w:numPr>
        <w:spacing w:after="160" w:line="280" w:lineRule="auto"/>
      </w:pPr>
      <w:r>
        <w:rPr>
          <w:rFonts w:ascii="Calibri" w:hAnsi="Calibri" w:eastAsia="Arial Unicode MS"/>
          <w:color w:val="1F2937"/>
          <w:sz w:val="22"/>
        </w:rPr>
        <w:t>执行摘要：给出推荐建设路线、规模、周期、投入和决策结论。</w:t>
      </w:r>
    </w:p>
    <w:p>
      <w:pPr>
        <w:numPr>
          <w:ilvl w:val="0"/>
          <w:numId w:val="11"/>
        </w:numPr>
        <w:spacing w:after="160" w:line="280" w:lineRule="auto"/>
      </w:pPr>
      <w:r>
        <w:rPr>
          <w:rFonts w:ascii="Calibri" w:hAnsi="Calibri" w:eastAsia="Arial Unicode MS"/>
          <w:color w:val="1F2937"/>
          <w:sz w:val="22"/>
        </w:rPr>
        <w:t>主文档第一至第九章：说明建设定位、蓝图、范围、实施、治理、迁移、安全、验收和投资风险。</w:t>
      </w:r>
    </w:p>
    <w:p>
      <w:pPr>
        <w:numPr>
          <w:ilvl w:val="0"/>
          <w:numId w:val="11"/>
        </w:numPr>
        <w:spacing w:after="160" w:line="280" w:lineRule="auto"/>
      </w:pPr>
      <w:r>
        <w:rPr>
          <w:rFonts w:ascii="Calibri" w:hAnsi="Calibri" w:eastAsia="Arial Unicode MS"/>
          <w:color w:val="1F2937"/>
          <w:sz w:val="22"/>
        </w:rPr>
        <w:t>附件 A 至 H：承载 26 个系统单元、阶段门、交付物、RACI、迁移集成、投资测算、风险与 PRD 前决策清单。</w:t>
      </w:r>
    </w:p>
    <w:p>
      <w:pPr>
        <w:numPr>
          <w:ilvl w:val="0"/>
          <w:numId w:val="11"/>
        </w:numPr>
        <w:spacing w:after="160" w:line="280" w:lineRule="auto"/>
      </w:pPr>
      <w:r>
        <w:rPr>
          <w:rFonts w:ascii="Calibri" w:hAnsi="Calibri" w:eastAsia="Arial Unicode MS"/>
          <w:color w:val="1F2937"/>
          <w:sz w:val="22"/>
        </w:rPr>
        <w:t>两份结构化 Excel 继续作为全量追溯附件，不在正文重复铺陈 100 条动作。</w:t>
      </w:r>
    </w:p>
    <w:p>
      <w:r>
        <w:br w:type="page"/>
      </w:r>
    </w:p>
    <w:p>
      <w:pPr>
        <w:pStyle w:val="Heading1"/>
        <w:keepNext w:val="1"/>
      </w:pPr>
      <w:r>
        <w:t>执行摘要</w:t>
      </w:r>
    </w:p>
    <w:p>
      <w:pPr/>
      <w:r>
        <w:rPr>
          <w:rFonts w:ascii="Calibri" w:hAnsi="Calibri" w:eastAsia="Arial Unicode MS"/>
          <w:i w:val="0"/>
          <w:color w:val="1F2937"/>
          <w:sz w:val="22"/>
        </w:rPr>
        <w:t>本项目建议采用“业务蓝图先行、统一底座建设、核心闭环分增量交付、双项目验证、再覆盖全部新商机与在建项目”的路线。首期不是把 100 项动作分别做成 100 条流程，而是在保留每项责任与证据的前提下，归并为 26 个系统单元，并由统一的流程、模板、事项、文件、权限、消息和审计能力支撑。</w:t>
      </w:r>
    </w:p>
    <w:tbl>
      <w:tblPr>
        <w:tblW w:type="dxa" w:w="9360"/>
        <w:jc w:val="left"/>
        <w:tblLayout w:type="fixed"/>
        <w:tblLook w:firstColumn="1" w:firstRow="1" w:lastColumn="0" w:lastRow="0" w:noHBand="0" w:noVBand="1" w:val="04A0"/>
        <w:tblInd w:w="120" w:type="dxa"/>
        <w:tblBorders>
          <w:top w:val="single" w:sz="4" w:color="D7DEE8"/>
          <w:left w:val="single" w:sz="4" w:color="D7DEE8"/>
          <w:bottom w:val="single" w:sz="4" w:color="D7DEE8"/>
          <w:right w:val="single" w:sz="4" w:color="D7DEE8"/>
          <w:insideH w:val="single" w:sz="4" w:color="D7DEE8"/>
          <w:insideV w:val="single" w:sz="4" w:color="D7DEE8"/>
        </w:tblBorders>
      </w:tblPr>
      <w:tblGrid>
        <w:gridCol w:w="1350"/>
        <w:gridCol w:w="2100"/>
        <w:gridCol w:w="2200"/>
        <w:gridCol w:w="3710"/>
      </w:tblGrid>
      <w:tr>
        <w:trPr>
          <w:tblHeader w:val="true"/>
          <w:cantSplit w:val="true"/>
        </w:trPr>
        <w:tc>
          <w:tcPr>
            <w:tcW w:type="dxa" w:w="1350"/>
            <w:vAlign w:val="center"/>
            <w:tcMar>
              <w:top w:w="80" w:type="dxa"/>
              <w:start w:w="120" w:type="dxa"/>
              <w:bottom w:w="80" w:type="dxa"/>
              <w:end w:w="120" w:type="dxa"/>
            </w:tcMar>
            <w:shd w:fill="EEF4FF"/>
          </w:tcPr>
          <w:p>
            <w:pPr>
              <w:spacing w:before="0" w:after="40" w:line="259" w:lineRule="auto"/>
              <w:jc w:val="center"/>
            </w:pPr>
            <w:r>
              <w:rPr>
                <w:rFonts w:ascii="Calibri" w:hAnsi="Calibri" w:eastAsia="Arial Unicode MS"/>
                <w:b/>
                <w:color w:val="0B2545"/>
                <w:sz w:val="17"/>
              </w:rPr>
              <w:t>建设尺度</w:t>
            </w:r>
          </w:p>
        </w:tc>
        <w:tc>
          <w:tcPr>
            <w:tcW w:type="dxa" w:w="2100"/>
            <w:vAlign w:val="center"/>
            <w:tcMar>
              <w:top w:w="80" w:type="dxa"/>
              <w:start w:w="120" w:type="dxa"/>
              <w:bottom w:w="80" w:type="dxa"/>
              <w:end w:w="120" w:type="dxa"/>
            </w:tcMar>
            <w:shd w:fill="EEF4FF"/>
          </w:tcPr>
          <w:p>
            <w:pPr>
              <w:spacing w:before="0" w:after="40" w:line="259" w:lineRule="auto"/>
            </w:pPr>
            <w:r>
              <w:rPr>
                <w:rFonts w:ascii="Calibri" w:hAnsi="Calibri" w:eastAsia="Arial Unicode MS"/>
                <w:b/>
                <w:color w:val="0B2545"/>
                <w:sz w:val="17"/>
              </w:rPr>
              <w:t>已确认基线</w:t>
            </w:r>
          </w:p>
        </w:tc>
        <w:tc>
          <w:tcPr>
            <w:tcW w:type="dxa" w:w="2200"/>
            <w:vAlign w:val="center"/>
            <w:tcMar>
              <w:top w:w="80" w:type="dxa"/>
              <w:start w:w="120" w:type="dxa"/>
              <w:bottom w:w="80" w:type="dxa"/>
              <w:end w:w="120" w:type="dxa"/>
            </w:tcMar>
            <w:shd w:fill="EEF4FF"/>
          </w:tcPr>
          <w:p>
            <w:pPr>
              <w:spacing w:before="0" w:after="40" w:line="259" w:lineRule="auto"/>
            </w:pPr>
            <w:r>
              <w:rPr>
                <w:rFonts w:ascii="Calibri" w:hAnsi="Calibri" w:eastAsia="Arial Unicode MS"/>
                <w:b/>
                <w:color w:val="0B2545"/>
                <w:sz w:val="17"/>
              </w:rPr>
              <w:t>方案结论</w:t>
            </w:r>
          </w:p>
        </w:tc>
        <w:tc>
          <w:tcPr>
            <w:tcW w:type="dxa" w:w="3710"/>
            <w:vAlign w:val="center"/>
            <w:tcMar>
              <w:top w:w="80" w:type="dxa"/>
              <w:start w:w="120" w:type="dxa"/>
              <w:bottom w:w="80" w:type="dxa"/>
              <w:end w:w="120" w:type="dxa"/>
            </w:tcMar>
            <w:shd w:fill="EEF4FF"/>
          </w:tcPr>
          <w:p>
            <w:pPr>
              <w:spacing w:before="0" w:after="40" w:line="259" w:lineRule="auto"/>
            </w:pPr>
            <w:r>
              <w:rPr>
                <w:rFonts w:ascii="Calibri" w:hAnsi="Calibri" w:eastAsia="Arial Unicode MS"/>
                <w:b/>
                <w:color w:val="0B2545"/>
                <w:sz w:val="17"/>
              </w:rPr>
              <w:t>交付含义</w:t>
            </w:r>
          </w:p>
        </w:tc>
      </w:tr>
      <w:tr>
        <w:trPr>
          <w:cantSplit w:val="true"/>
        </w:trPr>
        <w:tc>
          <w:tcPr>
            <w:tcW w:type="dxa" w:w="1350"/>
            <w:vAlign w:val="center"/>
            <w:tcMar>
              <w:top w:w="80" w:type="dxa"/>
              <w:start w:w="120" w:type="dxa"/>
              <w:bottom w:w="80" w:type="dxa"/>
              <w:end w:w="120" w:type="dxa"/>
            </w:tcMar>
          </w:tcPr>
          <w:p>
            <w:pPr>
              <w:spacing w:before="0" w:after="40" w:line="259" w:lineRule="auto"/>
              <w:jc w:val="center"/>
            </w:pPr>
            <w:r>
              <w:rPr>
                <w:rFonts w:ascii="Calibri" w:hAnsi="Calibri" w:eastAsia="Arial Unicode MS"/>
                <w:b/>
                <w:color w:val="1F2937"/>
                <w:sz w:val="17"/>
              </w:rPr>
              <w:t>业务主线</w:t>
            </w:r>
          </w:p>
        </w:tc>
        <w:tc>
          <w:tcPr>
            <w:tcW w:type="dxa" w:w="210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7"/>
              </w:rPr>
              <w:t>从商机到维护关闭</w:t>
            </w:r>
          </w:p>
        </w:tc>
        <w:tc>
          <w:tcPr>
            <w:tcW w:type="dxa" w:w="220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7"/>
              </w:rPr>
              <w:t>一套项目主档贯通</w:t>
            </w:r>
          </w:p>
        </w:tc>
        <w:tc>
          <w:tcPr>
            <w:tcW w:type="dxa" w:w="371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7"/>
              </w:rPr>
              <w:t>不在售前、交付、维护重复建档</w:t>
            </w:r>
          </w:p>
        </w:tc>
      </w:tr>
      <w:tr>
        <w:trPr>
          <w:cantSplit w:val="true"/>
        </w:trPr>
        <w:tc>
          <w:tcPr>
            <w:tcW w:type="dxa" w:w="1350"/>
            <w:vAlign w:val="center"/>
            <w:tcMar>
              <w:top w:w="80" w:type="dxa"/>
              <w:start w:w="120" w:type="dxa"/>
              <w:bottom w:w="80" w:type="dxa"/>
              <w:end w:w="120" w:type="dxa"/>
            </w:tcMar>
            <w:shd w:fill="F8FAFC"/>
          </w:tcPr>
          <w:p>
            <w:pPr>
              <w:spacing w:before="0" w:after="40" w:line="259" w:lineRule="auto"/>
              <w:jc w:val="center"/>
            </w:pPr>
            <w:r>
              <w:rPr>
                <w:rFonts w:ascii="Calibri" w:hAnsi="Calibri" w:eastAsia="Arial Unicode MS"/>
                <w:b/>
                <w:color w:val="1F2937"/>
                <w:sz w:val="17"/>
              </w:rPr>
              <w:t>管理控制</w:t>
            </w:r>
          </w:p>
        </w:tc>
        <w:tc>
          <w:tcPr>
            <w:tcW w:type="dxa" w:w="210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7"/>
              </w:rPr>
              <w:t>100 项规定动作</w:t>
            </w:r>
          </w:p>
        </w:tc>
        <w:tc>
          <w:tcPr>
            <w:tcW w:type="dxa" w:w="220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7"/>
              </w:rPr>
              <w:t>全部保留追溯</w:t>
            </w:r>
          </w:p>
        </w:tc>
        <w:tc>
          <w:tcPr>
            <w:tcW w:type="dxa" w:w="371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7"/>
              </w:rPr>
              <w:t>控制点不因系统归并而消失</w:t>
            </w:r>
          </w:p>
        </w:tc>
      </w:tr>
      <w:tr>
        <w:trPr>
          <w:cantSplit w:val="true"/>
        </w:trPr>
        <w:tc>
          <w:tcPr>
            <w:tcW w:type="dxa" w:w="1350"/>
            <w:vAlign w:val="center"/>
            <w:tcMar>
              <w:top w:w="80" w:type="dxa"/>
              <w:start w:w="120" w:type="dxa"/>
              <w:bottom w:w="80" w:type="dxa"/>
              <w:end w:w="120" w:type="dxa"/>
            </w:tcMar>
          </w:tcPr>
          <w:p>
            <w:pPr>
              <w:spacing w:before="0" w:after="40" w:line="259" w:lineRule="auto"/>
              <w:jc w:val="center"/>
            </w:pPr>
            <w:r>
              <w:rPr>
                <w:rFonts w:ascii="Calibri" w:hAnsi="Calibri" w:eastAsia="Arial Unicode MS"/>
                <w:b/>
                <w:color w:val="1F2937"/>
                <w:sz w:val="17"/>
              </w:rPr>
              <w:t>系统范围</w:t>
            </w:r>
          </w:p>
        </w:tc>
        <w:tc>
          <w:tcPr>
            <w:tcW w:type="dxa" w:w="210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7"/>
              </w:rPr>
              <w:t>6 个业务域 / 26 个系统单元</w:t>
            </w:r>
          </w:p>
        </w:tc>
        <w:tc>
          <w:tcPr>
            <w:tcW w:type="dxa" w:w="220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7"/>
              </w:rPr>
              <w:t>21 个核心 + 5 个基础</w:t>
            </w:r>
          </w:p>
        </w:tc>
        <w:tc>
          <w:tcPr>
            <w:tcW w:type="dxa" w:w="371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7"/>
              </w:rPr>
              <w:t>优先级代表建设深度，不代表是否纳入</w:t>
            </w:r>
          </w:p>
        </w:tc>
      </w:tr>
      <w:tr>
        <w:trPr>
          <w:cantSplit w:val="true"/>
        </w:trPr>
        <w:tc>
          <w:tcPr>
            <w:tcW w:type="dxa" w:w="1350"/>
            <w:vAlign w:val="center"/>
            <w:tcMar>
              <w:top w:w="80" w:type="dxa"/>
              <w:start w:w="120" w:type="dxa"/>
              <w:bottom w:w="80" w:type="dxa"/>
              <w:end w:w="120" w:type="dxa"/>
            </w:tcMar>
            <w:shd w:fill="F8FAFC"/>
          </w:tcPr>
          <w:p>
            <w:pPr>
              <w:spacing w:before="0" w:after="40" w:line="259" w:lineRule="auto"/>
              <w:jc w:val="center"/>
            </w:pPr>
            <w:r>
              <w:rPr>
                <w:rFonts w:ascii="Calibri" w:hAnsi="Calibri" w:eastAsia="Arial Unicode MS"/>
                <w:b/>
                <w:color w:val="1F2937"/>
                <w:sz w:val="17"/>
              </w:rPr>
              <w:t>终端与协同</w:t>
            </w:r>
          </w:p>
        </w:tc>
        <w:tc>
          <w:tcPr>
            <w:tcW w:type="dxa" w:w="210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7"/>
              </w:rPr>
              <w:t>桌面 WEB + 移动响应式 + 飞书</w:t>
            </w:r>
          </w:p>
        </w:tc>
        <w:tc>
          <w:tcPr>
            <w:tcW w:type="dxa" w:w="220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7"/>
              </w:rPr>
              <w:t>新系统保存正式状态</w:t>
            </w:r>
          </w:p>
        </w:tc>
        <w:tc>
          <w:tcPr>
            <w:tcW w:type="dxa" w:w="371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7"/>
              </w:rPr>
              <w:t>飞书仅提醒与协同，不能替代系统闭环</w:t>
            </w:r>
          </w:p>
        </w:tc>
      </w:tr>
      <w:tr>
        <w:trPr>
          <w:cantSplit w:val="true"/>
        </w:trPr>
        <w:tc>
          <w:tcPr>
            <w:tcW w:type="dxa" w:w="1350"/>
            <w:vAlign w:val="center"/>
            <w:tcMar>
              <w:top w:w="80" w:type="dxa"/>
              <w:start w:w="120" w:type="dxa"/>
              <w:bottom w:w="80" w:type="dxa"/>
              <w:end w:w="120" w:type="dxa"/>
            </w:tcMar>
          </w:tcPr>
          <w:p>
            <w:pPr>
              <w:spacing w:before="0" w:after="40" w:line="259" w:lineRule="auto"/>
              <w:jc w:val="center"/>
            </w:pPr>
            <w:r>
              <w:rPr>
                <w:rFonts w:ascii="Calibri" w:hAnsi="Calibri" w:eastAsia="Arial Unicode MS"/>
                <w:b/>
                <w:color w:val="1F2937"/>
                <w:sz w:val="17"/>
              </w:rPr>
              <w:t>实施策略</w:t>
            </w:r>
          </w:p>
        </w:tc>
        <w:tc>
          <w:tcPr>
            <w:tcW w:type="dxa" w:w="210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7"/>
              </w:rPr>
              <w:t>双项目 MVP</w:t>
            </w:r>
          </w:p>
        </w:tc>
        <w:tc>
          <w:tcPr>
            <w:tcW w:type="dxa" w:w="220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7"/>
              </w:rPr>
              <w:t>非标 + 标准/迭代</w:t>
            </w:r>
          </w:p>
        </w:tc>
        <w:tc>
          <w:tcPr>
            <w:tcW w:type="dxa" w:w="371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7"/>
              </w:rPr>
              <w:t>验证统一主干与差异模板</w:t>
            </w:r>
          </w:p>
        </w:tc>
      </w:tr>
    </w:tbl>
    <w:p>
      <w:pPr>
        <w:spacing w:after="40"/>
      </w:pPr>
    </w:p>
    <w:p>
      <w:pPr>
        <w:pStyle w:val="Heading2"/>
        <w:keepNext w:val="1"/>
      </w:pPr>
      <w:r>
        <w:t>建议决策</w:t>
      </w:r>
    </w:p>
    <w:p>
      <w:pPr>
        <w:numPr>
          <w:ilvl w:val="0"/>
          <w:numId w:val="10"/>
        </w:numPr>
        <w:spacing w:after="160" w:line="280" w:lineRule="auto"/>
      </w:pPr>
      <w:r>
        <w:rPr>
          <w:rFonts w:ascii="Calibri" w:hAnsi="Calibri" w:eastAsia="Arial Unicode MS"/>
          <w:color w:val="1F2937"/>
          <w:sz w:val="22"/>
        </w:rPr>
        <w:t>批准以本方案作为项目建设立项和后续 PRD 的上位执行依据；</w:t>
      </w:r>
    </w:p>
    <w:p>
      <w:pPr>
        <w:numPr>
          <w:ilvl w:val="0"/>
          <w:numId w:val="10"/>
        </w:numPr>
        <w:spacing w:after="160" w:line="280" w:lineRule="auto"/>
      </w:pPr>
      <w:r>
        <w:rPr>
          <w:rFonts w:ascii="Calibri" w:hAnsi="Calibri" w:eastAsia="Arial Unicode MS"/>
          <w:color w:val="1F2937"/>
          <w:sz w:val="22"/>
        </w:rPr>
        <w:t>同意首期全部 26 个系统单元纳入总体范围，其中 21 个按核心闭环建设、5 个按基础可用深度建设；</w:t>
      </w:r>
    </w:p>
    <w:p>
      <w:pPr>
        <w:numPr>
          <w:ilvl w:val="0"/>
          <w:numId w:val="10"/>
        </w:numPr>
        <w:spacing w:after="160" w:line="280" w:lineRule="auto"/>
      </w:pPr>
      <w:r>
        <w:rPr>
          <w:rFonts w:ascii="Calibri" w:hAnsi="Calibri" w:eastAsia="Arial Unicode MS"/>
          <w:color w:val="1F2937"/>
          <w:sz w:val="22"/>
        </w:rPr>
        <w:t>同意以 T0 + 44~56 周为首轮全量覆盖的建议窗口，并在团队规模、交付模式和预算确认后形成正式基线；</w:t>
      </w:r>
    </w:p>
    <w:p>
      <w:pPr>
        <w:numPr>
          <w:ilvl w:val="0"/>
          <w:numId w:val="10"/>
        </w:numPr>
        <w:spacing w:after="160" w:line="280" w:lineRule="auto"/>
      </w:pPr>
      <w:r>
        <w:rPr>
          <w:rFonts w:ascii="Calibri" w:hAnsi="Calibri" w:eastAsia="Arial Unicode MS"/>
          <w:color w:val="1F2937"/>
          <w:sz w:val="22"/>
        </w:rPr>
        <w:t>同意首期采用桌面 WEB + 移动响应式 WEB，飞书承担提醒、摘要和深度链接，不建设独立原生 APP；</w:t>
      </w:r>
    </w:p>
    <w:p>
      <w:pPr>
        <w:numPr>
          <w:ilvl w:val="0"/>
          <w:numId w:val="10"/>
        </w:numPr>
        <w:spacing w:after="160" w:line="280" w:lineRule="auto"/>
      </w:pPr>
      <w:r>
        <w:rPr>
          <w:rFonts w:ascii="Calibri" w:hAnsi="Calibri" w:eastAsia="Arial Unicode MS"/>
          <w:color w:val="1F2937"/>
          <w:sz w:val="22"/>
        </w:rPr>
        <w:t>同意以一个非标项目和一个标准复用/配置迭代项目进行双项目试点；</w:t>
      </w:r>
    </w:p>
    <w:p>
      <w:pPr>
        <w:numPr>
          <w:ilvl w:val="0"/>
          <w:numId w:val="10"/>
        </w:numPr>
        <w:spacing w:after="160" w:line="280" w:lineRule="auto"/>
      </w:pPr>
      <w:r>
        <w:rPr>
          <w:rFonts w:ascii="Calibri" w:hAnsi="Calibri" w:eastAsia="Arial Unicode MS"/>
          <w:color w:val="1F2937"/>
          <w:sz w:val="22"/>
        </w:rPr>
        <w:t>同意在 PRD 启动门前关闭 9 项仍有效的业务决策，并将已由 BRD V0.2 明确的报告口径同步回归并映射。</w:t>
      </w:r>
    </w:p>
    <w:p>
      <w:pPr>
        <w:pStyle w:val="LeadCallout"/>
        <w:spacing w:before="120" w:after="200"/>
        <w:ind w:left="200" w:right="200"/>
        <w:shd w:fill="EEF9F4"/>
        <w:pBdr>
          <w:left w:val="single" w:sz="18" w:space="8" w:color="3D9D73"/>
        </w:pBdr>
        <w:keepLines w:val="1"/>
      </w:pPr>
      <w:r>
        <w:rPr>
          <w:rFonts w:ascii="Calibri" w:hAnsi="Calibri" w:eastAsia="Arial Unicode MS"/>
          <w:b/>
          <w:color w:val="3D9D73"/>
          <w:sz w:val="21"/>
        </w:rPr>
        <w:t xml:space="preserve">规模判断  </w:t>
      </w:r>
      <w:r>
        <w:rPr>
          <w:rFonts w:ascii="Calibri" w:hAnsi="Calibri" w:eastAsia="Arial Unicode MS"/>
          <w:color w:val="1F2937"/>
          <w:sz w:val="21"/>
        </w:rPr>
        <w:t>在 10~15 人峰值建设团队条件下，首轮建设的工程量级建议按 100~160 人月估算；该区间用于立项与采购比选，不等于最终预算。最终金额取决于自建/外包比例、复用平台、部署安全要求和接口复杂度。</w:t>
      </w:r>
    </w:p>
    <w:p>
      <w:pPr>
        <w:pStyle w:val="Heading1"/>
        <w:keepNext w:val="1"/>
      </w:pPr>
      <w:r>
        <w:t>一、项目定位与建设目标</w:t>
      </w:r>
    </w:p>
    <w:p>
      <w:pPr>
        <w:pStyle w:val="Heading2"/>
        <w:keepNext w:val="1"/>
      </w:pPr>
      <w:r>
        <w:t>1.1 项目定位</w:t>
      </w:r>
    </w:p>
    <w:p>
      <w:pPr/>
      <w:r>
        <w:rPr>
          <w:rFonts w:ascii="Calibri" w:hAnsi="Calibri" w:eastAsia="Arial Unicode MS"/>
          <w:i w:val="0"/>
          <w:color w:val="1F2937"/>
          <w:sz w:val="22"/>
        </w:rPr>
        <w:t>项目全生命周期管理系统是公司项目经营与交付协同的统一业务平台。它从第一条商机开始保留投入与决策，在签约、交付、验收和维护之间延续同一项目主线，并通过阶段门、成果物、审批和审计记录形成可信的项目事实。</w:t>
      </w:r>
    </w:p>
    <w:p>
      <w:pPr>
        <w:pStyle w:val="LeadCallout"/>
        <w:spacing w:before="120" w:after="200"/>
        <w:ind w:left="200" w:right="200"/>
        <w:shd w:fill="EEF4FF"/>
        <w:pBdr>
          <w:left w:val="single" w:sz="18" w:space="8" w:color="2E74B5"/>
        </w:pBdr>
        <w:keepLines w:val="1"/>
      </w:pPr>
      <w:r>
        <w:rPr>
          <w:rFonts w:ascii="Calibri" w:hAnsi="Calibri" w:eastAsia="Arial Unicode MS"/>
          <w:b/>
          <w:color w:val="2E74B5"/>
          <w:sz w:val="21"/>
        </w:rPr>
        <w:t xml:space="preserve">唯一事实来源  </w:t>
      </w:r>
      <w:r>
        <w:rPr>
          <w:rFonts w:ascii="Calibri" w:hAnsi="Calibri" w:eastAsia="Arial Unicode MS"/>
          <w:color w:val="1F2937"/>
          <w:sz w:val="21"/>
        </w:rPr>
        <w:t>新系统保存正式项目状态与过程证据；财务系统保存会计与交易事实；NAS 保存验收后的长期归档副本；飞书负责沟通、提醒和进入系统的入口。</w:t>
      </w:r>
    </w:p>
    <w:p>
      <w:pPr>
        <w:pStyle w:val="Heading2"/>
        <w:keepNext w:val="1"/>
      </w:pPr>
      <w:r>
        <w:t>1.2 建设目标</w:t>
      </w:r>
    </w:p>
    <w:p>
      <w:pPr>
        <w:numPr>
          <w:ilvl w:val="0"/>
          <w:numId w:val="10"/>
        </w:numPr>
        <w:spacing w:after="160" w:line="280" w:lineRule="auto"/>
      </w:pPr>
      <w:r>
        <w:rPr>
          <w:rFonts w:ascii="Calibri" w:hAnsi="Calibri" w:eastAsia="Arial Unicode MS"/>
          <w:color w:val="1F2937"/>
          <w:sz w:val="22"/>
        </w:rPr>
        <w:t>贯通商机、商务、交付、验收、维护，消除重复建档和信息断点；</w:t>
      </w:r>
    </w:p>
    <w:p>
      <w:pPr>
        <w:numPr>
          <w:ilvl w:val="0"/>
          <w:numId w:val="10"/>
        </w:numPr>
        <w:spacing w:after="160" w:line="280" w:lineRule="auto"/>
      </w:pPr>
      <w:r>
        <w:rPr>
          <w:rFonts w:ascii="Calibri" w:hAnsi="Calibri" w:eastAsia="Arial Unicode MS"/>
          <w:color w:val="1F2937"/>
          <w:sz w:val="22"/>
        </w:rPr>
        <w:t>以阶段门、计划基线、资源承诺和成果证据约束无痕开工与口头关闭；</w:t>
      </w:r>
    </w:p>
    <w:p>
      <w:pPr>
        <w:numPr>
          <w:ilvl w:val="0"/>
          <w:numId w:val="10"/>
        </w:numPr>
        <w:spacing w:after="160" w:line="280" w:lineRule="auto"/>
      </w:pPr>
      <w:r>
        <w:rPr>
          <w:rFonts w:ascii="Calibri" w:hAnsi="Calibri" w:eastAsia="Arial Unicode MS"/>
          <w:color w:val="1F2937"/>
          <w:sz w:val="22"/>
        </w:rPr>
        <w:t>让项目经理、部门负责人和管理层看到同一计划、同一资源负荷、同一有效版本与同一经营口径；</w:t>
      </w:r>
    </w:p>
    <w:p>
      <w:pPr>
        <w:numPr>
          <w:ilvl w:val="0"/>
          <w:numId w:val="10"/>
        </w:numPr>
        <w:spacing w:after="160" w:line="280" w:lineRule="auto"/>
      </w:pPr>
      <w:r>
        <w:rPr>
          <w:rFonts w:ascii="Calibri" w:hAnsi="Calibri" w:eastAsia="Arial Unicode MS"/>
          <w:color w:val="1F2937"/>
          <w:sz w:val="22"/>
        </w:rPr>
        <w:t>让日报、周报、台账、看板和绩效证据主要由业务过程自动生成；</w:t>
      </w:r>
    </w:p>
    <w:p>
      <w:pPr>
        <w:numPr>
          <w:ilvl w:val="0"/>
          <w:numId w:val="10"/>
        </w:numPr>
        <w:spacing w:after="160" w:line="280" w:lineRule="auto"/>
      </w:pPr>
      <w:r>
        <w:rPr>
          <w:rFonts w:ascii="Calibri" w:hAnsi="Calibri" w:eastAsia="Arial Unicode MS"/>
          <w:color w:val="1F2937"/>
          <w:sz w:val="22"/>
        </w:rPr>
        <w:t>形成可配置的统一主干，支持标准复用、配置迭代、非标定制和首台套/特殊项目采用不同执行深度。</w:t>
      </w:r>
    </w:p>
    <w:p>
      <w:pPr>
        <w:pStyle w:val="Heading2"/>
        <w:keepNext w:val="1"/>
      </w:pPr>
      <w:r>
        <w:t>1.3 建设原则</w:t>
      </w:r>
    </w:p>
    <w:tbl>
      <w:tblPr>
        <w:tblW w:type="dxa" w:w="9360"/>
        <w:jc w:val="left"/>
        <w:tblLayout w:type="fixed"/>
        <w:tblLook w:firstColumn="1" w:firstRow="1" w:lastColumn="0" w:lastRow="0" w:noHBand="0" w:noVBand="1" w:val="04A0"/>
        <w:tblInd w:w="120" w:type="dxa"/>
        <w:tblBorders>
          <w:top w:val="single" w:sz="4" w:color="D7DEE8"/>
          <w:left w:val="single" w:sz="4" w:color="D7DEE8"/>
          <w:bottom w:val="single" w:sz="4" w:color="D7DEE8"/>
          <w:right w:val="single" w:sz="4" w:color="D7DEE8"/>
          <w:insideH w:val="single" w:sz="4" w:color="D7DEE8"/>
          <w:insideV w:val="single" w:sz="4" w:color="D7DEE8"/>
        </w:tblBorders>
      </w:tblPr>
      <w:tblGrid>
        <w:gridCol w:w="1700"/>
        <w:gridCol w:w="7660"/>
      </w:tblGrid>
      <w:tr>
        <w:trPr>
          <w:tblHeader w:val="true"/>
          <w:cantSplit w:val="true"/>
        </w:trPr>
        <w:tc>
          <w:tcPr>
            <w:tcW w:type="dxa" w:w="1700"/>
            <w:vAlign w:val="center"/>
            <w:tcMar>
              <w:top w:w="80" w:type="dxa"/>
              <w:start w:w="120" w:type="dxa"/>
              <w:bottom w:w="80" w:type="dxa"/>
              <w:end w:w="120" w:type="dxa"/>
            </w:tcMar>
            <w:shd w:fill="EEF4FF"/>
          </w:tcPr>
          <w:p>
            <w:pPr>
              <w:spacing w:before="0" w:after="40" w:line="259" w:lineRule="auto"/>
              <w:jc w:val="center"/>
              <w:keepNext w:val="1"/>
            </w:pPr>
            <w:r>
              <w:rPr>
                <w:rFonts w:ascii="Calibri" w:hAnsi="Calibri" w:eastAsia="Arial Unicode MS"/>
                <w:b/>
                <w:color w:val="0B2545"/>
                <w:sz w:val="18"/>
              </w:rPr>
              <w:t>原则</w:t>
            </w:r>
          </w:p>
        </w:tc>
        <w:tc>
          <w:tcPr>
            <w:tcW w:type="dxa" w:w="7660"/>
            <w:vAlign w:val="center"/>
            <w:tcMar>
              <w:top w:w="80" w:type="dxa"/>
              <w:start w:w="120" w:type="dxa"/>
              <w:bottom w:w="80" w:type="dxa"/>
              <w:end w:w="120" w:type="dxa"/>
            </w:tcMar>
            <w:shd w:fill="EEF4FF"/>
          </w:tcPr>
          <w:p>
            <w:pPr>
              <w:spacing w:before="0" w:after="40" w:line="259" w:lineRule="auto"/>
              <w:keepNext w:val="1"/>
            </w:pPr>
            <w:r>
              <w:rPr>
                <w:rFonts w:ascii="Calibri" w:hAnsi="Calibri" w:eastAsia="Arial Unicode MS"/>
                <w:b/>
                <w:color w:val="0B2545"/>
                <w:sz w:val="18"/>
              </w:rPr>
              <w:t>建设要求</w:t>
            </w:r>
          </w:p>
        </w:tc>
      </w:tr>
      <w:tr>
        <w:trPr>
          <w:cantSplit w:val="true"/>
        </w:trPr>
        <w:tc>
          <w:tcPr>
            <w:tcW w:type="dxa" w:w="1700"/>
            <w:vAlign w:val="center"/>
            <w:tcMar>
              <w:top w:w="80" w:type="dxa"/>
              <w:start w:w="120" w:type="dxa"/>
              <w:bottom w:w="80" w:type="dxa"/>
              <w:end w:w="120" w:type="dxa"/>
            </w:tcMar>
          </w:tcPr>
          <w:p>
            <w:pPr>
              <w:spacing w:before="0" w:after="40" w:line="259" w:lineRule="auto"/>
              <w:jc w:val="center"/>
              <w:keepNext w:val="1"/>
            </w:pPr>
            <w:r>
              <w:rPr>
                <w:rFonts w:ascii="Calibri" w:hAnsi="Calibri" w:eastAsia="Arial Unicode MS"/>
                <w:b/>
                <w:color w:val="1F2937"/>
                <w:sz w:val="18"/>
              </w:rPr>
              <w:t>业务先于页面</w:t>
            </w:r>
          </w:p>
        </w:tc>
        <w:tc>
          <w:tcPr>
            <w:tcW w:type="dxa" w:w="7660"/>
            <w:vAlign w:val="center"/>
            <w:tcMar>
              <w:top w:w="80" w:type="dxa"/>
              <w:start w:w="120" w:type="dxa"/>
              <w:bottom w:w="80" w:type="dxa"/>
              <w:end w:w="120" w:type="dxa"/>
            </w:tcMar>
          </w:tcPr>
          <w:p>
            <w:pPr>
              <w:spacing w:before="0" w:after="40" w:line="259" w:lineRule="auto"/>
              <w:keepNext w:val="1"/>
            </w:pPr>
            <w:r>
              <w:rPr>
                <w:rFonts w:ascii="Calibri" w:hAnsi="Calibri" w:eastAsia="Arial Unicode MS"/>
                <w:b w:val="0"/>
                <w:color w:val="1F2937"/>
                <w:sz w:val="18"/>
              </w:rPr>
              <w:t>先确认对象、流程、责任、证据和边界，再进入页面与字段设计。</w:t>
            </w:r>
          </w:p>
        </w:tc>
      </w:tr>
      <w:tr>
        <w:trPr>
          <w:cantSplit w:val="true"/>
        </w:trPr>
        <w:tc>
          <w:tcPr>
            <w:tcW w:type="dxa" w:w="1700"/>
            <w:vAlign w:val="center"/>
            <w:tcMar>
              <w:top w:w="80" w:type="dxa"/>
              <w:start w:w="120" w:type="dxa"/>
              <w:bottom w:w="80" w:type="dxa"/>
              <w:end w:w="120" w:type="dxa"/>
            </w:tcMar>
            <w:shd w:fill="F8FAFC"/>
          </w:tcPr>
          <w:p>
            <w:pPr>
              <w:spacing w:before="0" w:after="40" w:line="259" w:lineRule="auto"/>
              <w:jc w:val="center"/>
              <w:keepNext w:val="1"/>
            </w:pPr>
            <w:r>
              <w:rPr>
                <w:rFonts w:ascii="Calibri" w:hAnsi="Calibri" w:eastAsia="Arial Unicode MS"/>
                <w:b/>
                <w:color w:val="1F2937"/>
                <w:sz w:val="18"/>
              </w:rPr>
              <w:t>控制点不丢失</w:t>
            </w:r>
          </w:p>
        </w:tc>
        <w:tc>
          <w:tcPr>
            <w:tcW w:type="dxa" w:w="7660"/>
            <w:vAlign w:val="center"/>
            <w:tcMar>
              <w:top w:w="80" w:type="dxa"/>
              <w:start w:w="120" w:type="dxa"/>
              <w:bottom w:w="80" w:type="dxa"/>
              <w:end w:w="120" w:type="dxa"/>
            </w:tcMar>
            <w:shd w:fill="F8FAFC"/>
          </w:tcPr>
          <w:p>
            <w:pPr>
              <w:spacing w:before="0" w:after="40" w:line="259" w:lineRule="auto"/>
              <w:keepNext w:val="1"/>
            </w:pPr>
            <w:r>
              <w:rPr>
                <w:rFonts w:ascii="Calibri" w:hAnsi="Calibri" w:eastAsia="Arial Unicode MS"/>
                <w:b w:val="0"/>
                <w:color w:val="1F2937"/>
                <w:sz w:val="18"/>
              </w:rPr>
              <w:t>归并系统入口和公共能力，但审批、阶段门、安全、付款和独立成果证据不得被合并掉。</w:t>
            </w:r>
          </w:p>
        </w:tc>
      </w:tr>
      <w:tr>
        <w:trPr>
          <w:cantSplit w:val="true"/>
        </w:trPr>
        <w:tc>
          <w:tcPr>
            <w:tcW w:type="dxa" w:w="1700"/>
            <w:vAlign w:val="center"/>
            <w:tcMar>
              <w:top w:w="80" w:type="dxa"/>
              <w:start w:w="120" w:type="dxa"/>
              <w:bottom w:w="80" w:type="dxa"/>
              <w:end w:w="120" w:type="dxa"/>
            </w:tcMar>
          </w:tcPr>
          <w:p>
            <w:pPr>
              <w:spacing w:before="0" w:after="40" w:line="259" w:lineRule="auto"/>
              <w:jc w:val="center"/>
              <w:keepNext w:val="1"/>
            </w:pPr>
            <w:r>
              <w:rPr>
                <w:rFonts w:ascii="Calibri" w:hAnsi="Calibri" w:eastAsia="Arial Unicode MS"/>
                <w:b/>
                <w:color w:val="1F2937"/>
                <w:sz w:val="18"/>
              </w:rPr>
              <w:t>配置优于复制</w:t>
            </w:r>
          </w:p>
        </w:tc>
        <w:tc>
          <w:tcPr>
            <w:tcW w:type="dxa" w:w="7660"/>
            <w:vAlign w:val="center"/>
            <w:tcMar>
              <w:top w:w="80" w:type="dxa"/>
              <w:start w:w="120" w:type="dxa"/>
              <w:bottom w:w="80" w:type="dxa"/>
              <w:end w:w="120" w:type="dxa"/>
            </w:tcMar>
          </w:tcPr>
          <w:p>
            <w:pPr>
              <w:spacing w:before="0" w:after="40" w:line="259" w:lineRule="auto"/>
              <w:keepNext w:val="1"/>
            </w:pPr>
            <w:r>
              <w:rPr>
                <w:rFonts w:ascii="Calibri" w:hAnsi="Calibri" w:eastAsia="Arial Unicode MS"/>
                <w:b w:val="0"/>
                <w:color w:val="1F2937"/>
                <w:sz w:val="18"/>
              </w:rPr>
              <w:t>相同流程由模板实例化，项目类型只改变深度、工作包和审批等级。</w:t>
            </w:r>
          </w:p>
        </w:tc>
      </w:tr>
      <w:tr>
        <w:trPr>
          <w:cantSplit w:val="true"/>
        </w:trPr>
        <w:tc>
          <w:tcPr>
            <w:tcW w:type="dxa" w:w="1700"/>
            <w:vAlign w:val="center"/>
            <w:tcMar>
              <w:top w:w="80" w:type="dxa"/>
              <w:start w:w="120" w:type="dxa"/>
              <w:bottom w:w="80" w:type="dxa"/>
              <w:end w:w="120" w:type="dxa"/>
            </w:tcMar>
            <w:shd w:fill="F8FAFC"/>
          </w:tcPr>
          <w:p>
            <w:pPr>
              <w:spacing w:before="0" w:after="40" w:line="259" w:lineRule="auto"/>
              <w:jc w:val="center"/>
              <w:keepNext w:val="1"/>
            </w:pPr>
            <w:r>
              <w:rPr>
                <w:rFonts w:ascii="Calibri" w:hAnsi="Calibri" w:eastAsia="Arial Unicode MS"/>
                <w:b/>
                <w:color w:val="1F2937"/>
                <w:sz w:val="18"/>
              </w:rPr>
              <w:t>过程即数据</w:t>
            </w:r>
          </w:p>
        </w:tc>
        <w:tc>
          <w:tcPr>
            <w:tcW w:type="dxa" w:w="7660"/>
            <w:vAlign w:val="center"/>
            <w:tcMar>
              <w:top w:w="80" w:type="dxa"/>
              <w:start w:w="120" w:type="dxa"/>
              <w:bottom w:w="80" w:type="dxa"/>
              <w:end w:w="120" w:type="dxa"/>
            </w:tcMar>
            <w:shd w:fill="F8FAFC"/>
          </w:tcPr>
          <w:p>
            <w:pPr>
              <w:spacing w:before="0" w:after="40" w:line="259" w:lineRule="auto"/>
              <w:keepNext w:val="1"/>
            </w:pPr>
            <w:r>
              <w:rPr>
                <w:rFonts w:ascii="Calibri" w:hAnsi="Calibri" w:eastAsia="Arial Unicode MS"/>
                <w:b w:val="0"/>
                <w:color w:val="1F2937"/>
                <w:sz w:val="18"/>
              </w:rPr>
              <w:t>执行事实向上汇总，避免任务、报告、台账和看板各自维护一套数据。</w:t>
            </w:r>
          </w:p>
        </w:tc>
      </w:tr>
      <w:tr>
        <w:trPr>
          <w:cantSplit w:val="true"/>
        </w:trPr>
        <w:tc>
          <w:tcPr>
            <w:tcW w:type="dxa" w:w="1700"/>
            <w:vAlign w:val="center"/>
            <w:tcMar>
              <w:top w:w="80" w:type="dxa"/>
              <w:start w:w="120" w:type="dxa"/>
              <w:bottom w:w="80" w:type="dxa"/>
              <w:end w:w="120" w:type="dxa"/>
            </w:tcMar>
          </w:tcPr>
          <w:p>
            <w:pPr>
              <w:spacing w:before="0" w:after="40" w:line="259" w:lineRule="auto"/>
              <w:jc w:val="center"/>
              <w:keepNext w:val="1"/>
            </w:pPr>
            <w:r>
              <w:rPr>
                <w:rFonts w:ascii="Calibri" w:hAnsi="Calibri" w:eastAsia="Arial Unicode MS"/>
                <w:b/>
                <w:color w:val="1F2937"/>
                <w:sz w:val="18"/>
              </w:rPr>
              <w:t>例外可控</w:t>
            </w:r>
          </w:p>
        </w:tc>
        <w:tc>
          <w:tcPr>
            <w:tcW w:type="dxa" w:w="7660"/>
            <w:vAlign w:val="center"/>
            <w:tcMar>
              <w:top w:w="80" w:type="dxa"/>
              <w:start w:w="120" w:type="dxa"/>
              <w:bottom w:w="80" w:type="dxa"/>
              <w:end w:w="120" w:type="dxa"/>
            </w:tcMar>
          </w:tcPr>
          <w:p>
            <w:pPr>
              <w:spacing w:before="0" w:after="40" w:line="259" w:lineRule="auto"/>
              <w:keepNext w:val="1"/>
            </w:pPr>
            <w:r>
              <w:rPr>
                <w:rFonts w:ascii="Calibri" w:hAnsi="Calibri" w:eastAsia="Arial Unicode MS"/>
                <w:b w:val="0"/>
                <w:color w:val="1F2937"/>
                <w:sz w:val="18"/>
              </w:rPr>
              <w:t>提前开工、紧急变更和安全止损允许存在，但必须限范围、限预算、限期限并可审计。</w:t>
            </w:r>
          </w:p>
        </w:tc>
      </w:tr>
      <w:tr>
        <w:trPr>
          <w:cantSplit w:val="true"/>
        </w:trPr>
        <w:tc>
          <w:tcPr>
            <w:tcW w:type="dxa" w:w="1700"/>
            <w:vAlign w:val="center"/>
            <w:tcMar>
              <w:top w:w="80" w:type="dxa"/>
              <w:start w:w="120" w:type="dxa"/>
              <w:bottom w:w="80" w:type="dxa"/>
              <w:end w:w="120" w:type="dxa"/>
            </w:tcMar>
            <w:shd w:fill="F8FAFC"/>
          </w:tcPr>
          <w:p>
            <w:pPr>
              <w:spacing w:before="0" w:after="40" w:line="259" w:lineRule="auto"/>
              <w:jc w:val="center"/>
            </w:pPr>
            <w:r>
              <w:rPr>
                <w:rFonts w:ascii="Calibri" w:hAnsi="Calibri" w:eastAsia="Arial Unicode MS"/>
                <w:b/>
                <w:color w:val="1F2937"/>
                <w:sz w:val="18"/>
              </w:rPr>
              <w:t>试点校准</w:t>
            </w:r>
          </w:p>
        </w:tc>
        <w:tc>
          <w:tcPr>
            <w:tcW w:type="dxa" w:w="766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8"/>
              </w:rPr>
              <w:t>阈值、时限和改善比例先采集现状基线，再在试点中固化。</w:t>
            </w:r>
          </w:p>
        </w:tc>
      </w:tr>
    </w:tbl>
    <w:p>
      <w:pPr>
        <w:spacing w:after="40"/>
      </w:pPr>
    </w:p>
    <w:p>
      <w:pPr>
        <w:pStyle w:val="Heading1"/>
        <w:keepNext w:val="1"/>
      </w:pPr>
      <w:r>
        <w:t>二、总体建设蓝图</w:t>
      </w:r>
    </w:p>
    <w:p>
      <w:pPr>
        <w:spacing w:before="80" w:after="40"/>
        <w:jc w:val="center"/>
        <w:keepLines w:val="1"/>
      </w:pPr>
      <w:r>
        <w:drawing>
          <wp:inline xmlns:a="http://schemas.openxmlformats.org/drawingml/2006/main" xmlns:pic="http://schemas.openxmlformats.org/drawingml/2006/picture">
            <wp:extent cx="5897880" cy="3563302"/>
            <wp:docPr id="2" name="Picture 2" descr="一条项目主线、六个业务域和共享能力底座构成的总体建设蓝图" title="一条项目主线、六个业务域和共享能力底座构成的总体建设蓝图"/>
            <wp:cNvGraphicFramePr>
              <a:graphicFrameLocks noChangeAspect="1"/>
            </wp:cNvGraphicFramePr>
            <a:graphic>
              <a:graphicData uri="http://schemas.openxmlformats.org/drawingml/2006/picture">
                <pic:pic>
                  <pic:nvPicPr>
                    <pic:cNvPr id="0" name="fig01_overall_blueprint.png"/>
                    <pic:cNvPicPr/>
                  </pic:nvPicPr>
                  <pic:blipFill>
                    <a:blip r:embed="rId14"/>
                    <a:stretch>
                      <a:fillRect/>
                    </a:stretch>
                  </pic:blipFill>
                  <pic:spPr>
                    <a:xfrm>
                      <a:off x="0" y="0"/>
                      <a:ext cx="5897880" cy="3563302"/>
                    </a:xfrm>
                    <a:prstGeom prst="rect"/>
                  </pic:spPr>
                </pic:pic>
              </a:graphicData>
            </a:graphic>
          </wp:inline>
        </w:drawing>
      </w:r>
    </w:p>
    <w:p>
      <w:pPr>
        <w:pStyle w:val="Caption"/>
        <w:spacing w:before="80" w:after="180"/>
        <w:jc w:val="center"/>
        <w:keepNext w:val="0"/>
      </w:pPr>
      <w:r>
        <w:rPr>
          <w:rFonts w:ascii="Calibri" w:hAnsi="Calibri" w:eastAsia="Arial Unicode MS"/>
          <w:i/>
          <w:color w:val="64748B"/>
          <w:sz w:val="18"/>
        </w:rPr>
        <w:t>图 1  总体建设蓝图</w:t>
      </w:r>
    </w:p>
    <w:p>
      <w:pPr/>
      <w:r>
        <w:rPr>
          <w:rFonts w:ascii="Calibri" w:hAnsi="Calibri" w:eastAsia="Arial Unicode MS"/>
          <w:i w:val="0"/>
          <w:color w:val="1F2937"/>
          <w:sz w:val="22"/>
        </w:rPr>
        <w:t>总体架构由业务主线、六个业务域和共享能力底座组成。26 个系统单元是建设与验收的范围单元，不直接等同于 26 个菜单或 26 个独立模块；其落地可能是一条流程、一个主档、一套工作包模板或一项公共能力。</w:t>
      </w:r>
    </w:p>
    <w:p>
      <w:pPr>
        <w:pStyle w:val="Heading2"/>
        <w:keepNext w:val="1"/>
      </w:pPr>
      <w:r>
        <w:t>2.1 项目对象主线</w:t>
      </w:r>
    </w:p>
    <w:tbl>
      <w:tblPr>
        <w:tblW w:type="dxa" w:w="9360"/>
        <w:jc w:val="left"/>
        <w:tblLayout w:type="fixed"/>
        <w:tblLook w:firstColumn="1" w:firstRow="1" w:lastColumn="0" w:lastRow="0" w:noHBand="0" w:noVBand="1" w:val="04A0"/>
        <w:tblInd w:w="120" w:type="dxa"/>
        <w:tblBorders>
          <w:top w:val="single" w:sz="4" w:color="D7DEE8"/>
          <w:left w:val="single" w:sz="4" w:color="D7DEE8"/>
          <w:bottom w:val="single" w:sz="4" w:color="D7DEE8"/>
          <w:right w:val="single" w:sz="4" w:color="D7DEE8"/>
          <w:insideH w:val="single" w:sz="4" w:color="D7DEE8"/>
          <w:insideV w:val="single" w:sz="4" w:color="D7DEE8"/>
        </w:tblBorders>
      </w:tblPr>
      <w:tblGrid>
        <w:gridCol w:w="1450"/>
        <w:gridCol w:w="3600"/>
        <w:gridCol w:w="4310"/>
      </w:tblGrid>
      <w:tr>
        <w:trPr>
          <w:tblHeader w:val="true"/>
          <w:cantSplit w:val="true"/>
        </w:trPr>
        <w:tc>
          <w:tcPr>
            <w:tcW w:type="dxa" w:w="1450"/>
            <w:vAlign w:val="center"/>
            <w:tcMar>
              <w:top w:w="80" w:type="dxa"/>
              <w:start w:w="120" w:type="dxa"/>
              <w:bottom w:w="80" w:type="dxa"/>
              <w:end w:w="120" w:type="dxa"/>
            </w:tcMar>
            <w:shd w:fill="EEF9F4"/>
          </w:tcPr>
          <w:p>
            <w:pPr>
              <w:spacing w:before="0" w:after="40" w:line="259" w:lineRule="auto"/>
              <w:jc w:val="center"/>
              <w:keepNext w:val="1"/>
            </w:pPr>
            <w:r>
              <w:rPr>
                <w:rFonts w:ascii="Calibri" w:hAnsi="Calibri" w:eastAsia="Arial Unicode MS"/>
                <w:b/>
                <w:color w:val="0B2545"/>
                <w:sz w:val="18"/>
              </w:rPr>
              <w:t>对象</w:t>
            </w:r>
          </w:p>
        </w:tc>
        <w:tc>
          <w:tcPr>
            <w:tcW w:type="dxa" w:w="3600"/>
            <w:vAlign w:val="center"/>
            <w:tcMar>
              <w:top w:w="80" w:type="dxa"/>
              <w:start w:w="120" w:type="dxa"/>
              <w:bottom w:w="80" w:type="dxa"/>
              <w:end w:w="120" w:type="dxa"/>
            </w:tcMar>
            <w:shd w:fill="EEF9F4"/>
          </w:tcPr>
          <w:p>
            <w:pPr>
              <w:spacing w:before="0" w:after="40" w:line="259" w:lineRule="auto"/>
              <w:keepNext w:val="1"/>
            </w:pPr>
            <w:r>
              <w:rPr>
                <w:rFonts w:ascii="Calibri" w:hAnsi="Calibri" w:eastAsia="Arial Unicode MS"/>
                <w:b/>
                <w:color w:val="0B2545"/>
                <w:sz w:val="18"/>
              </w:rPr>
              <w:t>管理作用</w:t>
            </w:r>
          </w:p>
        </w:tc>
        <w:tc>
          <w:tcPr>
            <w:tcW w:type="dxa" w:w="4310"/>
            <w:vAlign w:val="center"/>
            <w:tcMar>
              <w:top w:w="80" w:type="dxa"/>
              <w:start w:w="120" w:type="dxa"/>
              <w:bottom w:w="80" w:type="dxa"/>
              <w:end w:w="120" w:type="dxa"/>
            </w:tcMar>
            <w:shd w:fill="EEF9F4"/>
          </w:tcPr>
          <w:p>
            <w:pPr>
              <w:spacing w:before="0" w:after="40" w:line="259" w:lineRule="auto"/>
              <w:keepNext w:val="1"/>
            </w:pPr>
            <w:r>
              <w:rPr>
                <w:rFonts w:ascii="Calibri" w:hAnsi="Calibri" w:eastAsia="Arial Unicode MS"/>
                <w:b/>
                <w:color w:val="0B2545"/>
                <w:sz w:val="18"/>
              </w:rPr>
              <w:t>建设边界</w:t>
            </w:r>
          </w:p>
        </w:tc>
      </w:tr>
      <w:tr>
        <w:trPr>
          <w:cantSplit w:val="true"/>
        </w:trPr>
        <w:tc>
          <w:tcPr>
            <w:tcW w:type="dxa" w:w="1450"/>
            <w:vAlign w:val="center"/>
            <w:tcMar>
              <w:top w:w="80" w:type="dxa"/>
              <w:start w:w="120" w:type="dxa"/>
              <w:bottom w:w="80" w:type="dxa"/>
              <w:end w:w="120" w:type="dxa"/>
            </w:tcMar>
          </w:tcPr>
          <w:p>
            <w:pPr>
              <w:spacing w:before="0" w:after="40" w:line="259" w:lineRule="auto"/>
              <w:jc w:val="center"/>
              <w:keepNext w:val="1"/>
            </w:pPr>
            <w:r>
              <w:rPr>
                <w:rFonts w:ascii="Calibri" w:hAnsi="Calibri" w:eastAsia="Arial Unicode MS"/>
                <w:b/>
                <w:color w:val="1F2937"/>
                <w:sz w:val="18"/>
              </w:rPr>
              <w:t>商机主档</w:t>
            </w:r>
          </w:p>
        </w:tc>
        <w:tc>
          <w:tcPr>
            <w:tcW w:type="dxa" w:w="3600"/>
            <w:vAlign w:val="center"/>
            <w:tcMar>
              <w:top w:w="80" w:type="dxa"/>
              <w:start w:w="120" w:type="dxa"/>
              <w:bottom w:w="80" w:type="dxa"/>
              <w:end w:w="120" w:type="dxa"/>
            </w:tcMar>
          </w:tcPr>
          <w:p>
            <w:pPr>
              <w:spacing w:before="0" w:after="40" w:line="259" w:lineRule="auto"/>
              <w:keepNext w:val="1"/>
            </w:pPr>
            <w:r>
              <w:rPr>
                <w:rFonts w:ascii="Calibri" w:hAnsi="Calibri" w:eastAsia="Arial Unicode MS"/>
                <w:b w:val="0"/>
                <w:color w:val="1F2937"/>
                <w:sz w:val="18"/>
              </w:rPr>
              <w:t>记录全部 A-D 商机、售前活动、投入与输赢原因</w:t>
            </w:r>
          </w:p>
        </w:tc>
        <w:tc>
          <w:tcPr>
            <w:tcW w:type="dxa" w:w="4310"/>
            <w:vAlign w:val="center"/>
            <w:tcMar>
              <w:top w:w="80" w:type="dxa"/>
              <w:start w:w="120" w:type="dxa"/>
              <w:bottom w:w="80" w:type="dxa"/>
              <w:end w:w="120" w:type="dxa"/>
            </w:tcMar>
          </w:tcPr>
          <w:p>
            <w:pPr>
              <w:spacing w:before="0" w:after="40" w:line="259" w:lineRule="auto"/>
              <w:keepNext w:val="1"/>
            </w:pPr>
            <w:r>
              <w:rPr>
                <w:rFonts w:ascii="Calibri" w:hAnsi="Calibri" w:eastAsia="Arial Unicode MS"/>
                <w:b w:val="0"/>
                <w:color w:val="1F2937"/>
                <w:sz w:val="18"/>
              </w:rPr>
              <w:t>未签约也保留过程与关闭结论</w:t>
            </w:r>
          </w:p>
        </w:tc>
      </w:tr>
      <w:tr>
        <w:trPr>
          <w:cantSplit w:val="true"/>
        </w:trPr>
        <w:tc>
          <w:tcPr>
            <w:tcW w:type="dxa" w:w="1450"/>
            <w:vAlign w:val="center"/>
            <w:tcMar>
              <w:top w:w="80" w:type="dxa"/>
              <w:start w:w="120" w:type="dxa"/>
              <w:bottom w:w="80" w:type="dxa"/>
              <w:end w:w="120" w:type="dxa"/>
            </w:tcMar>
            <w:shd w:fill="F8FAFC"/>
          </w:tcPr>
          <w:p>
            <w:pPr>
              <w:spacing w:before="0" w:after="40" w:line="259" w:lineRule="auto"/>
              <w:jc w:val="center"/>
              <w:keepNext w:val="1"/>
            </w:pPr>
            <w:r>
              <w:rPr>
                <w:rFonts w:ascii="Calibri" w:hAnsi="Calibri" w:eastAsia="Arial Unicode MS"/>
                <w:b/>
                <w:color w:val="1F2937"/>
                <w:sz w:val="18"/>
              </w:rPr>
              <w:t>主合同</w:t>
            </w:r>
          </w:p>
        </w:tc>
        <w:tc>
          <w:tcPr>
            <w:tcW w:type="dxa" w:w="3600"/>
            <w:vAlign w:val="center"/>
            <w:tcMar>
              <w:top w:w="80" w:type="dxa"/>
              <w:start w:w="120" w:type="dxa"/>
              <w:bottom w:w="80" w:type="dxa"/>
              <w:end w:w="120" w:type="dxa"/>
            </w:tcMar>
            <w:shd w:fill="F8FAFC"/>
          </w:tcPr>
          <w:p>
            <w:pPr>
              <w:spacing w:before="0" w:after="40" w:line="259" w:lineRule="auto"/>
              <w:keepNext w:val="1"/>
            </w:pPr>
            <w:r>
              <w:rPr>
                <w:rFonts w:ascii="Calibri" w:hAnsi="Calibri" w:eastAsia="Arial Unicode MS"/>
                <w:b w:val="0"/>
                <w:color w:val="1F2937"/>
                <w:sz w:val="18"/>
              </w:rPr>
              <w:t>汇总合同主体、金额、付款节点和经营目标</w:t>
            </w:r>
          </w:p>
        </w:tc>
        <w:tc>
          <w:tcPr>
            <w:tcW w:type="dxa" w:w="4310"/>
            <w:vAlign w:val="center"/>
            <w:tcMar>
              <w:top w:w="80" w:type="dxa"/>
              <w:start w:w="120" w:type="dxa"/>
              <w:bottom w:w="80" w:type="dxa"/>
              <w:end w:w="120" w:type="dxa"/>
            </w:tcMar>
            <w:shd w:fill="F8FAFC"/>
          </w:tcPr>
          <w:p>
            <w:pPr>
              <w:spacing w:before="0" w:after="40" w:line="259" w:lineRule="auto"/>
              <w:keepNext w:val="1"/>
            </w:pPr>
            <w:r>
              <w:rPr>
                <w:rFonts w:ascii="Calibri" w:hAnsi="Calibri" w:eastAsia="Arial Unicode MS"/>
                <w:b w:val="0"/>
                <w:color w:val="1F2937"/>
                <w:sz w:val="18"/>
              </w:rPr>
              <w:t>签约后沿用商机数据；补充协议关联原合同</w:t>
            </w:r>
          </w:p>
        </w:tc>
      </w:tr>
      <w:tr>
        <w:trPr>
          <w:cantSplit w:val="true"/>
        </w:trPr>
        <w:tc>
          <w:tcPr>
            <w:tcW w:type="dxa" w:w="1450"/>
            <w:vAlign w:val="center"/>
            <w:tcMar>
              <w:top w:w="80" w:type="dxa"/>
              <w:start w:w="120" w:type="dxa"/>
              <w:bottom w:w="80" w:type="dxa"/>
              <w:end w:w="120" w:type="dxa"/>
            </w:tcMar>
          </w:tcPr>
          <w:p>
            <w:pPr>
              <w:spacing w:before="0" w:after="40" w:line="259" w:lineRule="auto"/>
              <w:jc w:val="center"/>
              <w:keepNext w:val="1"/>
            </w:pPr>
            <w:r>
              <w:rPr>
                <w:rFonts w:ascii="Calibri" w:hAnsi="Calibri" w:eastAsia="Arial Unicode MS"/>
                <w:b/>
                <w:color w:val="1F2937"/>
                <w:sz w:val="18"/>
              </w:rPr>
              <w:t>交付单元</w:t>
            </w:r>
          </w:p>
        </w:tc>
        <w:tc>
          <w:tcPr>
            <w:tcW w:type="dxa" w:w="3600"/>
            <w:vAlign w:val="center"/>
            <w:tcMar>
              <w:top w:w="80" w:type="dxa"/>
              <w:start w:w="120" w:type="dxa"/>
              <w:bottom w:w="80" w:type="dxa"/>
              <w:end w:w="120" w:type="dxa"/>
            </w:tcMar>
          </w:tcPr>
          <w:p>
            <w:pPr>
              <w:spacing w:before="0" w:after="40" w:line="259" w:lineRule="auto"/>
              <w:keepNext w:val="1"/>
            </w:pPr>
            <w:r>
              <w:rPr>
                <w:rFonts w:ascii="Calibri" w:hAnsi="Calibri" w:eastAsia="Arial Unicode MS"/>
                <w:b w:val="0"/>
                <w:color w:val="1F2937"/>
                <w:sz w:val="18"/>
              </w:rPr>
              <w:t>按设备、现场或验收单元承载独立计划与交付</w:t>
            </w:r>
          </w:p>
        </w:tc>
        <w:tc>
          <w:tcPr>
            <w:tcW w:type="dxa" w:w="4310"/>
            <w:vAlign w:val="center"/>
            <w:tcMar>
              <w:top w:w="80" w:type="dxa"/>
              <w:start w:w="120" w:type="dxa"/>
              <w:bottom w:w="80" w:type="dxa"/>
              <w:end w:w="120" w:type="dxa"/>
            </w:tcMar>
          </w:tcPr>
          <w:p>
            <w:pPr>
              <w:spacing w:before="0" w:after="40" w:line="259" w:lineRule="auto"/>
              <w:keepNext w:val="1"/>
            </w:pPr>
            <w:r>
              <w:rPr>
                <w:rFonts w:ascii="Calibri" w:hAnsi="Calibri" w:eastAsia="Arial Unicode MS"/>
                <w:b w:val="0"/>
                <w:color w:val="1F2937"/>
                <w:sz w:val="18"/>
              </w:rPr>
              <w:t>单一范围自动生成默认单元；不设置“批次”对象</w:t>
            </w:r>
          </w:p>
        </w:tc>
      </w:tr>
      <w:tr>
        <w:trPr>
          <w:cantSplit w:val="true"/>
        </w:trPr>
        <w:tc>
          <w:tcPr>
            <w:tcW w:type="dxa" w:w="1450"/>
            <w:vAlign w:val="center"/>
            <w:tcMar>
              <w:top w:w="80" w:type="dxa"/>
              <w:start w:w="120" w:type="dxa"/>
              <w:bottom w:w="80" w:type="dxa"/>
              <w:end w:w="120" w:type="dxa"/>
            </w:tcMar>
            <w:shd w:fill="F8FAFC"/>
          </w:tcPr>
          <w:p>
            <w:pPr>
              <w:spacing w:before="0" w:after="40" w:line="259" w:lineRule="auto"/>
              <w:jc w:val="center"/>
              <w:keepNext w:val="1"/>
            </w:pPr>
            <w:r>
              <w:rPr>
                <w:rFonts w:ascii="Calibri" w:hAnsi="Calibri" w:eastAsia="Arial Unicode MS"/>
                <w:b/>
                <w:color w:val="1F2937"/>
                <w:sz w:val="18"/>
              </w:rPr>
              <w:t>专业工作包</w:t>
            </w:r>
          </w:p>
        </w:tc>
        <w:tc>
          <w:tcPr>
            <w:tcW w:type="dxa" w:w="3600"/>
            <w:vAlign w:val="center"/>
            <w:tcMar>
              <w:top w:w="80" w:type="dxa"/>
              <w:start w:w="120" w:type="dxa"/>
              <w:bottom w:w="80" w:type="dxa"/>
              <w:end w:w="120" w:type="dxa"/>
            </w:tcMar>
            <w:shd w:fill="F8FAFC"/>
          </w:tcPr>
          <w:p>
            <w:pPr>
              <w:spacing w:before="0" w:after="40" w:line="259" w:lineRule="auto"/>
              <w:keepNext w:val="1"/>
            </w:pPr>
            <w:r>
              <w:rPr>
                <w:rFonts w:ascii="Calibri" w:hAnsi="Calibri" w:eastAsia="Arial Unicode MS"/>
                <w:b w:val="0"/>
                <w:color w:val="1F2937"/>
                <w:sz w:val="18"/>
              </w:rPr>
              <w:t>承载机械、电气、采购、PLC、软件、算法、安装和 ECS</w:t>
            </w:r>
          </w:p>
        </w:tc>
        <w:tc>
          <w:tcPr>
            <w:tcW w:type="dxa" w:w="4310"/>
            <w:vAlign w:val="center"/>
            <w:tcMar>
              <w:top w:w="80" w:type="dxa"/>
              <w:start w:w="120" w:type="dxa"/>
              <w:bottom w:w="80" w:type="dxa"/>
              <w:end w:w="120" w:type="dxa"/>
            </w:tcMar>
            <w:shd w:fill="F8FAFC"/>
          </w:tcPr>
          <w:p>
            <w:pPr>
              <w:spacing w:before="0" w:after="40" w:line="259" w:lineRule="auto"/>
              <w:keepNext w:val="1"/>
            </w:pPr>
            <w:r>
              <w:rPr>
                <w:rFonts w:ascii="Calibri" w:hAnsi="Calibri" w:eastAsia="Arial Unicode MS"/>
                <w:b w:val="0"/>
                <w:color w:val="1F2937"/>
                <w:sz w:val="18"/>
              </w:rPr>
              <w:t>按项目模板和合同范围启用</w:t>
            </w:r>
          </w:p>
        </w:tc>
      </w:tr>
      <w:tr>
        <w:trPr>
          <w:cantSplit w:val="true"/>
        </w:trPr>
        <w:tc>
          <w:tcPr>
            <w:tcW w:type="dxa" w:w="1450"/>
            <w:vAlign w:val="center"/>
            <w:tcMar>
              <w:top w:w="80" w:type="dxa"/>
              <w:start w:w="120" w:type="dxa"/>
              <w:bottom w:w="80" w:type="dxa"/>
              <w:end w:w="120" w:type="dxa"/>
            </w:tcMar>
          </w:tcPr>
          <w:p>
            <w:pPr>
              <w:spacing w:before="0" w:after="40" w:line="259" w:lineRule="auto"/>
              <w:jc w:val="center"/>
            </w:pPr>
            <w:r>
              <w:rPr>
                <w:rFonts w:ascii="Calibri" w:hAnsi="Calibri" w:eastAsia="Arial Unicode MS"/>
                <w:b/>
                <w:color w:val="1F2937"/>
                <w:sz w:val="18"/>
              </w:rPr>
              <w:t>任务与成果</w:t>
            </w:r>
          </w:p>
        </w:tc>
        <w:tc>
          <w:tcPr>
            <w:tcW w:type="dxa" w:w="360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8"/>
              </w:rPr>
              <w:t>记录责任、期限、投入、成果、事项与验证</w:t>
            </w:r>
          </w:p>
        </w:tc>
        <w:tc>
          <w:tcPr>
            <w:tcW w:type="dxa" w:w="431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8"/>
              </w:rPr>
              <w:t>任务完成不等于成果批准</w:t>
            </w:r>
          </w:p>
        </w:tc>
      </w:tr>
    </w:tbl>
    <w:p>
      <w:pPr>
        <w:spacing w:after="40"/>
      </w:pPr>
    </w:p>
    <w:p>
      <w:pPr>
        <w:pStyle w:val="Heading2"/>
        <w:keepNext w:val="1"/>
      </w:pPr>
      <w:r>
        <w:t>2.2 从 100 项动作到 26 个系统单元</w:t>
      </w:r>
    </w:p>
    <w:p>
      <w:pPr>
        <w:spacing w:before="80" w:after="40"/>
        <w:jc w:val="center"/>
        <w:keepLines w:val="1"/>
      </w:pPr>
      <w:r>
        <w:drawing>
          <wp:inline xmlns:a="http://schemas.openxmlformats.org/drawingml/2006/main" xmlns:pic="http://schemas.openxmlformats.org/drawingml/2006/picture">
            <wp:extent cx="5897880" cy="3317558"/>
            <wp:docPr id="3" name="Picture 3" descr="100 项规定动作归并为 26 个系统单元和 6 个业务域，并保留完整证据链" title="100 项规定动作归并为 26 个系统单元和 6 个业务域，并保留完整证据链"/>
            <wp:cNvGraphicFramePr>
              <a:graphicFrameLocks noChangeAspect="1"/>
            </wp:cNvGraphicFramePr>
            <a:graphic>
              <a:graphicData uri="http://schemas.openxmlformats.org/drawingml/2006/picture">
                <pic:pic>
                  <pic:nvPicPr>
                    <pic:cNvPr id="0" name="fig02_merge_logic.png"/>
                    <pic:cNvPicPr/>
                  </pic:nvPicPr>
                  <pic:blipFill>
                    <a:blip r:embed="rId15"/>
                    <a:stretch>
                      <a:fillRect/>
                    </a:stretch>
                  </pic:blipFill>
                  <pic:spPr>
                    <a:xfrm>
                      <a:off x="0" y="0"/>
                      <a:ext cx="5897880" cy="3317558"/>
                    </a:xfrm>
                    <a:prstGeom prst="rect"/>
                  </pic:spPr>
                </pic:pic>
              </a:graphicData>
            </a:graphic>
          </wp:inline>
        </w:drawing>
      </w:r>
    </w:p>
    <w:p>
      <w:pPr>
        <w:pStyle w:val="Caption"/>
        <w:spacing w:before="80" w:after="180"/>
        <w:jc w:val="center"/>
        <w:keepNext w:val="0"/>
      </w:pPr>
      <w:r>
        <w:rPr>
          <w:rFonts w:ascii="Calibri" w:hAnsi="Calibri" w:eastAsia="Arial Unicode MS"/>
          <w:i/>
          <w:color w:val="64748B"/>
          <w:sz w:val="18"/>
        </w:rPr>
        <w:t>图 2  规定动作的系统归并逻辑</w:t>
      </w:r>
    </w:p>
    <w:p>
      <w:pPr/>
      <w:r>
        <w:rPr>
          <w:rFonts w:ascii="Calibri" w:hAnsi="Calibri" w:eastAsia="Arial Unicode MS"/>
          <w:i w:val="0"/>
          <w:color w:val="1F2937"/>
          <w:sz w:val="22"/>
        </w:rPr>
        <w:t>100 项动作与 100 项映射逐项一致，无缺失、无新增。系统建设必须保留“原动作编号—系统单元—系统节点/资料项—证据规则”的追溯链，确保上线验收能够反向证明每项管理要求已被覆盖。</w:t>
      </w:r>
    </w:p>
    <w:p>
      <w:pPr>
        <w:pStyle w:val="Heading2"/>
        <w:keepNext w:val="1"/>
      </w:pPr>
      <w:r>
        <w:t>2.3 业务生命周期与阶段门</w:t>
      </w:r>
    </w:p>
    <w:p>
      <w:pPr>
        <w:spacing w:before="80" w:after="40"/>
        <w:jc w:val="center"/>
        <w:keepLines w:val="1"/>
      </w:pPr>
      <w:r>
        <w:drawing>
          <wp:inline xmlns:a="http://schemas.openxmlformats.org/drawingml/2006/main" xmlns:pic="http://schemas.openxmlformats.org/drawingml/2006/picture">
            <wp:extent cx="5897880" cy="3563302"/>
            <wp:docPr id="4" name="Picture 4" descr="从商机与售前到维护与关闭的业务生命周期及 11 个控制门" title="从商机与售前到维护与关闭的业务生命周期及 11 个控制门"/>
            <wp:cNvGraphicFramePr>
              <a:graphicFrameLocks noChangeAspect="1"/>
            </wp:cNvGraphicFramePr>
            <a:graphic>
              <a:graphicData uri="http://schemas.openxmlformats.org/drawingml/2006/picture">
                <pic:pic>
                  <pic:nvPicPr>
                    <pic:cNvPr id="0" name="fig03_lifecycle.png"/>
                    <pic:cNvPicPr/>
                  </pic:nvPicPr>
                  <pic:blipFill>
                    <a:blip r:embed="rId16"/>
                    <a:stretch>
                      <a:fillRect/>
                    </a:stretch>
                  </pic:blipFill>
                  <pic:spPr>
                    <a:xfrm>
                      <a:off x="0" y="0"/>
                      <a:ext cx="5897880" cy="3563302"/>
                    </a:xfrm>
                    <a:prstGeom prst="rect"/>
                  </pic:spPr>
                </pic:pic>
              </a:graphicData>
            </a:graphic>
          </wp:inline>
        </w:drawing>
      </w:r>
    </w:p>
    <w:p>
      <w:pPr>
        <w:pStyle w:val="Caption"/>
        <w:spacing w:before="80" w:after="180"/>
        <w:jc w:val="center"/>
        <w:keepNext w:val="0"/>
      </w:pPr>
      <w:r>
        <w:rPr>
          <w:rFonts w:ascii="Calibri" w:hAnsi="Calibri" w:eastAsia="Arial Unicode MS"/>
          <w:i/>
          <w:color w:val="64748B"/>
          <w:sz w:val="18"/>
        </w:rPr>
        <w:t>图 3  业务生命周期与阶段门</w:t>
      </w:r>
    </w:p>
    <w:p>
      <w:pPr/>
      <w:r>
        <w:rPr>
          <w:rFonts w:ascii="Calibri" w:hAnsi="Calibri" w:eastAsia="Arial Unicode MS"/>
          <w:i w:val="0"/>
          <w:color w:val="1F2937"/>
          <w:sz w:val="22"/>
        </w:rPr>
        <w:t>阶段门控制“什么时候可以进入下一阶段、必须交付什么、谁审核、缺项如何处理”。DG-04 采用“设计基线与采购/开发放行”口径，表示当前批准版本可作为执行依据，并不等于后续永久禁止变更。</w:t>
      </w:r>
    </w:p>
    <w:p>
      <w:pPr>
        <w:pStyle w:val="Heading1"/>
        <w:keepNext w:val="1"/>
      </w:pPr>
      <w:r>
        <w:t>三、首期建设范围与深度</w:t>
      </w:r>
    </w:p>
    <w:p>
      <w:pPr>
        <w:pStyle w:val="Heading2"/>
        <w:keepNext w:val="1"/>
      </w:pPr>
      <w:r>
        <w:t>3.1 首期范围</w:t>
      </w:r>
    </w:p>
    <w:p>
      <w:pPr/>
      <w:r>
        <w:rPr>
          <w:rFonts w:ascii="Calibri" w:hAnsi="Calibri" w:eastAsia="Arial Unicode MS"/>
          <w:i w:val="0"/>
          <w:color w:val="1F2937"/>
          <w:sz w:val="22"/>
        </w:rPr>
        <w:t>首期总体纳入 26 个系统单元。归并映射中的“核心/基础”表示建设深度：核心单元必须形成端到端闭环，基础单元需达到可运行、可追溯、可扩展的最低深度，不得因标记为“基础”而从 MVP 范围消失。</w:t>
      </w:r>
    </w:p>
    <w:tbl>
      <w:tblPr>
        <w:tblW w:type="dxa" w:w="9360"/>
        <w:jc w:val="left"/>
        <w:tblLayout w:type="fixed"/>
        <w:tblLook w:firstColumn="1" w:firstRow="1" w:lastColumn="0" w:lastRow="0" w:noHBand="0" w:noVBand="1" w:val="04A0"/>
        <w:tblInd w:w="120" w:type="dxa"/>
        <w:tblBorders>
          <w:top w:val="single" w:sz="4" w:color="D7DEE8"/>
          <w:left w:val="single" w:sz="4" w:color="D7DEE8"/>
          <w:bottom w:val="single" w:sz="4" w:color="D7DEE8"/>
          <w:right w:val="single" w:sz="4" w:color="D7DEE8"/>
          <w:insideH w:val="single" w:sz="4" w:color="D7DEE8"/>
          <w:insideV w:val="single" w:sz="4" w:color="D7DEE8"/>
        </w:tblBorders>
      </w:tblPr>
      <w:tblGrid>
        <w:gridCol w:w="1500"/>
        <w:gridCol w:w="900"/>
        <w:gridCol w:w="3300"/>
        <w:gridCol w:w="3660"/>
      </w:tblGrid>
      <w:tr>
        <w:trPr>
          <w:tblHeader w:val="true"/>
          <w:cantSplit w:val="true"/>
        </w:trPr>
        <w:tc>
          <w:tcPr>
            <w:tcW w:type="dxa" w:w="1500"/>
            <w:vAlign w:val="center"/>
            <w:tcMar>
              <w:top w:w="80" w:type="dxa"/>
              <w:start w:w="120" w:type="dxa"/>
              <w:bottom w:w="80" w:type="dxa"/>
              <w:end w:w="120" w:type="dxa"/>
            </w:tcMar>
            <w:shd w:fill="EEF4FF"/>
          </w:tcPr>
          <w:p>
            <w:pPr>
              <w:spacing w:before="0" w:after="40" w:line="259" w:lineRule="auto"/>
              <w:jc w:val="center"/>
            </w:pPr>
            <w:r>
              <w:rPr>
                <w:rFonts w:ascii="Calibri" w:hAnsi="Calibri" w:eastAsia="Arial Unicode MS"/>
                <w:b/>
                <w:color w:val="0B2545"/>
                <w:sz w:val="18"/>
              </w:rPr>
              <w:t>层级</w:t>
            </w:r>
          </w:p>
        </w:tc>
        <w:tc>
          <w:tcPr>
            <w:tcW w:type="dxa" w:w="900"/>
            <w:vAlign w:val="center"/>
            <w:tcMar>
              <w:top w:w="80" w:type="dxa"/>
              <w:start w:w="120" w:type="dxa"/>
              <w:bottom w:w="80" w:type="dxa"/>
              <w:end w:w="120" w:type="dxa"/>
            </w:tcMar>
            <w:shd w:fill="EEF4FF"/>
          </w:tcPr>
          <w:p>
            <w:pPr>
              <w:spacing w:before="0" w:after="40" w:line="259" w:lineRule="auto"/>
            </w:pPr>
            <w:r>
              <w:rPr>
                <w:rFonts w:ascii="Calibri" w:hAnsi="Calibri" w:eastAsia="Arial Unicode MS"/>
                <w:b/>
                <w:color w:val="0B2545"/>
                <w:sz w:val="18"/>
              </w:rPr>
              <w:t>数量</w:t>
            </w:r>
          </w:p>
        </w:tc>
        <w:tc>
          <w:tcPr>
            <w:tcW w:type="dxa" w:w="3300"/>
            <w:vAlign w:val="center"/>
            <w:tcMar>
              <w:top w:w="80" w:type="dxa"/>
              <w:start w:w="120" w:type="dxa"/>
              <w:bottom w:w="80" w:type="dxa"/>
              <w:end w:w="120" w:type="dxa"/>
            </w:tcMar>
            <w:shd w:fill="EEF4FF"/>
          </w:tcPr>
          <w:p>
            <w:pPr>
              <w:spacing w:before="0" w:after="40" w:line="259" w:lineRule="auto"/>
            </w:pPr>
            <w:r>
              <w:rPr>
                <w:rFonts w:ascii="Calibri" w:hAnsi="Calibri" w:eastAsia="Arial Unicode MS"/>
                <w:b/>
                <w:color w:val="0B2545"/>
                <w:sz w:val="18"/>
              </w:rPr>
              <w:t>建设要求</w:t>
            </w:r>
          </w:p>
        </w:tc>
        <w:tc>
          <w:tcPr>
            <w:tcW w:type="dxa" w:w="3660"/>
            <w:vAlign w:val="center"/>
            <w:tcMar>
              <w:top w:w="80" w:type="dxa"/>
              <w:start w:w="120" w:type="dxa"/>
              <w:bottom w:w="80" w:type="dxa"/>
              <w:end w:w="120" w:type="dxa"/>
            </w:tcMar>
            <w:shd w:fill="EEF4FF"/>
          </w:tcPr>
          <w:p>
            <w:pPr>
              <w:spacing w:before="0" w:after="40" w:line="259" w:lineRule="auto"/>
            </w:pPr>
            <w:r>
              <w:rPr>
                <w:rFonts w:ascii="Calibri" w:hAnsi="Calibri" w:eastAsia="Arial Unicode MS"/>
                <w:b/>
                <w:color w:val="0B2545"/>
                <w:sz w:val="18"/>
              </w:rPr>
              <w:t>主要覆盖</w:t>
            </w:r>
          </w:p>
        </w:tc>
      </w:tr>
      <w:tr>
        <w:trPr>
          <w:cantSplit w:val="true"/>
        </w:trPr>
        <w:tc>
          <w:tcPr>
            <w:tcW w:type="dxa" w:w="1500"/>
            <w:vAlign w:val="center"/>
            <w:tcMar>
              <w:top w:w="80" w:type="dxa"/>
              <w:start w:w="120" w:type="dxa"/>
              <w:bottom w:w="80" w:type="dxa"/>
              <w:end w:w="120" w:type="dxa"/>
            </w:tcMar>
          </w:tcPr>
          <w:p>
            <w:pPr>
              <w:spacing w:before="0" w:after="40" w:line="259" w:lineRule="auto"/>
              <w:jc w:val="center"/>
            </w:pPr>
            <w:r>
              <w:rPr>
                <w:rFonts w:ascii="Calibri" w:hAnsi="Calibri" w:eastAsia="Arial Unicode MS"/>
                <w:b/>
                <w:color w:val="1F2937"/>
                <w:sz w:val="18"/>
              </w:rPr>
              <w:t>MVP 核心</w:t>
            </w:r>
          </w:p>
        </w:tc>
        <w:tc>
          <w:tcPr>
            <w:tcW w:type="dxa" w:w="90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8"/>
              </w:rPr>
              <w:t>21</w:t>
            </w:r>
          </w:p>
        </w:tc>
        <w:tc>
          <w:tcPr>
            <w:tcW w:type="dxa" w:w="330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8"/>
              </w:rPr>
              <w:t>形成真实业务闭环、阶段门和审计证据</w:t>
            </w:r>
          </w:p>
        </w:tc>
        <w:tc>
          <w:tcPr>
            <w:tcW w:type="dxa" w:w="366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8"/>
              </w:rPr>
              <w:t>商机、准入、基线、资源、交付、事项、经营</w:t>
            </w:r>
          </w:p>
        </w:tc>
      </w:tr>
      <w:tr>
        <w:trPr>
          <w:cantSplit w:val="true"/>
        </w:trPr>
        <w:tc>
          <w:tcPr>
            <w:tcW w:type="dxa" w:w="1500"/>
            <w:vAlign w:val="center"/>
            <w:tcMar>
              <w:top w:w="80" w:type="dxa"/>
              <w:start w:w="120" w:type="dxa"/>
              <w:bottom w:w="80" w:type="dxa"/>
              <w:end w:w="120" w:type="dxa"/>
            </w:tcMar>
            <w:shd w:fill="F8FAFC"/>
          </w:tcPr>
          <w:p>
            <w:pPr>
              <w:spacing w:before="0" w:after="40" w:line="259" w:lineRule="auto"/>
              <w:jc w:val="center"/>
            </w:pPr>
            <w:r>
              <w:rPr>
                <w:rFonts w:ascii="Calibri" w:hAnsi="Calibri" w:eastAsia="Arial Unicode MS"/>
                <w:b/>
                <w:color w:val="1F2937"/>
                <w:sz w:val="18"/>
              </w:rPr>
              <w:t>MVP 基础</w:t>
            </w:r>
          </w:p>
        </w:tc>
        <w:tc>
          <w:tcPr>
            <w:tcW w:type="dxa" w:w="90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8"/>
              </w:rPr>
              <w:t>5</w:t>
            </w:r>
          </w:p>
        </w:tc>
        <w:tc>
          <w:tcPr>
            <w:tcW w:type="dxa" w:w="330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8"/>
              </w:rPr>
              <w:t>满足首期使用并预留深化边界</w:t>
            </w:r>
          </w:p>
        </w:tc>
        <w:tc>
          <w:tcPr>
            <w:tcW w:type="dxa" w:w="366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8"/>
              </w:rPr>
              <w:t>维护、复盘、报告、文件版本、绩效证据</w:t>
            </w:r>
          </w:p>
        </w:tc>
      </w:tr>
    </w:tbl>
    <w:p>
      <w:pPr>
        <w:spacing w:after="40"/>
      </w:pPr>
    </w:p>
    <w:p>
      <w:pPr>
        <w:pStyle w:val="Heading2"/>
        <w:keepNext w:val="1"/>
      </w:pPr>
      <w:r>
        <w:t>3.2 共享能力底座</w:t>
      </w:r>
    </w:p>
    <w:tbl>
      <w:tblPr>
        <w:tblW w:type="dxa" w:w="9360"/>
        <w:jc w:val="left"/>
        <w:tblLayout w:type="fixed"/>
        <w:tblLook w:firstColumn="1" w:firstRow="1" w:lastColumn="0" w:lastRow="0" w:noHBand="0" w:noVBand="1" w:val="04A0"/>
        <w:tblInd w:w="120" w:type="dxa"/>
        <w:tblBorders>
          <w:top w:val="single" w:sz="4" w:color="D7DEE8"/>
          <w:left w:val="single" w:sz="4" w:color="D7DEE8"/>
          <w:bottom w:val="single" w:sz="4" w:color="D7DEE8"/>
          <w:right w:val="single" w:sz="4" w:color="D7DEE8"/>
          <w:insideH w:val="single" w:sz="4" w:color="D7DEE8"/>
          <w:insideV w:val="single" w:sz="4" w:color="D7DEE8"/>
        </w:tblBorders>
      </w:tblPr>
      <w:tblGrid>
        <w:gridCol w:w="2050"/>
        <w:gridCol w:w="7310"/>
      </w:tblGrid>
      <w:tr>
        <w:trPr>
          <w:tblHeader w:val="true"/>
          <w:cantSplit w:val="true"/>
        </w:trPr>
        <w:tc>
          <w:tcPr>
            <w:tcW w:type="dxa" w:w="2050"/>
            <w:vAlign w:val="center"/>
            <w:tcMar>
              <w:top w:w="80" w:type="dxa"/>
              <w:start w:w="120" w:type="dxa"/>
              <w:bottom w:w="80" w:type="dxa"/>
              <w:end w:w="120" w:type="dxa"/>
            </w:tcMar>
            <w:shd w:fill="EEF9F4"/>
          </w:tcPr>
          <w:p>
            <w:pPr>
              <w:spacing w:before="0" w:after="40" w:line="259" w:lineRule="auto"/>
              <w:jc w:val="center"/>
            </w:pPr>
            <w:r>
              <w:rPr>
                <w:rFonts w:ascii="Calibri" w:hAnsi="Calibri" w:eastAsia="Arial Unicode MS"/>
                <w:b/>
                <w:color w:val="0B2545"/>
                <w:sz w:val="18"/>
              </w:rPr>
              <w:t>共享能力</w:t>
            </w:r>
          </w:p>
        </w:tc>
        <w:tc>
          <w:tcPr>
            <w:tcW w:type="dxa" w:w="7310"/>
            <w:vAlign w:val="center"/>
            <w:tcMar>
              <w:top w:w="80" w:type="dxa"/>
              <w:start w:w="120" w:type="dxa"/>
              <w:bottom w:w="80" w:type="dxa"/>
              <w:end w:w="120" w:type="dxa"/>
            </w:tcMar>
            <w:shd w:fill="EEF9F4"/>
          </w:tcPr>
          <w:p>
            <w:pPr>
              <w:spacing w:before="0" w:after="40" w:line="259" w:lineRule="auto"/>
            </w:pPr>
            <w:r>
              <w:rPr>
                <w:rFonts w:ascii="Calibri" w:hAnsi="Calibri" w:eastAsia="Arial Unicode MS"/>
                <w:b/>
                <w:color w:val="0B2545"/>
                <w:sz w:val="18"/>
              </w:rPr>
              <w:t>首期要求</w:t>
            </w:r>
          </w:p>
        </w:tc>
      </w:tr>
      <w:tr>
        <w:trPr>
          <w:cantSplit w:val="true"/>
        </w:trPr>
        <w:tc>
          <w:tcPr>
            <w:tcW w:type="dxa" w:w="2050"/>
            <w:vAlign w:val="center"/>
            <w:tcMar>
              <w:top w:w="80" w:type="dxa"/>
              <w:start w:w="120" w:type="dxa"/>
              <w:bottom w:w="80" w:type="dxa"/>
              <w:end w:w="120" w:type="dxa"/>
            </w:tcMar>
          </w:tcPr>
          <w:p>
            <w:pPr>
              <w:spacing w:before="0" w:after="40" w:line="259" w:lineRule="auto"/>
              <w:jc w:val="center"/>
            </w:pPr>
            <w:r>
              <w:rPr>
                <w:rFonts w:ascii="Calibri" w:hAnsi="Calibri" w:eastAsia="Arial Unicode MS"/>
                <w:b/>
                <w:color w:val="1F2937"/>
                <w:sz w:val="18"/>
              </w:rPr>
              <w:t>组织、身份与权限</w:t>
            </w:r>
          </w:p>
        </w:tc>
        <w:tc>
          <w:tcPr>
            <w:tcW w:type="dxa" w:w="731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8"/>
              </w:rPr>
              <w:t>组织岗位、项目角色、数据密级、数据状态、临时授权和审计共同决定访问权。</w:t>
            </w:r>
          </w:p>
        </w:tc>
      </w:tr>
      <w:tr>
        <w:trPr>
          <w:cantSplit w:val="true"/>
        </w:trPr>
        <w:tc>
          <w:tcPr>
            <w:tcW w:type="dxa" w:w="2050"/>
            <w:vAlign w:val="center"/>
            <w:tcMar>
              <w:top w:w="80" w:type="dxa"/>
              <w:start w:w="120" w:type="dxa"/>
              <w:bottom w:w="80" w:type="dxa"/>
              <w:end w:w="120" w:type="dxa"/>
            </w:tcMar>
            <w:shd w:fill="F8FAFC"/>
          </w:tcPr>
          <w:p>
            <w:pPr>
              <w:spacing w:before="0" w:after="40" w:line="259" w:lineRule="auto"/>
              <w:jc w:val="center"/>
            </w:pPr>
            <w:r>
              <w:rPr>
                <w:rFonts w:ascii="Calibri" w:hAnsi="Calibri" w:eastAsia="Arial Unicode MS"/>
                <w:b/>
                <w:color w:val="1F2937"/>
                <w:sz w:val="18"/>
              </w:rPr>
              <w:t>流程、规则与模板</w:t>
            </w:r>
          </w:p>
        </w:tc>
        <w:tc>
          <w:tcPr>
            <w:tcW w:type="dxa" w:w="731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8"/>
              </w:rPr>
              <w:t>支撑阶段门、审批、例外、项目模板、工作包和场景化实例。</w:t>
            </w:r>
          </w:p>
        </w:tc>
      </w:tr>
      <w:tr>
        <w:trPr>
          <w:cantSplit w:val="true"/>
        </w:trPr>
        <w:tc>
          <w:tcPr>
            <w:tcW w:type="dxa" w:w="2050"/>
            <w:vAlign w:val="center"/>
            <w:tcMar>
              <w:top w:w="80" w:type="dxa"/>
              <w:start w:w="120" w:type="dxa"/>
              <w:bottom w:w="80" w:type="dxa"/>
              <w:end w:w="120" w:type="dxa"/>
            </w:tcMar>
          </w:tcPr>
          <w:p>
            <w:pPr>
              <w:spacing w:before="0" w:after="40" w:line="259" w:lineRule="auto"/>
              <w:jc w:val="center"/>
            </w:pPr>
            <w:r>
              <w:rPr>
                <w:rFonts w:ascii="Calibri" w:hAnsi="Calibri" w:eastAsia="Arial Unicode MS"/>
                <w:b/>
                <w:color w:val="1F2937"/>
                <w:sz w:val="18"/>
              </w:rPr>
              <w:t>计划、资源与执行事实</w:t>
            </w:r>
          </w:p>
        </w:tc>
        <w:tc>
          <w:tcPr>
            <w:tcW w:type="dxa" w:w="731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8"/>
              </w:rPr>
              <w:t>承载主计划、工作包计划、周滚动、个人任务、工时和资源冲突。</w:t>
            </w:r>
          </w:p>
        </w:tc>
      </w:tr>
      <w:tr>
        <w:trPr>
          <w:cantSplit w:val="true"/>
        </w:trPr>
        <w:tc>
          <w:tcPr>
            <w:tcW w:type="dxa" w:w="2050"/>
            <w:vAlign w:val="center"/>
            <w:tcMar>
              <w:top w:w="80" w:type="dxa"/>
              <w:start w:w="120" w:type="dxa"/>
              <w:bottom w:w="80" w:type="dxa"/>
              <w:end w:w="120" w:type="dxa"/>
            </w:tcMar>
            <w:shd w:fill="F8FAFC"/>
          </w:tcPr>
          <w:p>
            <w:pPr>
              <w:spacing w:before="0" w:after="40" w:line="259" w:lineRule="auto"/>
              <w:jc w:val="center"/>
            </w:pPr>
            <w:r>
              <w:rPr>
                <w:rFonts w:ascii="Calibri" w:hAnsi="Calibri" w:eastAsia="Arial Unicode MS"/>
                <w:b/>
                <w:color w:val="1F2937"/>
                <w:sz w:val="18"/>
              </w:rPr>
              <w:t>事项与验证闭环</w:t>
            </w:r>
          </w:p>
        </w:tc>
        <w:tc>
          <w:tcPr>
            <w:tcW w:type="dxa" w:w="731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8"/>
              </w:rPr>
              <w:t>共用登记、分派、提醒、验证、关闭能力，分类配置问题、风险、变更和安全。</w:t>
            </w:r>
          </w:p>
        </w:tc>
      </w:tr>
      <w:tr>
        <w:trPr>
          <w:cantSplit w:val="true"/>
        </w:trPr>
        <w:tc>
          <w:tcPr>
            <w:tcW w:type="dxa" w:w="2050"/>
            <w:vAlign w:val="center"/>
            <w:tcMar>
              <w:top w:w="80" w:type="dxa"/>
              <w:start w:w="120" w:type="dxa"/>
              <w:bottom w:w="80" w:type="dxa"/>
              <w:end w:w="120" w:type="dxa"/>
            </w:tcMar>
          </w:tcPr>
          <w:p>
            <w:pPr>
              <w:spacing w:before="0" w:after="40" w:line="259" w:lineRule="auto"/>
              <w:jc w:val="center"/>
            </w:pPr>
            <w:r>
              <w:rPr>
                <w:rFonts w:ascii="Calibri" w:hAnsi="Calibri" w:eastAsia="Arial Unicode MS"/>
                <w:b/>
                <w:color w:val="1F2937"/>
                <w:sz w:val="18"/>
              </w:rPr>
              <w:t>文件、版本与归档</w:t>
            </w:r>
          </w:p>
        </w:tc>
        <w:tc>
          <w:tcPr>
            <w:tcW w:type="dxa" w:w="731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8"/>
              </w:rPr>
              <w:t>形成唯一有效版本、评审替代历史、归档清单和不可变快照。</w:t>
            </w:r>
          </w:p>
        </w:tc>
      </w:tr>
      <w:tr>
        <w:trPr>
          <w:cantSplit w:val="true"/>
        </w:trPr>
        <w:tc>
          <w:tcPr>
            <w:tcW w:type="dxa" w:w="2050"/>
            <w:vAlign w:val="center"/>
            <w:tcMar>
              <w:top w:w="80" w:type="dxa"/>
              <w:start w:w="120" w:type="dxa"/>
              <w:bottom w:w="80" w:type="dxa"/>
              <w:end w:w="120" w:type="dxa"/>
            </w:tcMar>
            <w:shd w:fill="F8FAFC"/>
          </w:tcPr>
          <w:p>
            <w:pPr>
              <w:spacing w:before="0" w:after="40" w:line="259" w:lineRule="auto"/>
              <w:jc w:val="center"/>
            </w:pPr>
            <w:r>
              <w:rPr>
                <w:rFonts w:ascii="Calibri" w:hAnsi="Calibri" w:eastAsia="Arial Unicode MS"/>
                <w:b/>
                <w:color w:val="1F2937"/>
                <w:sz w:val="18"/>
              </w:rPr>
              <w:t>消息、报表与审计</w:t>
            </w:r>
          </w:p>
        </w:tc>
        <w:tc>
          <w:tcPr>
            <w:tcW w:type="dxa" w:w="731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8"/>
              </w:rPr>
              <w:t>按事件生成提醒、日报周报、经营预测、看板和完整操作轨迹。</w:t>
            </w:r>
          </w:p>
        </w:tc>
      </w:tr>
      <w:tr>
        <w:trPr>
          <w:cantSplit w:val="true"/>
        </w:trPr>
        <w:tc>
          <w:tcPr>
            <w:tcW w:type="dxa" w:w="2050"/>
            <w:vAlign w:val="center"/>
            <w:tcMar>
              <w:top w:w="80" w:type="dxa"/>
              <w:start w:w="120" w:type="dxa"/>
              <w:bottom w:w="80" w:type="dxa"/>
              <w:end w:w="120" w:type="dxa"/>
            </w:tcMar>
          </w:tcPr>
          <w:p>
            <w:pPr>
              <w:spacing w:before="0" w:after="40" w:line="259" w:lineRule="auto"/>
              <w:jc w:val="center"/>
            </w:pPr>
            <w:r>
              <w:rPr>
                <w:rFonts w:ascii="Calibri" w:hAnsi="Calibri" w:eastAsia="Arial Unicode MS"/>
                <w:b/>
                <w:color w:val="1F2937"/>
                <w:sz w:val="18"/>
              </w:rPr>
              <w:t>数据与集成</w:t>
            </w:r>
          </w:p>
        </w:tc>
        <w:tc>
          <w:tcPr>
            <w:tcW w:type="dxa" w:w="731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8"/>
              </w:rPr>
              <w:t>以项目编号为跨系统关联键，连接身份、飞书、财务和 NAS。</w:t>
            </w:r>
          </w:p>
        </w:tc>
      </w:tr>
    </w:tbl>
    <w:p>
      <w:pPr>
        <w:spacing w:after="40"/>
      </w:pPr>
    </w:p>
    <w:p>
      <w:pPr>
        <w:pStyle w:val="Heading2"/>
        <w:keepNext w:val="1"/>
      </w:pPr>
      <w:r>
        <w:t>3.3 首期不深化事项</w:t>
      </w:r>
    </w:p>
    <w:p>
      <w:pPr>
        <w:numPr>
          <w:ilvl w:val="0"/>
          <w:numId w:val="10"/>
        </w:numPr>
        <w:spacing w:after="160" w:line="280" w:lineRule="auto"/>
      </w:pPr>
      <w:r>
        <w:rPr>
          <w:rFonts w:ascii="Calibri" w:hAnsi="Calibri" w:eastAsia="Arial Unicode MS"/>
          <w:color w:val="1F2937"/>
          <w:sz w:val="22"/>
        </w:rPr>
        <w:t>完整财务自动化、会计核算与复杂对账；</w:t>
      </w:r>
    </w:p>
    <w:p>
      <w:pPr>
        <w:numPr>
          <w:ilvl w:val="0"/>
          <w:numId w:val="10"/>
        </w:numPr>
        <w:spacing w:after="160" w:line="280" w:lineRule="auto"/>
      </w:pPr>
      <w:r>
        <w:rPr>
          <w:rFonts w:ascii="Calibri" w:hAnsi="Calibri" w:eastAsia="Arial Unicode MS"/>
          <w:color w:val="1F2937"/>
          <w:sz w:val="22"/>
        </w:rPr>
        <w:t>车辆、宿舍、保险、工具等辅助台账的深度功能；</w:t>
      </w:r>
    </w:p>
    <w:p>
      <w:pPr>
        <w:numPr>
          <w:ilvl w:val="0"/>
          <w:numId w:val="10"/>
        </w:numPr>
        <w:spacing w:after="160" w:line="280" w:lineRule="auto"/>
      </w:pPr>
      <w:r>
        <w:rPr>
          <w:rFonts w:ascii="Calibri" w:hAnsi="Calibri" w:eastAsia="Arial Unicode MS"/>
          <w:color w:val="1F2937"/>
          <w:sz w:val="22"/>
        </w:rPr>
        <w:t>完整 KPI/OKR 校准、申诉、奖金联动与自动排名；</w:t>
      </w:r>
    </w:p>
    <w:p>
      <w:pPr>
        <w:numPr>
          <w:ilvl w:val="0"/>
          <w:numId w:val="10"/>
        </w:numPr>
        <w:spacing w:after="160" w:line="280" w:lineRule="auto"/>
      </w:pPr>
      <w:r>
        <w:rPr>
          <w:rFonts w:ascii="Calibri" w:hAnsi="Calibri" w:eastAsia="Arial Unicode MS"/>
          <w:color w:val="1F2937"/>
          <w:sz w:val="22"/>
        </w:rPr>
        <w:t>独立原生 APP、全功能离线与外部客户/供应商门户；</w:t>
      </w:r>
    </w:p>
    <w:p>
      <w:pPr>
        <w:numPr>
          <w:ilvl w:val="0"/>
          <w:numId w:val="10"/>
        </w:numPr>
        <w:spacing w:after="160" w:line="280" w:lineRule="auto"/>
      </w:pPr>
      <w:r>
        <w:rPr>
          <w:rFonts w:ascii="Calibri" w:hAnsi="Calibri" w:eastAsia="Arial Unicode MS"/>
          <w:color w:val="1F2937"/>
          <w:sz w:val="22"/>
        </w:rPr>
        <w:t>全部历史聊天、作废版本和无效表格迁移。</w:t>
      </w:r>
    </w:p>
    <w:p>
      <w:pPr>
        <w:pStyle w:val="LeadCallout"/>
        <w:spacing w:before="120" w:after="200"/>
        <w:ind w:left="200" w:right="200"/>
        <w:shd w:fill="FFF8E8"/>
        <w:pBdr>
          <w:left w:val="single" w:sz="18" w:space="8" w:color="D19A32"/>
        </w:pBdr>
        <w:keepLines w:val="1"/>
      </w:pPr>
      <w:r>
        <w:rPr>
          <w:rFonts w:ascii="Calibri" w:hAnsi="Calibri" w:eastAsia="Arial Unicode MS"/>
          <w:b/>
          <w:color w:val="D19A32"/>
          <w:sz w:val="21"/>
        </w:rPr>
        <w:t xml:space="preserve">预留但不深化  </w:t>
      </w:r>
      <w:r>
        <w:rPr>
          <w:rFonts w:ascii="Calibri" w:hAnsi="Calibri" w:eastAsia="Arial Unicode MS"/>
          <w:color w:val="1F2937"/>
          <w:sz w:val="21"/>
        </w:rPr>
        <w:t>上述事项在数据、权限和接口边界上预留扩展条件，但不进入首期验收；不得以“预留”为名提前扩大范围。</w:t>
      </w:r>
    </w:p>
    <w:p>
      <w:pPr>
        <w:pStyle w:val="Heading1"/>
        <w:keepNext w:val="1"/>
      </w:pPr>
      <w:r>
        <w:t>四、系统边界与产品形态</w:t>
      </w:r>
    </w:p>
    <w:p>
      <w:pPr>
        <w:spacing w:before="80" w:after="40"/>
        <w:jc w:val="center"/>
        <w:keepLines w:val="1"/>
      </w:pPr>
      <w:r>
        <w:drawing>
          <wp:inline xmlns:a="http://schemas.openxmlformats.org/drawingml/2006/main" xmlns:pic="http://schemas.openxmlformats.org/drawingml/2006/picture">
            <wp:extent cx="5897880" cy="3440430"/>
            <wp:docPr id="5" name="Picture 5" descr="项目管理系统与统一身份、飞书、财务系统、NAS及桌面移动入口的边界关系" title="项目管理系统与统一身份、飞书、财务系统、NAS及桌面移动入口的边界关系"/>
            <wp:cNvGraphicFramePr>
              <a:graphicFrameLocks noChangeAspect="1"/>
            </wp:cNvGraphicFramePr>
            <a:graphic>
              <a:graphicData uri="http://schemas.openxmlformats.org/drawingml/2006/picture">
                <pic:pic>
                  <pic:nvPicPr>
                    <pic:cNvPr id="0" name="fig05_system_boundary.png"/>
                    <pic:cNvPicPr/>
                  </pic:nvPicPr>
                  <pic:blipFill>
                    <a:blip r:embed="rId17"/>
                    <a:stretch>
                      <a:fillRect/>
                    </a:stretch>
                  </pic:blipFill>
                  <pic:spPr>
                    <a:xfrm>
                      <a:off x="0" y="0"/>
                      <a:ext cx="5897880" cy="3440430"/>
                    </a:xfrm>
                    <a:prstGeom prst="rect"/>
                  </pic:spPr>
                </pic:pic>
              </a:graphicData>
            </a:graphic>
          </wp:inline>
        </w:drawing>
      </w:r>
    </w:p>
    <w:p>
      <w:pPr>
        <w:pStyle w:val="Caption"/>
        <w:spacing w:before="80" w:after="180"/>
        <w:jc w:val="center"/>
        <w:keepNext w:val="0"/>
      </w:pPr>
      <w:r>
        <w:rPr>
          <w:rFonts w:ascii="Calibri" w:hAnsi="Calibri" w:eastAsia="Arial Unicode MS"/>
          <w:i/>
          <w:color w:val="64748B"/>
          <w:sz w:val="18"/>
        </w:rPr>
        <w:t>图 4  系统边界与协同关系</w:t>
      </w:r>
    </w:p>
    <w:p>
      <w:pPr>
        <w:pStyle w:val="Heading2"/>
        <w:keepNext w:val="1"/>
      </w:pPr>
      <w:r>
        <w:t>4.1 产品形态</w:t>
      </w:r>
    </w:p>
    <w:tbl>
      <w:tblPr>
        <w:tblW w:type="dxa" w:w="9360"/>
        <w:jc w:val="left"/>
        <w:tblLayout w:type="fixed"/>
        <w:tblLook w:firstColumn="1" w:firstRow="1" w:lastColumn="0" w:lastRow="0" w:noHBand="0" w:noVBand="1" w:val="04A0"/>
        <w:tblInd w:w="120" w:type="dxa"/>
        <w:tblBorders>
          <w:top w:val="single" w:sz="4" w:color="D7DEE8"/>
          <w:left w:val="single" w:sz="4" w:color="D7DEE8"/>
          <w:bottom w:val="single" w:sz="4" w:color="D7DEE8"/>
          <w:right w:val="single" w:sz="4" w:color="D7DEE8"/>
          <w:insideH w:val="single" w:sz="4" w:color="D7DEE8"/>
          <w:insideV w:val="single" w:sz="4" w:color="D7DEE8"/>
        </w:tblBorders>
      </w:tblPr>
      <w:tblGrid>
        <w:gridCol w:w="1600"/>
        <w:gridCol w:w="4800"/>
        <w:gridCol w:w="2960"/>
      </w:tblGrid>
      <w:tr>
        <w:trPr>
          <w:tblHeader w:val="true"/>
          <w:cantSplit w:val="true"/>
        </w:trPr>
        <w:tc>
          <w:tcPr>
            <w:tcW w:type="dxa" w:w="1600"/>
            <w:vAlign w:val="center"/>
            <w:tcMar>
              <w:top w:w="80" w:type="dxa"/>
              <w:start w:w="120" w:type="dxa"/>
              <w:bottom w:w="80" w:type="dxa"/>
              <w:end w:w="120" w:type="dxa"/>
            </w:tcMar>
            <w:shd w:fill="EEF4FF"/>
          </w:tcPr>
          <w:p>
            <w:pPr>
              <w:spacing w:before="0" w:after="40" w:line="259" w:lineRule="auto"/>
              <w:jc w:val="center"/>
            </w:pPr>
            <w:r>
              <w:rPr>
                <w:rFonts w:ascii="Calibri" w:hAnsi="Calibri" w:eastAsia="Arial Unicode MS"/>
                <w:b/>
                <w:color w:val="0B2545"/>
                <w:sz w:val="18"/>
              </w:rPr>
              <w:t>入口</w:t>
            </w:r>
          </w:p>
        </w:tc>
        <w:tc>
          <w:tcPr>
            <w:tcW w:type="dxa" w:w="4800"/>
            <w:vAlign w:val="center"/>
            <w:tcMar>
              <w:top w:w="80" w:type="dxa"/>
              <w:start w:w="120" w:type="dxa"/>
              <w:bottom w:w="80" w:type="dxa"/>
              <w:end w:w="120" w:type="dxa"/>
            </w:tcMar>
            <w:shd w:fill="EEF4FF"/>
          </w:tcPr>
          <w:p>
            <w:pPr>
              <w:spacing w:before="0" w:after="40" w:line="259" w:lineRule="auto"/>
            </w:pPr>
            <w:r>
              <w:rPr>
                <w:rFonts w:ascii="Calibri" w:hAnsi="Calibri" w:eastAsia="Arial Unicode MS"/>
                <w:b/>
                <w:color w:val="0B2545"/>
                <w:sz w:val="18"/>
              </w:rPr>
              <w:t>核心场景</w:t>
            </w:r>
          </w:p>
        </w:tc>
        <w:tc>
          <w:tcPr>
            <w:tcW w:type="dxa" w:w="2960"/>
            <w:vAlign w:val="center"/>
            <w:tcMar>
              <w:top w:w="80" w:type="dxa"/>
              <w:start w:w="120" w:type="dxa"/>
              <w:bottom w:w="80" w:type="dxa"/>
              <w:end w:w="120" w:type="dxa"/>
            </w:tcMar>
            <w:shd w:fill="EEF4FF"/>
          </w:tcPr>
          <w:p>
            <w:pPr>
              <w:spacing w:before="0" w:after="40" w:line="259" w:lineRule="auto"/>
            </w:pPr>
            <w:r>
              <w:rPr>
                <w:rFonts w:ascii="Calibri" w:hAnsi="Calibri" w:eastAsia="Arial Unicode MS"/>
                <w:b/>
                <w:color w:val="0B2545"/>
                <w:sz w:val="18"/>
              </w:rPr>
              <w:t>首期边界</w:t>
            </w:r>
          </w:p>
        </w:tc>
      </w:tr>
      <w:tr>
        <w:trPr>
          <w:cantSplit w:val="true"/>
        </w:trPr>
        <w:tc>
          <w:tcPr>
            <w:tcW w:type="dxa" w:w="1600"/>
            <w:vAlign w:val="center"/>
            <w:tcMar>
              <w:top w:w="80" w:type="dxa"/>
              <w:start w:w="120" w:type="dxa"/>
              <w:bottom w:w="80" w:type="dxa"/>
              <w:end w:w="120" w:type="dxa"/>
            </w:tcMar>
          </w:tcPr>
          <w:p>
            <w:pPr>
              <w:spacing w:before="0" w:after="40" w:line="259" w:lineRule="auto"/>
              <w:jc w:val="center"/>
            </w:pPr>
            <w:r>
              <w:rPr>
                <w:rFonts w:ascii="Calibri" w:hAnsi="Calibri" w:eastAsia="Arial Unicode MS"/>
                <w:b/>
                <w:color w:val="1F2937"/>
                <w:sz w:val="18"/>
              </w:rPr>
              <w:t>桌面 WEB</w:t>
            </w:r>
          </w:p>
        </w:tc>
        <w:tc>
          <w:tcPr>
            <w:tcW w:type="dxa" w:w="480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8"/>
              </w:rPr>
              <w:t>主计划、资源排期、预算采购、知识库评审、看板与配置</w:t>
            </w:r>
          </w:p>
        </w:tc>
        <w:tc>
          <w:tcPr>
            <w:tcW w:type="dxa" w:w="296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8"/>
              </w:rPr>
              <w:t>复杂管理与集中操作的主入口</w:t>
            </w:r>
          </w:p>
        </w:tc>
      </w:tr>
      <w:tr>
        <w:trPr>
          <w:cantSplit w:val="true"/>
        </w:trPr>
        <w:tc>
          <w:tcPr>
            <w:tcW w:type="dxa" w:w="1600"/>
            <w:vAlign w:val="center"/>
            <w:tcMar>
              <w:top w:w="80" w:type="dxa"/>
              <w:start w:w="120" w:type="dxa"/>
              <w:bottom w:w="80" w:type="dxa"/>
              <w:end w:w="120" w:type="dxa"/>
            </w:tcMar>
            <w:shd w:fill="F8FAFC"/>
          </w:tcPr>
          <w:p>
            <w:pPr>
              <w:spacing w:before="0" w:after="40" w:line="259" w:lineRule="auto"/>
              <w:jc w:val="center"/>
            </w:pPr>
            <w:r>
              <w:rPr>
                <w:rFonts w:ascii="Calibri" w:hAnsi="Calibri" w:eastAsia="Arial Unicode MS"/>
                <w:b/>
                <w:color w:val="1F2937"/>
                <w:sz w:val="18"/>
              </w:rPr>
              <w:t>移动响应式 WEB</w:t>
            </w:r>
          </w:p>
        </w:tc>
        <w:tc>
          <w:tcPr>
            <w:tcW w:type="dxa" w:w="480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8"/>
              </w:rPr>
              <w:t>任务、投入、事项、拍照视频、安全检查、审批和验收</w:t>
            </w:r>
          </w:p>
        </w:tc>
        <w:tc>
          <w:tcPr>
            <w:tcW w:type="dxa" w:w="296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8"/>
              </w:rPr>
              <w:t>首期不做独立 APP 和离线全功能</w:t>
            </w:r>
          </w:p>
        </w:tc>
      </w:tr>
      <w:tr>
        <w:trPr>
          <w:cantSplit w:val="true"/>
        </w:trPr>
        <w:tc>
          <w:tcPr>
            <w:tcW w:type="dxa" w:w="1600"/>
            <w:vAlign w:val="center"/>
            <w:tcMar>
              <w:top w:w="80" w:type="dxa"/>
              <w:start w:w="120" w:type="dxa"/>
              <w:bottom w:w="80" w:type="dxa"/>
              <w:end w:w="120" w:type="dxa"/>
            </w:tcMar>
          </w:tcPr>
          <w:p>
            <w:pPr>
              <w:spacing w:before="0" w:after="40" w:line="259" w:lineRule="auto"/>
              <w:jc w:val="center"/>
            </w:pPr>
            <w:r>
              <w:rPr>
                <w:rFonts w:ascii="Calibri" w:hAnsi="Calibri" w:eastAsia="Arial Unicode MS"/>
                <w:b/>
                <w:color w:val="1F2937"/>
                <w:sz w:val="18"/>
              </w:rPr>
              <w:t>飞书</w:t>
            </w:r>
          </w:p>
        </w:tc>
        <w:tc>
          <w:tcPr>
            <w:tcW w:type="dxa" w:w="480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8"/>
              </w:rPr>
              <w:t>提醒、待办摘要、行政审批结果与深度链接</w:t>
            </w:r>
          </w:p>
        </w:tc>
        <w:tc>
          <w:tcPr>
            <w:tcW w:type="dxa" w:w="296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8"/>
              </w:rPr>
              <w:t>聊天中的“已完成”不能直接关闭系统事项</w:t>
            </w:r>
          </w:p>
        </w:tc>
      </w:tr>
    </w:tbl>
    <w:p>
      <w:pPr>
        <w:spacing w:after="40"/>
      </w:pPr>
    </w:p>
    <w:p>
      <w:pPr>
        <w:pStyle w:val="Heading2"/>
        <w:keepNext w:val="1"/>
      </w:pPr>
      <w:r>
        <w:t>4.2 集成原则</w:t>
      </w:r>
    </w:p>
    <w:p>
      <w:pPr>
        <w:numPr>
          <w:ilvl w:val="0"/>
          <w:numId w:val="10"/>
        </w:numPr>
        <w:spacing w:after="160" w:line="280" w:lineRule="auto"/>
      </w:pPr>
      <w:r>
        <w:rPr>
          <w:rFonts w:ascii="Calibri" w:hAnsi="Calibri" w:eastAsia="Arial Unicode MS"/>
          <w:color w:val="1F2937"/>
          <w:sz w:val="22"/>
        </w:rPr>
        <w:t>统一身份负责账号、MFA、会话与离职即时停权；</w:t>
      </w:r>
    </w:p>
    <w:p>
      <w:pPr>
        <w:numPr>
          <w:ilvl w:val="0"/>
          <w:numId w:val="10"/>
        </w:numPr>
        <w:spacing w:after="160" w:line="280" w:lineRule="auto"/>
      </w:pPr>
      <w:r>
        <w:rPr>
          <w:rFonts w:ascii="Calibri" w:hAnsi="Calibri" w:eastAsia="Arial Unicode MS"/>
          <w:color w:val="1F2937"/>
          <w:sz w:val="22"/>
        </w:rPr>
        <w:t>飞书交换消息与行政审批结果，正式项目状态仍在新系统确认；</w:t>
      </w:r>
    </w:p>
    <w:p>
      <w:pPr>
        <w:numPr>
          <w:ilvl w:val="0"/>
          <w:numId w:val="10"/>
        </w:numPr>
        <w:spacing w:after="160" w:line="280" w:lineRule="auto"/>
      </w:pPr>
      <w:r>
        <w:rPr>
          <w:rFonts w:ascii="Calibri" w:hAnsi="Calibri" w:eastAsia="Arial Unicode MS"/>
          <w:color w:val="1F2937"/>
          <w:sz w:val="22"/>
        </w:rPr>
        <w:t>财务系统提供开票、收款、付款和实际成本，新系统负责项目预算、承诺、预测与项目经营视图；</w:t>
      </w:r>
    </w:p>
    <w:p>
      <w:pPr>
        <w:numPr>
          <w:ilvl w:val="0"/>
          <w:numId w:val="10"/>
        </w:numPr>
        <w:spacing w:after="160" w:line="280" w:lineRule="auto"/>
      </w:pPr>
      <w:r>
        <w:rPr>
          <w:rFonts w:ascii="Calibri" w:hAnsi="Calibri" w:eastAsia="Arial Unicode MS"/>
          <w:color w:val="1F2937"/>
          <w:sz w:val="22"/>
        </w:rPr>
        <w:t>NAS 仅接收验收后的只读归档包，不承担过程协作；</w:t>
      </w:r>
    </w:p>
    <w:p>
      <w:pPr>
        <w:numPr>
          <w:ilvl w:val="0"/>
          <w:numId w:val="10"/>
        </w:numPr>
        <w:spacing w:after="160" w:line="280" w:lineRule="auto"/>
      </w:pPr>
      <w:r>
        <w:rPr>
          <w:rFonts w:ascii="Calibri" w:hAnsi="Calibri" w:eastAsia="Arial Unicode MS"/>
          <w:color w:val="1F2937"/>
          <w:sz w:val="22"/>
        </w:rPr>
        <w:t>所有集成以项目编号、业务事件和可重放审计记录保证可对账、可追溯。</w:t>
      </w:r>
    </w:p>
    <w:p>
      <w:pPr>
        <w:pStyle w:val="Heading1"/>
        <w:keepNext w:val="1"/>
      </w:pPr>
      <w:r>
        <w:t>五、实施路线与里程碑</w:t>
      </w:r>
    </w:p>
    <w:p>
      <w:pPr>
        <w:spacing w:before="80" w:after="40"/>
        <w:jc w:val="center"/>
        <w:keepLines w:val="1"/>
      </w:pPr>
      <w:r>
        <w:drawing>
          <wp:inline xmlns:a="http://schemas.openxmlformats.org/drawingml/2006/main" xmlns:pic="http://schemas.openxmlformats.org/drawingml/2006/picture">
            <wp:extent cx="5897880" cy="3440430"/>
            <wp:docPr id="6" name="Picture 6" descr="从建设准备到稳定运营的六阶段实施路线" title="从建设准备到稳定运营的六阶段实施路线"/>
            <wp:cNvGraphicFramePr>
              <a:graphicFrameLocks noChangeAspect="1"/>
            </wp:cNvGraphicFramePr>
            <a:graphic>
              <a:graphicData uri="http://schemas.openxmlformats.org/drawingml/2006/picture">
                <pic:pic>
                  <pic:nvPicPr>
                    <pic:cNvPr id="0" name="fig04_roadmap.png"/>
                    <pic:cNvPicPr/>
                  </pic:nvPicPr>
                  <pic:blipFill>
                    <a:blip r:embed="rId18"/>
                    <a:stretch>
                      <a:fillRect/>
                    </a:stretch>
                  </pic:blipFill>
                  <pic:spPr>
                    <a:xfrm>
                      <a:off x="0" y="0"/>
                      <a:ext cx="5897880" cy="3440430"/>
                    </a:xfrm>
                    <a:prstGeom prst="rect"/>
                  </pic:spPr>
                </pic:pic>
              </a:graphicData>
            </a:graphic>
          </wp:inline>
        </w:drawing>
      </w:r>
    </w:p>
    <w:p>
      <w:pPr>
        <w:pStyle w:val="Caption"/>
        <w:spacing w:before="80" w:after="180"/>
        <w:jc w:val="center"/>
        <w:keepNext w:val="0"/>
      </w:pPr>
      <w:r>
        <w:rPr>
          <w:rFonts w:ascii="Calibri" w:hAnsi="Calibri" w:eastAsia="Arial Unicode MS"/>
          <w:i/>
          <w:color w:val="64748B"/>
          <w:sz w:val="18"/>
        </w:rPr>
        <w:t>图 5  建议实施路线</w:t>
      </w:r>
    </w:p>
    <w:p>
      <w:pPr/>
      <w:r>
        <w:rPr>
          <w:rFonts w:ascii="Calibri" w:hAnsi="Calibri" w:eastAsia="Arial Unicode MS"/>
          <w:i w:val="0"/>
          <w:color w:val="1F2937"/>
          <w:sz w:val="22"/>
        </w:rPr>
        <w:t>建议采用 T0 + 44~56 周的首轮建设窗口。各阶段可在清晰的范围边界内局部重叠，但不得跳过业务基线、内部验证和双项目试点。正式周期需在团队规模、供应模式、部署边界和三项外部集成方案明确后基线化。</w:t>
      </w:r>
    </w:p>
    <w:tbl>
      <w:tblPr>
        <w:tblW w:type="dxa" w:w="9360"/>
        <w:jc w:val="left"/>
        <w:tblLayout w:type="fixed"/>
        <w:tblLook w:firstColumn="1" w:firstRow="1" w:lastColumn="0" w:lastRow="0" w:noHBand="0" w:noVBand="1" w:val="04A0"/>
        <w:tblInd w:w="120" w:type="dxa"/>
        <w:tblBorders>
          <w:top w:val="single" w:sz="4" w:color="D7DEE8"/>
          <w:left w:val="single" w:sz="4" w:color="D7DEE8"/>
          <w:bottom w:val="single" w:sz="4" w:color="D7DEE8"/>
          <w:right w:val="single" w:sz="4" w:color="D7DEE8"/>
          <w:insideH w:val="single" w:sz="4" w:color="D7DEE8"/>
          <w:insideV w:val="single" w:sz="4" w:color="D7DEE8"/>
        </w:tblBorders>
      </w:tblPr>
      <w:tblGrid>
        <w:gridCol w:w="1800"/>
        <w:gridCol w:w="6000"/>
        <w:gridCol w:w="1560"/>
      </w:tblGrid>
      <w:tr>
        <w:trPr>
          <w:tblHeader w:val="true"/>
          <w:cantSplit w:val="true"/>
        </w:trPr>
        <w:tc>
          <w:tcPr>
            <w:tcW w:type="dxa" w:w="1800"/>
            <w:vAlign w:val="center"/>
            <w:tcMar>
              <w:top w:w="80" w:type="dxa"/>
              <w:start w:w="120" w:type="dxa"/>
              <w:bottom w:w="80" w:type="dxa"/>
              <w:end w:w="120" w:type="dxa"/>
            </w:tcMar>
            <w:shd w:fill="EEF9F4"/>
          </w:tcPr>
          <w:p>
            <w:pPr>
              <w:spacing w:before="0" w:after="40" w:line="259" w:lineRule="auto"/>
              <w:jc w:val="center"/>
            </w:pPr>
            <w:r>
              <w:rPr>
                <w:rFonts w:ascii="Calibri" w:hAnsi="Calibri" w:eastAsia="Arial Unicode MS"/>
                <w:b/>
                <w:color w:val="0B2545"/>
                <w:sz w:val="17"/>
              </w:rPr>
              <w:t>建设里程碑</w:t>
            </w:r>
          </w:p>
        </w:tc>
        <w:tc>
          <w:tcPr>
            <w:tcW w:type="dxa" w:w="6000"/>
            <w:vAlign w:val="center"/>
            <w:tcMar>
              <w:top w:w="80" w:type="dxa"/>
              <w:start w:w="120" w:type="dxa"/>
              <w:bottom w:w="80" w:type="dxa"/>
              <w:end w:w="120" w:type="dxa"/>
            </w:tcMar>
            <w:shd w:fill="EEF9F4"/>
          </w:tcPr>
          <w:p>
            <w:pPr>
              <w:spacing w:before="0" w:after="40" w:line="259" w:lineRule="auto"/>
            </w:pPr>
            <w:r>
              <w:rPr>
                <w:rFonts w:ascii="Calibri" w:hAnsi="Calibri" w:eastAsia="Arial Unicode MS"/>
                <w:b/>
                <w:color w:val="0B2545"/>
                <w:sz w:val="17"/>
              </w:rPr>
              <w:t>通过条件</w:t>
            </w:r>
          </w:p>
        </w:tc>
        <w:tc>
          <w:tcPr>
            <w:tcW w:type="dxa" w:w="1560"/>
            <w:vAlign w:val="center"/>
            <w:tcMar>
              <w:top w:w="80" w:type="dxa"/>
              <w:start w:w="120" w:type="dxa"/>
              <w:bottom w:w="80" w:type="dxa"/>
              <w:end w:w="120" w:type="dxa"/>
            </w:tcMar>
            <w:shd w:fill="EEF9F4"/>
          </w:tcPr>
          <w:p>
            <w:pPr>
              <w:spacing w:before="0" w:after="40" w:line="259" w:lineRule="auto"/>
            </w:pPr>
            <w:r>
              <w:rPr>
                <w:rFonts w:ascii="Calibri" w:hAnsi="Calibri" w:eastAsia="Arial Unicode MS"/>
                <w:b/>
                <w:color w:val="0B2545"/>
                <w:sz w:val="17"/>
              </w:rPr>
              <w:t>状态转换</w:t>
            </w:r>
          </w:p>
        </w:tc>
      </w:tr>
      <w:tr>
        <w:trPr>
          <w:cantSplit w:val="true"/>
        </w:trPr>
        <w:tc>
          <w:tcPr>
            <w:tcW w:type="dxa" w:w="1800"/>
            <w:vAlign w:val="center"/>
            <w:tcMar>
              <w:top w:w="80" w:type="dxa"/>
              <w:start w:w="120" w:type="dxa"/>
              <w:bottom w:w="80" w:type="dxa"/>
              <w:end w:w="120" w:type="dxa"/>
            </w:tcMar>
          </w:tcPr>
          <w:p>
            <w:pPr>
              <w:spacing w:before="0" w:after="40" w:line="259" w:lineRule="auto"/>
              <w:jc w:val="center"/>
            </w:pPr>
            <w:r>
              <w:rPr>
                <w:rFonts w:ascii="Calibri" w:hAnsi="Calibri" w:eastAsia="Arial Unicode MS"/>
                <w:b/>
                <w:color w:val="1F2937"/>
                <w:sz w:val="17"/>
              </w:rPr>
              <w:t>M0 建设启动</w:t>
            </w:r>
          </w:p>
        </w:tc>
        <w:tc>
          <w:tcPr>
            <w:tcW w:type="dxa" w:w="600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7"/>
              </w:rPr>
              <w:t>方案批准、项目发起人和业务负责人到位、供应模式与预算路径明确</w:t>
            </w:r>
          </w:p>
        </w:tc>
        <w:tc>
          <w:tcPr>
            <w:tcW w:type="dxa" w:w="156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7"/>
              </w:rPr>
              <w:t>可进入 P0</w:t>
            </w:r>
          </w:p>
        </w:tc>
      </w:tr>
      <w:tr>
        <w:trPr>
          <w:cantSplit w:val="true"/>
        </w:trPr>
        <w:tc>
          <w:tcPr>
            <w:tcW w:type="dxa" w:w="1800"/>
            <w:vAlign w:val="center"/>
            <w:tcMar>
              <w:top w:w="80" w:type="dxa"/>
              <w:start w:w="120" w:type="dxa"/>
              <w:bottom w:w="80" w:type="dxa"/>
              <w:end w:w="120" w:type="dxa"/>
            </w:tcMar>
            <w:shd w:fill="F8FAFC"/>
          </w:tcPr>
          <w:p>
            <w:pPr>
              <w:spacing w:before="0" w:after="40" w:line="259" w:lineRule="auto"/>
              <w:jc w:val="center"/>
            </w:pPr>
            <w:r>
              <w:rPr>
                <w:rFonts w:ascii="Calibri" w:hAnsi="Calibri" w:eastAsia="Arial Unicode MS"/>
                <w:b/>
                <w:color w:val="1F2937"/>
                <w:sz w:val="17"/>
              </w:rPr>
              <w:t>M1 业务/产品基线</w:t>
            </w:r>
          </w:p>
        </w:tc>
        <w:tc>
          <w:tcPr>
            <w:tcW w:type="dxa" w:w="600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7"/>
              </w:rPr>
              <w:t>9 项有效决策关闭；PRD、范围清单、验收口径和原型评审通过</w:t>
            </w:r>
          </w:p>
        </w:tc>
        <w:tc>
          <w:tcPr>
            <w:tcW w:type="dxa" w:w="156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7"/>
              </w:rPr>
              <w:t>可进入规模开发</w:t>
            </w:r>
          </w:p>
        </w:tc>
      </w:tr>
      <w:tr>
        <w:trPr>
          <w:cantSplit w:val="true"/>
        </w:trPr>
        <w:tc>
          <w:tcPr>
            <w:tcW w:type="dxa" w:w="1800"/>
            <w:vAlign w:val="center"/>
            <w:tcMar>
              <w:top w:w="80" w:type="dxa"/>
              <w:start w:w="120" w:type="dxa"/>
              <w:bottom w:w="80" w:type="dxa"/>
              <w:end w:w="120" w:type="dxa"/>
            </w:tcMar>
          </w:tcPr>
          <w:p>
            <w:pPr>
              <w:spacing w:before="0" w:after="40" w:line="259" w:lineRule="auto"/>
              <w:jc w:val="center"/>
            </w:pPr>
            <w:r>
              <w:rPr>
                <w:rFonts w:ascii="Calibri" w:hAnsi="Calibri" w:eastAsia="Arial Unicode MS"/>
                <w:b/>
                <w:color w:val="1F2937"/>
                <w:sz w:val="17"/>
              </w:rPr>
              <w:t>M2 技术与安全基线</w:t>
            </w:r>
          </w:p>
        </w:tc>
        <w:tc>
          <w:tcPr>
            <w:tcW w:type="dxa" w:w="600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7"/>
              </w:rPr>
              <w:t>总体技术方案、数据/权限/集成方案和关键验证通过</w:t>
            </w:r>
          </w:p>
        </w:tc>
        <w:tc>
          <w:tcPr>
            <w:tcW w:type="dxa" w:w="156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7"/>
              </w:rPr>
              <w:t>可进入生产级建设</w:t>
            </w:r>
          </w:p>
        </w:tc>
      </w:tr>
      <w:tr>
        <w:trPr>
          <w:cantSplit w:val="true"/>
        </w:trPr>
        <w:tc>
          <w:tcPr>
            <w:tcW w:type="dxa" w:w="1800"/>
            <w:vAlign w:val="center"/>
            <w:tcMar>
              <w:top w:w="80" w:type="dxa"/>
              <w:start w:w="120" w:type="dxa"/>
              <w:bottom w:w="80" w:type="dxa"/>
              <w:end w:w="120" w:type="dxa"/>
            </w:tcMar>
            <w:shd w:fill="F8FAFC"/>
          </w:tcPr>
          <w:p>
            <w:pPr>
              <w:spacing w:before="0" w:after="40" w:line="259" w:lineRule="auto"/>
              <w:jc w:val="center"/>
            </w:pPr>
            <w:r>
              <w:rPr>
                <w:rFonts w:ascii="Calibri" w:hAnsi="Calibri" w:eastAsia="Arial Unicode MS"/>
                <w:b/>
                <w:color w:val="1F2937"/>
                <w:sz w:val="17"/>
              </w:rPr>
              <w:t>M3 MVP 内部验收</w:t>
            </w:r>
          </w:p>
        </w:tc>
        <w:tc>
          <w:tcPr>
            <w:tcW w:type="dxa" w:w="600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7"/>
              </w:rPr>
              <w:t>26 单元按约定深度可运行，100 项映射覆盖检查通过</w:t>
            </w:r>
          </w:p>
        </w:tc>
        <w:tc>
          <w:tcPr>
            <w:tcW w:type="dxa" w:w="156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7"/>
              </w:rPr>
              <w:t>可进入双项目试点</w:t>
            </w:r>
          </w:p>
        </w:tc>
      </w:tr>
      <w:tr>
        <w:trPr>
          <w:cantSplit w:val="true"/>
        </w:trPr>
        <w:tc>
          <w:tcPr>
            <w:tcW w:type="dxa" w:w="1800"/>
            <w:vAlign w:val="center"/>
            <w:tcMar>
              <w:top w:w="80" w:type="dxa"/>
              <w:start w:w="120" w:type="dxa"/>
              <w:bottom w:w="80" w:type="dxa"/>
              <w:end w:w="120" w:type="dxa"/>
            </w:tcMar>
          </w:tcPr>
          <w:p>
            <w:pPr>
              <w:spacing w:before="0" w:after="40" w:line="259" w:lineRule="auto"/>
              <w:jc w:val="center"/>
            </w:pPr>
            <w:r>
              <w:rPr>
                <w:rFonts w:ascii="Calibri" w:hAnsi="Calibri" w:eastAsia="Arial Unicode MS"/>
                <w:b/>
                <w:color w:val="1F2937"/>
                <w:sz w:val="17"/>
              </w:rPr>
              <w:t>M4 双项目试点验收</w:t>
            </w:r>
          </w:p>
        </w:tc>
        <w:tc>
          <w:tcPr>
            <w:tcW w:type="dxa" w:w="600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7"/>
              </w:rPr>
              <w:t>真实项目使用、流程证据、问题闭环和基线指标验证通过</w:t>
            </w:r>
          </w:p>
        </w:tc>
        <w:tc>
          <w:tcPr>
            <w:tcW w:type="dxa" w:w="156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7"/>
              </w:rPr>
              <w:t>可全量推广</w:t>
            </w:r>
          </w:p>
        </w:tc>
      </w:tr>
      <w:tr>
        <w:trPr>
          <w:cantSplit w:val="true"/>
        </w:trPr>
        <w:tc>
          <w:tcPr>
            <w:tcW w:type="dxa" w:w="1800"/>
            <w:vAlign w:val="center"/>
            <w:tcMar>
              <w:top w:w="80" w:type="dxa"/>
              <w:start w:w="120" w:type="dxa"/>
              <w:bottom w:w="80" w:type="dxa"/>
              <w:end w:w="120" w:type="dxa"/>
            </w:tcMar>
            <w:shd w:fill="F8FAFC"/>
          </w:tcPr>
          <w:p>
            <w:pPr>
              <w:spacing w:before="0" w:after="40" w:line="259" w:lineRule="auto"/>
              <w:jc w:val="center"/>
            </w:pPr>
            <w:r>
              <w:rPr>
                <w:rFonts w:ascii="Calibri" w:hAnsi="Calibri" w:eastAsia="Arial Unicode MS"/>
                <w:b/>
                <w:color w:val="1F2937"/>
                <w:sz w:val="17"/>
              </w:rPr>
              <w:t>M5 推广与运维移交</w:t>
            </w:r>
          </w:p>
        </w:tc>
        <w:tc>
          <w:tcPr>
            <w:tcW w:type="dxa" w:w="600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7"/>
              </w:rPr>
              <w:t>全部新商机纳入、在建项目分批迁移、运营机制和支持责任明确</w:t>
            </w:r>
          </w:p>
        </w:tc>
        <w:tc>
          <w:tcPr>
            <w:tcW w:type="dxa" w:w="156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7"/>
              </w:rPr>
              <w:t>进入稳定运营</w:t>
            </w:r>
          </w:p>
        </w:tc>
      </w:tr>
    </w:tbl>
    <w:p>
      <w:pPr>
        <w:spacing w:after="40"/>
      </w:pPr>
    </w:p>
    <w:p>
      <w:pPr>
        <w:pStyle w:val="Heading2"/>
        <w:keepNext w:val="1"/>
      </w:pPr>
      <w:r>
        <w:t>5.1 双项目试点设计</w:t>
      </w:r>
    </w:p>
    <w:p>
      <w:pPr>
        <w:numPr>
          <w:ilvl w:val="0"/>
          <w:numId w:val="10"/>
        </w:numPr>
        <w:spacing w:after="160" w:line="280" w:lineRule="auto"/>
      </w:pPr>
      <w:r>
        <w:rPr>
          <w:rFonts w:ascii="Calibri" w:hAnsi="Calibri" w:eastAsia="Arial Unicode MS"/>
          <w:color w:val="1F2937"/>
          <w:sz w:val="22"/>
        </w:rPr>
        <w:t>选择一个非标定制项目和一个标准复用/配置迭代项目，分别验证完整流程深度和模板裁剪能力；</w:t>
      </w:r>
    </w:p>
    <w:p>
      <w:pPr>
        <w:numPr>
          <w:ilvl w:val="0"/>
          <w:numId w:val="10"/>
        </w:numPr>
        <w:spacing w:after="160" w:line="280" w:lineRule="auto"/>
      </w:pPr>
      <w:r>
        <w:rPr>
          <w:rFonts w:ascii="Calibri" w:hAnsi="Calibri" w:eastAsia="Arial Unicode MS"/>
          <w:color w:val="1F2937"/>
          <w:sz w:val="22"/>
        </w:rPr>
        <w:t>试点项目应具备明确的项目经理、跨部门工作包、可观察阶段门和真实交付压力；</w:t>
      </w:r>
    </w:p>
    <w:p>
      <w:pPr>
        <w:numPr>
          <w:ilvl w:val="0"/>
          <w:numId w:val="10"/>
        </w:numPr>
        <w:spacing w:after="160" w:line="280" w:lineRule="auto"/>
      </w:pPr>
      <w:r>
        <w:rPr>
          <w:rFonts w:ascii="Calibri" w:hAnsi="Calibri" w:eastAsia="Arial Unicode MS"/>
          <w:color w:val="1F2937"/>
          <w:sz w:val="22"/>
        </w:rPr>
        <w:t>项目实际周期可能长于试点窗口，采用“当前阶段真实运行 + 已发生阶段真实资料回放 + 未来关键门受控演练”组合验证，不伪造完整生命周期；</w:t>
      </w:r>
    </w:p>
    <w:p>
      <w:pPr>
        <w:numPr>
          <w:ilvl w:val="0"/>
          <w:numId w:val="10"/>
        </w:numPr>
        <w:spacing w:after="160" w:line="280" w:lineRule="auto"/>
      </w:pPr>
      <w:r>
        <w:rPr>
          <w:rFonts w:ascii="Calibri" w:hAnsi="Calibri" w:eastAsia="Arial Unicode MS"/>
          <w:color w:val="1F2937"/>
          <w:sz w:val="22"/>
        </w:rPr>
        <w:t>试点期间禁止长期保留核心流程线下双账；确需过渡的台账应标记退出日期和责任人；</w:t>
      </w:r>
    </w:p>
    <w:p>
      <w:pPr>
        <w:numPr>
          <w:ilvl w:val="0"/>
          <w:numId w:val="10"/>
        </w:numPr>
        <w:spacing w:after="160" w:line="280" w:lineRule="auto"/>
      </w:pPr>
      <w:r>
        <w:rPr>
          <w:rFonts w:ascii="Calibri" w:hAnsi="Calibri" w:eastAsia="Arial Unicode MS"/>
          <w:color w:val="1F2937"/>
          <w:sz w:val="22"/>
        </w:rPr>
        <w:t>所有问题进入试点缺陷与流程改进清单，优先调整模板、制度和配置，不用线下补表绕开系统。</w:t>
      </w:r>
    </w:p>
    <w:p>
      <w:pPr>
        <w:pStyle w:val="Heading1"/>
        <w:keepNext w:val="1"/>
      </w:pPr>
      <w:r>
        <w:t>六、组织治理与协作机制</w:t>
      </w:r>
    </w:p>
    <w:p>
      <w:pPr>
        <w:pStyle w:val="Heading2"/>
        <w:keepNext w:val="1"/>
      </w:pPr>
      <w:r>
        <w:t>6.1 组织结构</w:t>
      </w:r>
    </w:p>
    <w:p>
      <w:pPr/>
      <w:r>
        <w:rPr>
          <w:rFonts w:ascii="Calibri" w:hAnsi="Calibri" w:eastAsia="Arial Unicode MS"/>
          <w:i w:val="0"/>
          <w:color w:val="1F2937"/>
          <w:sz w:val="22"/>
        </w:rPr>
        <w:t>建议建立“公司决策层—项目建设办公室—业务域负责人—产品技术交付团队—双项目试点组”的五层治理结构。业务规则、系统交付和试点应用分别设责任人，避免把全部判断压在项目经理或技术团队身上。</w:t>
      </w:r>
    </w:p>
    <w:tbl>
      <w:tblPr>
        <w:tblW w:type="dxa" w:w="9360"/>
        <w:jc w:val="left"/>
        <w:tblLayout w:type="fixed"/>
        <w:tblLook w:firstColumn="1" w:firstRow="1" w:lastColumn="0" w:lastRow="0" w:noHBand="0" w:noVBand="1" w:val="04A0"/>
        <w:tblInd w:w="120" w:type="dxa"/>
        <w:tblBorders>
          <w:top w:val="single" w:sz="4" w:color="D7DEE8"/>
          <w:left w:val="single" w:sz="4" w:color="D7DEE8"/>
          <w:bottom w:val="single" w:sz="4" w:color="D7DEE8"/>
          <w:right w:val="single" w:sz="4" w:color="D7DEE8"/>
          <w:insideH w:val="single" w:sz="4" w:color="D7DEE8"/>
          <w:insideV w:val="single" w:sz="4" w:color="D7DEE8"/>
        </w:tblBorders>
      </w:tblPr>
      <w:tblGrid>
        <w:gridCol w:w="2100"/>
        <w:gridCol w:w="7260"/>
      </w:tblGrid>
      <w:tr>
        <w:trPr>
          <w:tblHeader w:val="true"/>
          <w:cantSplit w:val="true"/>
        </w:trPr>
        <w:tc>
          <w:tcPr>
            <w:tcW w:type="dxa" w:w="2100"/>
            <w:vAlign w:val="center"/>
            <w:tcMar>
              <w:top w:w="80" w:type="dxa"/>
              <w:start w:w="120" w:type="dxa"/>
              <w:bottom w:w="80" w:type="dxa"/>
              <w:end w:w="120" w:type="dxa"/>
            </w:tcMar>
            <w:shd w:fill="EEF4FF"/>
          </w:tcPr>
          <w:p>
            <w:pPr>
              <w:spacing w:before="0" w:after="40" w:line="259" w:lineRule="auto"/>
              <w:jc w:val="center"/>
            </w:pPr>
            <w:r>
              <w:rPr>
                <w:rFonts w:ascii="Calibri" w:hAnsi="Calibri" w:eastAsia="Arial Unicode MS"/>
                <w:b/>
                <w:color w:val="0B2545"/>
                <w:sz w:val="18"/>
              </w:rPr>
              <w:t>治理层级</w:t>
            </w:r>
          </w:p>
        </w:tc>
        <w:tc>
          <w:tcPr>
            <w:tcW w:type="dxa" w:w="7260"/>
            <w:vAlign w:val="center"/>
            <w:tcMar>
              <w:top w:w="80" w:type="dxa"/>
              <w:start w:w="120" w:type="dxa"/>
              <w:bottom w:w="80" w:type="dxa"/>
              <w:end w:w="120" w:type="dxa"/>
            </w:tcMar>
            <w:shd w:fill="EEF4FF"/>
          </w:tcPr>
          <w:p>
            <w:pPr>
              <w:spacing w:before="0" w:after="40" w:line="259" w:lineRule="auto"/>
            </w:pPr>
            <w:r>
              <w:rPr>
                <w:rFonts w:ascii="Calibri" w:hAnsi="Calibri" w:eastAsia="Arial Unicode MS"/>
                <w:b/>
                <w:color w:val="0B2545"/>
                <w:sz w:val="18"/>
              </w:rPr>
              <w:t>核心职责</w:t>
            </w:r>
          </w:p>
        </w:tc>
      </w:tr>
      <w:tr>
        <w:trPr>
          <w:cantSplit w:val="true"/>
        </w:trPr>
        <w:tc>
          <w:tcPr>
            <w:tcW w:type="dxa" w:w="2100"/>
            <w:vAlign w:val="center"/>
            <w:tcMar>
              <w:top w:w="80" w:type="dxa"/>
              <w:start w:w="120" w:type="dxa"/>
              <w:bottom w:w="80" w:type="dxa"/>
              <w:end w:w="120" w:type="dxa"/>
            </w:tcMar>
          </w:tcPr>
          <w:p>
            <w:pPr>
              <w:spacing w:before="0" w:after="40" w:line="259" w:lineRule="auto"/>
              <w:jc w:val="center"/>
            </w:pPr>
            <w:r>
              <w:rPr>
                <w:rFonts w:ascii="Calibri" w:hAnsi="Calibri" w:eastAsia="Arial Unicode MS"/>
                <w:b/>
                <w:color w:val="1F2937"/>
                <w:sz w:val="18"/>
              </w:rPr>
              <w:t>项目领导小组</w:t>
            </w:r>
          </w:p>
        </w:tc>
        <w:tc>
          <w:tcPr>
            <w:tcW w:type="dxa" w:w="726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8"/>
              </w:rPr>
              <w:t>批准范围、投资、优先级和重大例外；裁决跨部门资源冲突</w:t>
            </w:r>
          </w:p>
        </w:tc>
      </w:tr>
      <w:tr>
        <w:trPr>
          <w:cantSplit w:val="true"/>
        </w:trPr>
        <w:tc>
          <w:tcPr>
            <w:tcW w:type="dxa" w:w="2100"/>
            <w:vAlign w:val="center"/>
            <w:tcMar>
              <w:top w:w="80" w:type="dxa"/>
              <w:start w:w="120" w:type="dxa"/>
              <w:bottom w:w="80" w:type="dxa"/>
              <w:end w:w="120" w:type="dxa"/>
            </w:tcMar>
            <w:shd w:fill="F8FAFC"/>
          </w:tcPr>
          <w:p>
            <w:pPr>
              <w:spacing w:before="0" w:after="40" w:line="259" w:lineRule="auto"/>
              <w:jc w:val="center"/>
            </w:pPr>
            <w:r>
              <w:rPr>
                <w:rFonts w:ascii="Calibri" w:hAnsi="Calibri" w:eastAsia="Arial Unicode MS"/>
                <w:b/>
                <w:color w:val="1F2937"/>
                <w:sz w:val="18"/>
              </w:rPr>
              <w:t>项目发起人/业务负责人</w:t>
            </w:r>
          </w:p>
        </w:tc>
        <w:tc>
          <w:tcPr>
            <w:tcW w:type="dxa" w:w="726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8"/>
              </w:rPr>
              <w:t>对业务价值、制度落地和最终验收负责</w:t>
            </w:r>
          </w:p>
        </w:tc>
      </w:tr>
      <w:tr>
        <w:trPr>
          <w:cantSplit w:val="true"/>
        </w:trPr>
        <w:tc>
          <w:tcPr>
            <w:tcW w:type="dxa" w:w="2100"/>
            <w:vAlign w:val="center"/>
            <w:tcMar>
              <w:top w:w="80" w:type="dxa"/>
              <w:start w:w="120" w:type="dxa"/>
              <w:bottom w:w="80" w:type="dxa"/>
              <w:end w:w="120" w:type="dxa"/>
            </w:tcMar>
          </w:tcPr>
          <w:p>
            <w:pPr>
              <w:spacing w:before="0" w:after="40" w:line="259" w:lineRule="auto"/>
              <w:jc w:val="center"/>
            </w:pPr>
            <w:r>
              <w:rPr>
                <w:rFonts w:ascii="Calibri" w:hAnsi="Calibri" w:eastAsia="Arial Unicode MS"/>
                <w:b/>
                <w:color w:val="1F2937"/>
                <w:sz w:val="18"/>
              </w:rPr>
              <w:t>项目建设办公室</w:t>
            </w:r>
          </w:p>
        </w:tc>
        <w:tc>
          <w:tcPr>
            <w:tcW w:type="dxa" w:w="726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8"/>
              </w:rPr>
              <w:t>统一计划、范围、风险、决策清单、供应商和验收组织</w:t>
            </w:r>
          </w:p>
        </w:tc>
      </w:tr>
      <w:tr>
        <w:trPr>
          <w:cantSplit w:val="true"/>
        </w:trPr>
        <w:tc>
          <w:tcPr>
            <w:tcW w:type="dxa" w:w="2100"/>
            <w:vAlign w:val="center"/>
            <w:tcMar>
              <w:top w:w="80" w:type="dxa"/>
              <w:start w:w="120" w:type="dxa"/>
              <w:bottom w:w="80" w:type="dxa"/>
              <w:end w:w="120" w:type="dxa"/>
            </w:tcMar>
            <w:shd w:fill="F8FAFC"/>
          </w:tcPr>
          <w:p>
            <w:pPr>
              <w:spacing w:before="0" w:after="40" w:line="259" w:lineRule="auto"/>
              <w:jc w:val="center"/>
            </w:pPr>
            <w:r>
              <w:rPr>
                <w:rFonts w:ascii="Calibri" w:hAnsi="Calibri" w:eastAsia="Arial Unicode MS"/>
                <w:b/>
                <w:color w:val="1F2937"/>
                <w:sz w:val="18"/>
              </w:rPr>
              <w:t>业务域负责人</w:t>
            </w:r>
          </w:p>
        </w:tc>
        <w:tc>
          <w:tcPr>
            <w:tcW w:type="dxa" w:w="726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8"/>
              </w:rPr>
              <w:t>对本域规则、成果模板、角色责任和试点反馈负责</w:t>
            </w:r>
          </w:p>
        </w:tc>
      </w:tr>
      <w:tr>
        <w:trPr>
          <w:cantSplit w:val="true"/>
        </w:trPr>
        <w:tc>
          <w:tcPr>
            <w:tcW w:type="dxa" w:w="2100"/>
            <w:vAlign w:val="center"/>
            <w:tcMar>
              <w:top w:w="80" w:type="dxa"/>
              <w:start w:w="120" w:type="dxa"/>
              <w:bottom w:w="80" w:type="dxa"/>
              <w:end w:w="120" w:type="dxa"/>
            </w:tcMar>
          </w:tcPr>
          <w:p>
            <w:pPr>
              <w:spacing w:before="0" w:after="40" w:line="259" w:lineRule="auto"/>
              <w:jc w:val="center"/>
            </w:pPr>
            <w:r>
              <w:rPr>
                <w:rFonts w:ascii="Calibri" w:hAnsi="Calibri" w:eastAsia="Arial Unicode MS"/>
                <w:b/>
                <w:color w:val="1F2937"/>
                <w:sz w:val="18"/>
              </w:rPr>
              <w:t>产品与技术交付团队</w:t>
            </w:r>
          </w:p>
        </w:tc>
        <w:tc>
          <w:tcPr>
            <w:tcW w:type="dxa" w:w="726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8"/>
              </w:rPr>
              <w:t>完成 PRD、设计、开发、测试、集成、部署和运维移交</w:t>
            </w:r>
          </w:p>
        </w:tc>
      </w:tr>
      <w:tr>
        <w:trPr>
          <w:cantSplit w:val="true"/>
        </w:trPr>
        <w:tc>
          <w:tcPr>
            <w:tcW w:type="dxa" w:w="2100"/>
            <w:vAlign w:val="center"/>
            <w:tcMar>
              <w:top w:w="80" w:type="dxa"/>
              <w:start w:w="120" w:type="dxa"/>
              <w:bottom w:w="80" w:type="dxa"/>
              <w:end w:w="120" w:type="dxa"/>
            </w:tcMar>
            <w:shd w:fill="F8FAFC"/>
          </w:tcPr>
          <w:p>
            <w:pPr>
              <w:spacing w:before="0" w:after="40" w:line="259" w:lineRule="auto"/>
              <w:jc w:val="center"/>
            </w:pPr>
            <w:r>
              <w:rPr>
                <w:rFonts w:ascii="Calibri" w:hAnsi="Calibri" w:eastAsia="Arial Unicode MS"/>
                <w:b/>
                <w:color w:val="1F2937"/>
                <w:sz w:val="18"/>
              </w:rPr>
              <w:t>试点项目组</w:t>
            </w:r>
          </w:p>
        </w:tc>
        <w:tc>
          <w:tcPr>
            <w:tcW w:type="dxa" w:w="726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8"/>
              </w:rPr>
              <w:t>在真实项目中使用系统、提交证据、反馈问题并确认改进</w:t>
            </w:r>
          </w:p>
        </w:tc>
      </w:tr>
    </w:tbl>
    <w:p>
      <w:pPr>
        <w:spacing w:after="40"/>
      </w:pPr>
    </w:p>
    <w:p>
      <w:pPr>
        <w:pStyle w:val="Heading2"/>
        <w:keepNext w:val="1"/>
      </w:pPr>
      <w:r>
        <w:t>6.2 决策与变更机制</w:t>
      </w:r>
    </w:p>
    <w:p>
      <w:pPr>
        <w:numPr>
          <w:ilvl w:val="0"/>
          <w:numId w:val="10"/>
        </w:numPr>
        <w:spacing w:after="160" w:line="280" w:lineRule="auto"/>
      </w:pPr>
      <w:r>
        <w:rPr>
          <w:rFonts w:ascii="Calibri" w:hAnsi="Calibri" w:eastAsia="Arial Unicode MS"/>
          <w:color w:val="1F2937"/>
          <w:sz w:val="22"/>
        </w:rPr>
        <w:t>范围变更分为业务蓝图变更、首期范围变更和实现方式调整，分别由领导小组、业务负责人和建设办公室批准；</w:t>
      </w:r>
    </w:p>
    <w:p>
      <w:pPr>
        <w:numPr>
          <w:ilvl w:val="0"/>
          <w:numId w:val="10"/>
        </w:numPr>
        <w:spacing w:after="160" w:line="280" w:lineRule="auto"/>
      </w:pPr>
      <w:r>
        <w:rPr>
          <w:rFonts w:ascii="Calibri" w:hAnsi="Calibri" w:eastAsia="Arial Unicode MS"/>
          <w:color w:val="1F2937"/>
          <w:sz w:val="22"/>
        </w:rPr>
        <w:t>PRD 或技术方案发现上游冲突时，先回到 BRD/建设方案修订，不在下游文档静默改变已确认边界；</w:t>
      </w:r>
    </w:p>
    <w:p>
      <w:pPr>
        <w:numPr>
          <w:ilvl w:val="0"/>
          <w:numId w:val="10"/>
        </w:numPr>
        <w:spacing w:after="160" w:line="280" w:lineRule="auto"/>
      </w:pPr>
      <w:r>
        <w:rPr>
          <w:rFonts w:ascii="Calibri" w:hAnsi="Calibri" w:eastAsia="Arial Unicode MS"/>
          <w:color w:val="1F2937"/>
          <w:sz w:val="22"/>
        </w:rPr>
        <w:t>每周跟踪进度、风险和决策，每两周或每个增量召开业务验收评审，关键里程碑形成书面结论；</w:t>
      </w:r>
    </w:p>
    <w:p>
      <w:pPr>
        <w:numPr>
          <w:ilvl w:val="0"/>
          <w:numId w:val="10"/>
        </w:numPr>
        <w:spacing w:after="160" w:line="280" w:lineRule="auto"/>
      </w:pPr>
      <w:r>
        <w:rPr>
          <w:rFonts w:ascii="Calibri" w:hAnsi="Calibri" w:eastAsia="Arial Unicode MS"/>
          <w:color w:val="1F2937"/>
          <w:sz w:val="22"/>
        </w:rPr>
        <w:t>制度缺口、数据缺口和系统缺陷分台账管理，但统一进入项目风险与决策视图。</w:t>
      </w:r>
    </w:p>
    <w:p>
      <w:pPr>
        <w:pStyle w:val="Heading1"/>
        <w:keepNext w:val="1"/>
      </w:pPr>
      <w:r>
        <w:t>七、数据迁移、推广与运营</w:t>
      </w:r>
    </w:p>
    <w:p>
      <w:pPr>
        <w:pStyle w:val="Heading2"/>
        <w:keepNext w:val="1"/>
      </w:pPr>
      <w:r>
        <w:t>7.1 数据迁移策略</w:t>
      </w:r>
    </w:p>
    <w:p>
      <w:pPr/>
      <w:r>
        <w:rPr>
          <w:rFonts w:ascii="Calibri" w:hAnsi="Calibri" w:eastAsia="Arial Unicode MS"/>
          <w:i w:val="0"/>
          <w:color w:val="1F2937"/>
          <w:sz w:val="22"/>
        </w:rPr>
        <w:t>迁移目标是形成后续管理所需的当前事实，不是把历史材料全部搬入新系统。新项目从上线日起原生创建；在建项目采用最小可运行包；历史已关闭项目原则上保留索引，仅对维护、审计或知识复用有明确价值的资料按需迁入。</w:t>
      </w:r>
    </w:p>
    <w:tbl>
      <w:tblPr>
        <w:tblW w:type="dxa" w:w="9360"/>
        <w:jc w:val="left"/>
        <w:tblLayout w:type="fixed"/>
        <w:tblLook w:firstColumn="1" w:firstRow="1" w:lastColumn="0" w:lastRow="0" w:noHBand="0" w:noVBand="1" w:val="04A0"/>
        <w:tblInd w:w="120" w:type="dxa"/>
        <w:tblBorders>
          <w:top w:val="single" w:sz="4" w:color="D7DEE8"/>
          <w:left w:val="single" w:sz="4" w:color="D7DEE8"/>
          <w:bottom w:val="single" w:sz="4" w:color="D7DEE8"/>
          <w:right w:val="single" w:sz="4" w:color="D7DEE8"/>
          <w:insideH w:val="single" w:sz="4" w:color="D7DEE8"/>
          <w:insideV w:val="single" w:sz="4" w:color="D7DEE8"/>
        </w:tblBorders>
      </w:tblPr>
      <w:tblGrid>
        <w:gridCol w:w="1650"/>
        <w:gridCol w:w="4700"/>
        <w:gridCol w:w="3010"/>
      </w:tblGrid>
      <w:tr>
        <w:trPr>
          <w:tblHeader w:val="true"/>
          <w:cantSplit w:val="true"/>
        </w:trPr>
        <w:tc>
          <w:tcPr>
            <w:tcW w:type="dxa" w:w="1650"/>
            <w:vAlign w:val="center"/>
            <w:tcMar>
              <w:top w:w="80" w:type="dxa"/>
              <w:start w:w="120" w:type="dxa"/>
              <w:bottom w:w="80" w:type="dxa"/>
              <w:end w:w="120" w:type="dxa"/>
            </w:tcMar>
            <w:shd w:fill="EEF9F4"/>
          </w:tcPr>
          <w:p>
            <w:pPr>
              <w:spacing w:before="0" w:after="40" w:line="259" w:lineRule="auto"/>
              <w:jc w:val="center"/>
            </w:pPr>
            <w:r>
              <w:rPr>
                <w:rFonts w:ascii="Calibri" w:hAnsi="Calibri" w:eastAsia="Arial Unicode MS"/>
                <w:b/>
                <w:color w:val="0B2545"/>
                <w:sz w:val="18"/>
              </w:rPr>
              <w:t>迁移对象</w:t>
            </w:r>
          </w:p>
        </w:tc>
        <w:tc>
          <w:tcPr>
            <w:tcW w:type="dxa" w:w="4700"/>
            <w:vAlign w:val="center"/>
            <w:tcMar>
              <w:top w:w="80" w:type="dxa"/>
              <w:start w:w="120" w:type="dxa"/>
              <w:bottom w:w="80" w:type="dxa"/>
              <w:end w:w="120" w:type="dxa"/>
            </w:tcMar>
            <w:shd w:fill="EEF9F4"/>
          </w:tcPr>
          <w:p>
            <w:pPr>
              <w:spacing w:before="0" w:after="40" w:line="259" w:lineRule="auto"/>
            </w:pPr>
            <w:r>
              <w:rPr>
                <w:rFonts w:ascii="Calibri" w:hAnsi="Calibri" w:eastAsia="Arial Unicode MS"/>
                <w:b/>
                <w:color w:val="0B2545"/>
                <w:sz w:val="18"/>
              </w:rPr>
              <w:t>最小范围</w:t>
            </w:r>
          </w:p>
        </w:tc>
        <w:tc>
          <w:tcPr>
            <w:tcW w:type="dxa" w:w="3010"/>
            <w:vAlign w:val="center"/>
            <w:tcMar>
              <w:top w:w="80" w:type="dxa"/>
              <w:start w:w="120" w:type="dxa"/>
              <w:bottom w:w="80" w:type="dxa"/>
              <w:end w:w="120" w:type="dxa"/>
            </w:tcMar>
            <w:shd w:fill="EEF9F4"/>
          </w:tcPr>
          <w:p>
            <w:pPr>
              <w:spacing w:before="0" w:after="40" w:line="259" w:lineRule="auto"/>
            </w:pPr>
            <w:r>
              <w:rPr>
                <w:rFonts w:ascii="Calibri" w:hAnsi="Calibri" w:eastAsia="Arial Unicode MS"/>
                <w:b/>
                <w:color w:val="0B2545"/>
                <w:sz w:val="18"/>
              </w:rPr>
              <w:t>控制要求</w:t>
            </w:r>
          </w:p>
        </w:tc>
      </w:tr>
      <w:tr>
        <w:trPr>
          <w:cantSplit w:val="true"/>
        </w:trPr>
        <w:tc>
          <w:tcPr>
            <w:tcW w:type="dxa" w:w="1650"/>
            <w:vAlign w:val="center"/>
            <w:tcMar>
              <w:top w:w="80" w:type="dxa"/>
              <w:start w:w="120" w:type="dxa"/>
              <w:bottom w:w="80" w:type="dxa"/>
              <w:end w:w="120" w:type="dxa"/>
            </w:tcMar>
          </w:tcPr>
          <w:p>
            <w:pPr>
              <w:spacing w:before="0" w:after="40" w:line="259" w:lineRule="auto"/>
              <w:jc w:val="center"/>
            </w:pPr>
            <w:r>
              <w:rPr>
                <w:rFonts w:ascii="Calibri" w:hAnsi="Calibri" w:eastAsia="Arial Unicode MS"/>
                <w:b/>
                <w:color w:val="1F2937"/>
                <w:sz w:val="18"/>
              </w:rPr>
              <w:t>基础数据</w:t>
            </w:r>
          </w:p>
        </w:tc>
        <w:tc>
          <w:tcPr>
            <w:tcW w:type="dxa" w:w="470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8"/>
              </w:rPr>
              <w:t>组织、员工、项目角色、项目模板、工作包与受控目录</w:t>
            </w:r>
          </w:p>
        </w:tc>
        <w:tc>
          <w:tcPr>
            <w:tcW w:type="dxa" w:w="301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8"/>
              </w:rPr>
              <w:t>业务负责人确认后导入</w:t>
            </w:r>
          </w:p>
        </w:tc>
      </w:tr>
      <w:tr>
        <w:trPr>
          <w:cantSplit w:val="true"/>
        </w:trPr>
        <w:tc>
          <w:tcPr>
            <w:tcW w:type="dxa" w:w="1650"/>
            <w:vAlign w:val="center"/>
            <w:tcMar>
              <w:top w:w="80" w:type="dxa"/>
              <w:start w:w="120" w:type="dxa"/>
              <w:bottom w:w="80" w:type="dxa"/>
              <w:end w:w="120" w:type="dxa"/>
            </w:tcMar>
            <w:shd w:fill="F8FAFC"/>
          </w:tcPr>
          <w:p>
            <w:pPr>
              <w:spacing w:before="0" w:after="40" w:line="259" w:lineRule="auto"/>
              <w:jc w:val="center"/>
            </w:pPr>
            <w:r>
              <w:rPr>
                <w:rFonts w:ascii="Calibri" w:hAnsi="Calibri" w:eastAsia="Arial Unicode MS"/>
                <w:b/>
                <w:color w:val="1F2937"/>
                <w:sz w:val="18"/>
              </w:rPr>
              <w:t>在建项目主档</w:t>
            </w:r>
          </w:p>
        </w:tc>
        <w:tc>
          <w:tcPr>
            <w:tcW w:type="dxa" w:w="470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8"/>
              </w:rPr>
              <w:t>客户、合同、范围、当前阶段、交付单元</w:t>
            </w:r>
          </w:p>
        </w:tc>
        <w:tc>
          <w:tcPr>
            <w:tcW w:type="dxa" w:w="301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8"/>
              </w:rPr>
              <w:t>一项目一负责人签字</w:t>
            </w:r>
          </w:p>
        </w:tc>
      </w:tr>
      <w:tr>
        <w:trPr>
          <w:cantSplit w:val="true"/>
        </w:trPr>
        <w:tc>
          <w:tcPr>
            <w:tcW w:type="dxa" w:w="1650"/>
            <w:vAlign w:val="center"/>
            <w:tcMar>
              <w:top w:w="80" w:type="dxa"/>
              <w:start w:w="120" w:type="dxa"/>
              <w:bottom w:w="80" w:type="dxa"/>
              <w:end w:w="120" w:type="dxa"/>
            </w:tcMar>
          </w:tcPr>
          <w:p>
            <w:pPr>
              <w:spacing w:before="0" w:after="40" w:line="259" w:lineRule="auto"/>
              <w:jc w:val="center"/>
            </w:pPr>
            <w:r>
              <w:rPr>
                <w:rFonts w:ascii="Calibri" w:hAnsi="Calibri" w:eastAsia="Arial Unicode MS"/>
                <w:b/>
                <w:color w:val="1F2937"/>
                <w:sz w:val="18"/>
              </w:rPr>
              <w:t>执行数据</w:t>
            </w:r>
          </w:p>
        </w:tc>
        <w:tc>
          <w:tcPr>
            <w:tcW w:type="dxa" w:w="470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8"/>
              </w:rPr>
              <w:t>有效计划、未结任务、问题、风险和变更</w:t>
            </w:r>
          </w:p>
        </w:tc>
        <w:tc>
          <w:tcPr>
            <w:tcW w:type="dxa" w:w="301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8"/>
              </w:rPr>
              <w:t>只迁移当前有效与未关闭项</w:t>
            </w:r>
          </w:p>
        </w:tc>
      </w:tr>
      <w:tr>
        <w:trPr>
          <w:cantSplit w:val="true"/>
        </w:trPr>
        <w:tc>
          <w:tcPr>
            <w:tcW w:type="dxa" w:w="1650"/>
            <w:vAlign w:val="center"/>
            <w:tcMar>
              <w:top w:w="80" w:type="dxa"/>
              <w:start w:w="120" w:type="dxa"/>
              <w:bottom w:w="80" w:type="dxa"/>
              <w:end w:w="120" w:type="dxa"/>
            </w:tcMar>
            <w:shd w:fill="F8FAFC"/>
          </w:tcPr>
          <w:p>
            <w:pPr>
              <w:spacing w:before="0" w:after="40" w:line="259" w:lineRule="auto"/>
              <w:jc w:val="center"/>
            </w:pPr>
            <w:r>
              <w:rPr>
                <w:rFonts w:ascii="Calibri" w:hAnsi="Calibri" w:eastAsia="Arial Unicode MS"/>
                <w:b/>
                <w:color w:val="1F2937"/>
                <w:sz w:val="18"/>
              </w:rPr>
              <w:t>资料数据</w:t>
            </w:r>
          </w:p>
        </w:tc>
        <w:tc>
          <w:tcPr>
            <w:tcW w:type="dxa" w:w="470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8"/>
              </w:rPr>
              <w:t>当前有效文件、审批记录、关键验收资料</w:t>
            </w:r>
          </w:p>
        </w:tc>
        <w:tc>
          <w:tcPr>
            <w:tcW w:type="dxa" w:w="301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8"/>
              </w:rPr>
              <w:t>保留来源索引和版本</w:t>
            </w:r>
          </w:p>
        </w:tc>
      </w:tr>
      <w:tr>
        <w:trPr>
          <w:cantSplit w:val="true"/>
        </w:trPr>
        <w:tc>
          <w:tcPr>
            <w:tcW w:type="dxa" w:w="1650"/>
            <w:vAlign w:val="center"/>
            <w:tcMar>
              <w:top w:w="80" w:type="dxa"/>
              <w:start w:w="120" w:type="dxa"/>
              <w:bottom w:w="80" w:type="dxa"/>
              <w:end w:w="120" w:type="dxa"/>
            </w:tcMar>
          </w:tcPr>
          <w:p>
            <w:pPr>
              <w:spacing w:before="0" w:after="40" w:line="259" w:lineRule="auto"/>
              <w:jc w:val="center"/>
            </w:pPr>
            <w:r>
              <w:rPr>
                <w:rFonts w:ascii="Calibri" w:hAnsi="Calibri" w:eastAsia="Arial Unicode MS"/>
                <w:b/>
                <w:color w:val="1F2937"/>
                <w:sz w:val="18"/>
              </w:rPr>
              <w:t>经营数据</w:t>
            </w:r>
          </w:p>
        </w:tc>
        <w:tc>
          <w:tcPr>
            <w:tcW w:type="dxa" w:w="470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8"/>
              </w:rPr>
              <w:t>预算口径、采购承诺、付款节点和预测</w:t>
            </w:r>
          </w:p>
        </w:tc>
        <w:tc>
          <w:tcPr>
            <w:tcW w:type="dxa" w:w="301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8"/>
              </w:rPr>
              <w:t>与财务来源对账</w:t>
            </w:r>
          </w:p>
        </w:tc>
      </w:tr>
    </w:tbl>
    <w:p>
      <w:pPr>
        <w:spacing w:after="40"/>
      </w:pPr>
    </w:p>
    <w:p>
      <w:pPr>
        <w:pStyle w:val="Heading2"/>
        <w:keepNext w:val="1"/>
      </w:pPr>
      <w:r>
        <w:t>7.2 推广与变更管理</w:t>
      </w:r>
    </w:p>
    <w:p>
      <w:pPr>
        <w:numPr>
          <w:ilvl w:val="0"/>
          <w:numId w:val="10"/>
        </w:numPr>
        <w:spacing w:after="160" w:line="280" w:lineRule="auto"/>
      </w:pPr>
      <w:r>
        <w:rPr>
          <w:rFonts w:ascii="Calibri" w:hAnsi="Calibri" w:eastAsia="Arial Unicode MS"/>
          <w:color w:val="1F2937"/>
          <w:sz w:val="22"/>
        </w:rPr>
        <w:t>按角色设计培训：管理层看组合与决策，项目经理看计划经营，负责人看工作包与资源，成员看任务与现场反馈；</w:t>
      </w:r>
    </w:p>
    <w:p>
      <w:pPr>
        <w:numPr>
          <w:ilvl w:val="0"/>
          <w:numId w:val="10"/>
        </w:numPr>
        <w:spacing w:after="160" w:line="280" w:lineRule="auto"/>
      </w:pPr>
      <w:r>
        <w:rPr>
          <w:rFonts w:ascii="Calibri" w:hAnsi="Calibri" w:eastAsia="Arial Unicode MS"/>
          <w:color w:val="1F2937"/>
          <w:sz w:val="22"/>
        </w:rPr>
        <w:t>上线前准备模板、示例项目、操作手册、问题通道和关键用户；</w:t>
      </w:r>
    </w:p>
    <w:p>
      <w:pPr>
        <w:numPr>
          <w:ilvl w:val="0"/>
          <w:numId w:val="10"/>
        </w:numPr>
        <w:spacing w:after="160" w:line="280" w:lineRule="auto"/>
      </w:pPr>
      <w:r>
        <w:rPr>
          <w:rFonts w:ascii="Calibri" w:hAnsi="Calibri" w:eastAsia="Arial Unicode MS"/>
          <w:color w:val="1F2937"/>
          <w:sz w:val="22"/>
        </w:rPr>
        <w:t>所有新商机统一切入后，再按风险和阶段对在建项目分批迁移；</w:t>
      </w:r>
    </w:p>
    <w:p>
      <w:pPr>
        <w:numPr>
          <w:ilvl w:val="0"/>
          <w:numId w:val="10"/>
        </w:numPr>
        <w:spacing w:after="160" w:line="280" w:lineRule="auto"/>
      </w:pPr>
      <w:r>
        <w:rPr>
          <w:rFonts w:ascii="Calibri" w:hAnsi="Calibri" w:eastAsia="Arial Unicode MS"/>
          <w:color w:val="1F2937"/>
          <w:sz w:val="22"/>
        </w:rPr>
        <w:t>上线后设置 4~8 周稳定期，跟踪使用、数据质量、流程绕行、性能和支持负荷；</w:t>
      </w:r>
    </w:p>
    <w:p>
      <w:pPr>
        <w:numPr>
          <w:ilvl w:val="0"/>
          <w:numId w:val="10"/>
        </w:numPr>
        <w:spacing w:after="160" w:line="280" w:lineRule="auto"/>
      </w:pPr>
      <w:r>
        <w:rPr>
          <w:rFonts w:ascii="Calibri" w:hAnsi="Calibri" w:eastAsia="Arial Unicode MS"/>
          <w:color w:val="1F2937"/>
          <w:sz w:val="22"/>
        </w:rPr>
        <w:t>运营期按月复盘规则、模板、权限和指标，不把一次性项目配置固化成长期错误。</w:t>
      </w:r>
    </w:p>
    <w:p>
      <w:pPr>
        <w:pStyle w:val="Heading1"/>
        <w:keepNext w:val="1"/>
      </w:pPr>
      <w:r>
        <w:t>八、安全、质量与验收</w:t>
      </w:r>
    </w:p>
    <w:p>
      <w:pPr>
        <w:pStyle w:val="Heading2"/>
        <w:keepNext w:val="1"/>
      </w:pPr>
      <w:r>
        <w:t>8.1 安全与非功能原则</w:t>
      </w:r>
    </w:p>
    <w:tbl>
      <w:tblPr>
        <w:tblW w:type="dxa" w:w="9360"/>
        <w:jc w:val="left"/>
        <w:tblLayout w:type="fixed"/>
        <w:tblLook w:firstColumn="1" w:firstRow="1" w:lastColumn="0" w:lastRow="0" w:noHBand="0" w:noVBand="1" w:val="04A0"/>
        <w:tblInd w:w="120" w:type="dxa"/>
        <w:tblBorders>
          <w:top w:val="single" w:sz="4" w:color="D7DEE8"/>
          <w:left w:val="single" w:sz="4" w:color="D7DEE8"/>
          <w:bottom w:val="single" w:sz="4" w:color="D7DEE8"/>
          <w:right w:val="single" w:sz="4" w:color="D7DEE8"/>
          <w:insideH w:val="single" w:sz="4" w:color="D7DEE8"/>
          <w:insideV w:val="single" w:sz="4" w:color="D7DEE8"/>
        </w:tblBorders>
      </w:tblPr>
      <w:tblGrid>
        <w:gridCol w:w="1800"/>
        <w:gridCol w:w="7560"/>
      </w:tblGrid>
      <w:tr>
        <w:trPr>
          <w:tblHeader w:val="true"/>
          <w:cantSplit w:val="true"/>
        </w:trPr>
        <w:tc>
          <w:tcPr>
            <w:tcW w:type="dxa" w:w="1800"/>
            <w:vAlign w:val="center"/>
            <w:tcMar>
              <w:top w:w="80" w:type="dxa"/>
              <w:start w:w="120" w:type="dxa"/>
              <w:bottom w:w="80" w:type="dxa"/>
              <w:end w:w="120" w:type="dxa"/>
            </w:tcMar>
            <w:shd w:fill="EEF4FF"/>
          </w:tcPr>
          <w:p>
            <w:pPr>
              <w:spacing w:before="0" w:after="40" w:line="259" w:lineRule="auto"/>
              <w:jc w:val="center"/>
            </w:pPr>
            <w:r>
              <w:rPr>
                <w:rFonts w:ascii="Calibri" w:hAnsi="Calibri" w:eastAsia="Arial Unicode MS"/>
                <w:b/>
                <w:color w:val="0B2545"/>
                <w:sz w:val="18"/>
              </w:rPr>
              <w:t>控制域</w:t>
            </w:r>
          </w:p>
        </w:tc>
        <w:tc>
          <w:tcPr>
            <w:tcW w:type="dxa" w:w="7560"/>
            <w:vAlign w:val="center"/>
            <w:tcMar>
              <w:top w:w="80" w:type="dxa"/>
              <w:start w:w="120" w:type="dxa"/>
              <w:bottom w:w="80" w:type="dxa"/>
              <w:end w:w="120" w:type="dxa"/>
            </w:tcMar>
            <w:shd w:fill="EEF4FF"/>
          </w:tcPr>
          <w:p>
            <w:pPr>
              <w:spacing w:before="0" w:after="40" w:line="259" w:lineRule="auto"/>
            </w:pPr>
            <w:r>
              <w:rPr>
                <w:rFonts w:ascii="Calibri" w:hAnsi="Calibri" w:eastAsia="Arial Unicode MS"/>
                <w:b/>
                <w:color w:val="0B2545"/>
                <w:sz w:val="18"/>
              </w:rPr>
              <w:t>首期原则</w:t>
            </w:r>
          </w:p>
        </w:tc>
      </w:tr>
      <w:tr>
        <w:trPr>
          <w:cantSplit w:val="true"/>
        </w:trPr>
        <w:tc>
          <w:tcPr>
            <w:tcW w:type="dxa" w:w="1800"/>
            <w:vAlign w:val="center"/>
            <w:tcMar>
              <w:top w:w="80" w:type="dxa"/>
              <w:start w:w="120" w:type="dxa"/>
              <w:bottom w:w="80" w:type="dxa"/>
              <w:end w:w="120" w:type="dxa"/>
            </w:tcMar>
          </w:tcPr>
          <w:p>
            <w:pPr>
              <w:spacing w:before="0" w:after="40" w:line="259" w:lineRule="auto"/>
              <w:jc w:val="center"/>
            </w:pPr>
            <w:r>
              <w:rPr>
                <w:rFonts w:ascii="Calibri" w:hAnsi="Calibri" w:eastAsia="Arial Unicode MS"/>
                <w:b/>
                <w:color w:val="1F2937"/>
                <w:sz w:val="18"/>
              </w:rPr>
              <w:t>身份与访问</w:t>
            </w:r>
          </w:p>
        </w:tc>
        <w:tc>
          <w:tcPr>
            <w:tcW w:type="dxa" w:w="756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8"/>
              </w:rPr>
              <w:t>公司员工统一身份、MFA、会话/设备控制、离职即时停权</w:t>
            </w:r>
          </w:p>
        </w:tc>
      </w:tr>
      <w:tr>
        <w:trPr>
          <w:cantSplit w:val="true"/>
        </w:trPr>
        <w:tc>
          <w:tcPr>
            <w:tcW w:type="dxa" w:w="1800"/>
            <w:vAlign w:val="center"/>
            <w:tcMar>
              <w:top w:w="80" w:type="dxa"/>
              <w:start w:w="120" w:type="dxa"/>
              <w:bottom w:w="80" w:type="dxa"/>
              <w:end w:w="120" w:type="dxa"/>
            </w:tcMar>
            <w:shd w:fill="F8FAFC"/>
          </w:tcPr>
          <w:p>
            <w:pPr>
              <w:spacing w:before="0" w:after="40" w:line="259" w:lineRule="auto"/>
              <w:jc w:val="center"/>
            </w:pPr>
            <w:r>
              <w:rPr>
                <w:rFonts w:ascii="Calibri" w:hAnsi="Calibri" w:eastAsia="Arial Unicode MS"/>
                <w:b/>
                <w:color w:val="1F2937"/>
                <w:sz w:val="18"/>
              </w:rPr>
              <w:t>权限模型</w:t>
            </w:r>
          </w:p>
        </w:tc>
        <w:tc>
          <w:tcPr>
            <w:tcW w:type="dxa" w:w="756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8"/>
              </w:rPr>
              <w:t>组织岗位 ∩ 项目角色 ∩ 数据密级 ∩ 数据状态；临时授权有原因和到期日</w:t>
            </w:r>
          </w:p>
        </w:tc>
      </w:tr>
      <w:tr>
        <w:trPr>
          <w:cantSplit w:val="true"/>
        </w:trPr>
        <w:tc>
          <w:tcPr>
            <w:tcW w:type="dxa" w:w="1800"/>
            <w:vAlign w:val="center"/>
            <w:tcMar>
              <w:top w:w="80" w:type="dxa"/>
              <w:start w:w="120" w:type="dxa"/>
              <w:bottom w:w="80" w:type="dxa"/>
              <w:end w:w="120" w:type="dxa"/>
            </w:tcMar>
          </w:tcPr>
          <w:p>
            <w:pPr>
              <w:spacing w:before="0" w:after="40" w:line="259" w:lineRule="auto"/>
              <w:jc w:val="center"/>
            </w:pPr>
            <w:r>
              <w:rPr>
                <w:rFonts w:ascii="Calibri" w:hAnsi="Calibri" w:eastAsia="Arial Unicode MS"/>
                <w:b/>
                <w:color w:val="1F2937"/>
                <w:sz w:val="18"/>
              </w:rPr>
              <w:t>数据保护</w:t>
            </w:r>
          </w:p>
        </w:tc>
        <w:tc>
          <w:tcPr>
            <w:tcW w:type="dxa" w:w="756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8"/>
              </w:rPr>
              <w:t>L1-L4 分级；敏感下载审批/水印；核心技术最小授权</w:t>
            </w:r>
          </w:p>
        </w:tc>
      </w:tr>
      <w:tr>
        <w:trPr>
          <w:cantSplit w:val="true"/>
        </w:trPr>
        <w:tc>
          <w:tcPr>
            <w:tcW w:type="dxa" w:w="1800"/>
            <w:vAlign w:val="center"/>
            <w:tcMar>
              <w:top w:w="80" w:type="dxa"/>
              <w:start w:w="120" w:type="dxa"/>
              <w:bottom w:w="80" w:type="dxa"/>
              <w:end w:w="120" w:type="dxa"/>
            </w:tcMar>
            <w:shd w:fill="F8FAFC"/>
          </w:tcPr>
          <w:p>
            <w:pPr>
              <w:spacing w:before="0" w:after="40" w:line="259" w:lineRule="auto"/>
              <w:jc w:val="center"/>
            </w:pPr>
            <w:r>
              <w:rPr>
                <w:rFonts w:ascii="Calibri" w:hAnsi="Calibri" w:eastAsia="Arial Unicode MS"/>
                <w:b/>
                <w:color w:val="1F2937"/>
                <w:sz w:val="18"/>
              </w:rPr>
              <w:t>审计与不可篡改</w:t>
            </w:r>
          </w:p>
        </w:tc>
        <w:tc>
          <w:tcPr>
            <w:tcW w:type="dxa" w:w="756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8"/>
              </w:rPr>
              <w:t>审批、下载、修改、例外、归档和权限变更全量留痕；已批准数据通过替代/冲销更正</w:t>
            </w:r>
          </w:p>
        </w:tc>
      </w:tr>
      <w:tr>
        <w:trPr>
          <w:cantSplit w:val="true"/>
        </w:trPr>
        <w:tc>
          <w:tcPr>
            <w:tcW w:type="dxa" w:w="1800"/>
            <w:vAlign w:val="center"/>
            <w:tcMar>
              <w:top w:w="80" w:type="dxa"/>
              <w:start w:w="120" w:type="dxa"/>
              <w:bottom w:w="80" w:type="dxa"/>
              <w:end w:w="120" w:type="dxa"/>
            </w:tcMar>
          </w:tcPr>
          <w:p>
            <w:pPr>
              <w:spacing w:before="0" w:after="40" w:line="259" w:lineRule="auto"/>
              <w:jc w:val="center"/>
            </w:pPr>
            <w:r>
              <w:rPr>
                <w:rFonts w:ascii="Calibri" w:hAnsi="Calibri" w:eastAsia="Arial Unicode MS"/>
                <w:b/>
                <w:color w:val="1F2937"/>
                <w:sz w:val="18"/>
              </w:rPr>
              <w:t>连续性</w:t>
            </w:r>
          </w:p>
        </w:tc>
        <w:tc>
          <w:tcPr>
            <w:tcW w:type="dxa" w:w="756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8"/>
              </w:rPr>
              <w:t>明确备份、恢复、归档校验和故障处置；具体 RPO/RTO 在技术方案中定标</w:t>
            </w:r>
          </w:p>
        </w:tc>
      </w:tr>
      <w:tr>
        <w:trPr>
          <w:cantSplit w:val="true"/>
        </w:trPr>
        <w:tc>
          <w:tcPr>
            <w:tcW w:type="dxa" w:w="1800"/>
            <w:vAlign w:val="center"/>
            <w:tcMar>
              <w:top w:w="80" w:type="dxa"/>
              <w:start w:w="120" w:type="dxa"/>
              <w:bottom w:w="80" w:type="dxa"/>
              <w:end w:w="120" w:type="dxa"/>
            </w:tcMar>
            <w:shd w:fill="F8FAFC"/>
          </w:tcPr>
          <w:p>
            <w:pPr>
              <w:spacing w:before="0" w:after="40" w:line="259" w:lineRule="auto"/>
              <w:jc w:val="center"/>
            </w:pPr>
            <w:r>
              <w:rPr>
                <w:rFonts w:ascii="Calibri" w:hAnsi="Calibri" w:eastAsia="Arial Unicode MS"/>
                <w:b/>
                <w:color w:val="1F2937"/>
                <w:sz w:val="18"/>
              </w:rPr>
              <w:t>质量</w:t>
            </w:r>
          </w:p>
        </w:tc>
        <w:tc>
          <w:tcPr>
            <w:tcW w:type="dxa" w:w="756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8"/>
              </w:rPr>
              <w:t>需求—系统单元—100 项动作—测试—试点证据建立双向追溯</w:t>
            </w:r>
          </w:p>
        </w:tc>
      </w:tr>
    </w:tbl>
    <w:p>
      <w:pPr>
        <w:spacing w:after="40"/>
      </w:pPr>
    </w:p>
    <w:p>
      <w:pPr>
        <w:pStyle w:val="Heading2"/>
        <w:keepNext w:val="1"/>
      </w:pPr>
      <w:r>
        <w:t>8.2 MVP 验收维度</w:t>
      </w:r>
    </w:p>
    <w:tbl>
      <w:tblPr>
        <w:tblW w:type="dxa" w:w="9360"/>
        <w:jc w:val="left"/>
        <w:tblLayout w:type="fixed"/>
        <w:tblLook w:firstColumn="1" w:firstRow="1" w:lastColumn="0" w:lastRow="0" w:noHBand="0" w:noVBand="1" w:val="04A0"/>
        <w:tblInd w:w="120" w:type="dxa"/>
        <w:tblBorders>
          <w:top w:val="single" w:sz="4" w:color="D7DEE8"/>
          <w:left w:val="single" w:sz="4" w:color="D7DEE8"/>
          <w:bottom w:val="single" w:sz="4" w:color="D7DEE8"/>
          <w:right w:val="single" w:sz="4" w:color="D7DEE8"/>
          <w:insideH w:val="single" w:sz="4" w:color="D7DEE8"/>
          <w:insideV w:val="single" w:sz="4" w:color="D7DEE8"/>
        </w:tblBorders>
      </w:tblPr>
      <w:tblGrid>
        <w:gridCol w:w="2200"/>
        <w:gridCol w:w="7160"/>
      </w:tblGrid>
      <w:tr>
        <w:trPr>
          <w:tblHeader w:val="true"/>
          <w:cantSplit w:val="true"/>
        </w:trPr>
        <w:tc>
          <w:tcPr>
            <w:tcW w:type="dxa" w:w="2200"/>
            <w:vAlign w:val="center"/>
            <w:tcMar>
              <w:top w:w="80" w:type="dxa"/>
              <w:start w:w="120" w:type="dxa"/>
              <w:bottom w:w="80" w:type="dxa"/>
              <w:end w:w="120" w:type="dxa"/>
            </w:tcMar>
            <w:shd w:fill="EEF9F4"/>
          </w:tcPr>
          <w:p>
            <w:pPr>
              <w:spacing w:before="0" w:after="40" w:line="259" w:lineRule="auto"/>
              <w:jc w:val="center"/>
            </w:pPr>
            <w:r>
              <w:rPr>
                <w:rFonts w:ascii="Calibri" w:hAnsi="Calibri" w:eastAsia="Arial Unicode MS"/>
                <w:b/>
                <w:color w:val="0B2545"/>
                <w:sz w:val="18"/>
              </w:rPr>
              <w:t>验收维度</w:t>
            </w:r>
          </w:p>
        </w:tc>
        <w:tc>
          <w:tcPr>
            <w:tcW w:type="dxa" w:w="7160"/>
            <w:vAlign w:val="center"/>
            <w:tcMar>
              <w:top w:w="80" w:type="dxa"/>
              <w:start w:w="120" w:type="dxa"/>
              <w:bottom w:w="80" w:type="dxa"/>
              <w:end w:w="120" w:type="dxa"/>
            </w:tcMar>
            <w:shd w:fill="EEF9F4"/>
          </w:tcPr>
          <w:p>
            <w:pPr>
              <w:spacing w:before="0" w:after="40" w:line="259" w:lineRule="auto"/>
            </w:pPr>
            <w:r>
              <w:rPr>
                <w:rFonts w:ascii="Calibri" w:hAnsi="Calibri" w:eastAsia="Arial Unicode MS"/>
                <w:b/>
                <w:color w:val="0B2545"/>
                <w:sz w:val="18"/>
              </w:rPr>
              <w:t>核心证据</w:t>
            </w:r>
          </w:p>
        </w:tc>
      </w:tr>
      <w:tr>
        <w:trPr>
          <w:cantSplit w:val="true"/>
        </w:trPr>
        <w:tc>
          <w:tcPr>
            <w:tcW w:type="dxa" w:w="2200"/>
            <w:vAlign w:val="center"/>
            <w:tcMar>
              <w:top w:w="80" w:type="dxa"/>
              <w:start w:w="120" w:type="dxa"/>
              <w:bottom w:w="80" w:type="dxa"/>
              <w:end w:w="120" w:type="dxa"/>
            </w:tcMar>
          </w:tcPr>
          <w:p>
            <w:pPr>
              <w:spacing w:before="0" w:after="40" w:line="259" w:lineRule="auto"/>
              <w:jc w:val="center"/>
            </w:pPr>
            <w:r>
              <w:rPr>
                <w:rFonts w:ascii="Calibri" w:hAnsi="Calibri" w:eastAsia="Arial Unicode MS"/>
                <w:b/>
                <w:color w:val="1F2937"/>
                <w:sz w:val="18"/>
              </w:rPr>
              <w:t>商务移交完整</w:t>
            </w:r>
          </w:p>
        </w:tc>
        <w:tc>
          <w:tcPr>
            <w:tcW w:type="dxa" w:w="716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8"/>
              </w:rPr>
              <w:t>缺项可识别；正常准入与例外审批均可追溯</w:t>
            </w:r>
          </w:p>
        </w:tc>
      </w:tr>
      <w:tr>
        <w:trPr>
          <w:cantSplit w:val="true"/>
        </w:trPr>
        <w:tc>
          <w:tcPr>
            <w:tcW w:type="dxa" w:w="2200"/>
            <w:vAlign w:val="center"/>
            <w:tcMar>
              <w:top w:w="80" w:type="dxa"/>
              <w:start w:w="120" w:type="dxa"/>
              <w:bottom w:w="80" w:type="dxa"/>
              <w:end w:w="120" w:type="dxa"/>
            </w:tcMar>
            <w:shd w:fill="F8FAFC"/>
          </w:tcPr>
          <w:p>
            <w:pPr>
              <w:spacing w:before="0" w:after="40" w:line="259" w:lineRule="auto"/>
              <w:jc w:val="center"/>
            </w:pPr>
            <w:r>
              <w:rPr>
                <w:rFonts w:ascii="Calibri" w:hAnsi="Calibri" w:eastAsia="Arial Unicode MS"/>
                <w:b/>
                <w:color w:val="1F2937"/>
                <w:sz w:val="18"/>
              </w:rPr>
              <w:t>计划与责任透明</w:t>
            </w:r>
          </w:p>
        </w:tc>
        <w:tc>
          <w:tcPr>
            <w:tcW w:type="dxa" w:w="716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8"/>
              </w:rPr>
              <w:t>里程碑、工作包、任务、责任、期限和偏差可穿透查看</w:t>
            </w:r>
          </w:p>
        </w:tc>
      </w:tr>
      <w:tr>
        <w:trPr>
          <w:cantSplit w:val="true"/>
        </w:trPr>
        <w:tc>
          <w:tcPr>
            <w:tcW w:type="dxa" w:w="2200"/>
            <w:vAlign w:val="center"/>
            <w:tcMar>
              <w:top w:w="80" w:type="dxa"/>
              <w:start w:w="120" w:type="dxa"/>
              <w:bottom w:w="80" w:type="dxa"/>
              <w:end w:w="120" w:type="dxa"/>
            </w:tcMar>
          </w:tcPr>
          <w:p>
            <w:pPr>
              <w:spacing w:before="0" w:after="40" w:line="259" w:lineRule="auto"/>
              <w:jc w:val="center"/>
            </w:pPr>
            <w:r>
              <w:rPr>
                <w:rFonts w:ascii="Calibri" w:hAnsi="Calibri" w:eastAsia="Arial Unicode MS"/>
                <w:b/>
                <w:color w:val="1F2937"/>
                <w:sz w:val="18"/>
              </w:rPr>
              <w:t>资源冲突前置</w:t>
            </w:r>
          </w:p>
        </w:tc>
        <w:tc>
          <w:tcPr>
            <w:tcW w:type="dxa" w:w="716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8"/>
              </w:rPr>
              <w:t>人员承诺前显示未来负荷和跨项目冲突，并保留裁决</w:t>
            </w:r>
          </w:p>
        </w:tc>
      </w:tr>
      <w:tr>
        <w:trPr>
          <w:cantSplit w:val="true"/>
        </w:trPr>
        <w:tc>
          <w:tcPr>
            <w:tcW w:type="dxa" w:w="2200"/>
            <w:vAlign w:val="center"/>
            <w:tcMar>
              <w:top w:w="80" w:type="dxa"/>
              <w:start w:w="120" w:type="dxa"/>
              <w:bottom w:w="80" w:type="dxa"/>
              <w:end w:w="120" w:type="dxa"/>
            </w:tcMar>
            <w:shd w:fill="F8FAFC"/>
          </w:tcPr>
          <w:p>
            <w:pPr>
              <w:spacing w:before="0" w:after="40" w:line="259" w:lineRule="auto"/>
              <w:jc w:val="center"/>
            </w:pPr>
            <w:r>
              <w:rPr>
                <w:rFonts w:ascii="Calibri" w:hAnsi="Calibri" w:eastAsia="Arial Unicode MS"/>
                <w:b/>
                <w:color w:val="1F2937"/>
                <w:sz w:val="18"/>
              </w:rPr>
              <w:t>事项形成闭环</w:t>
            </w:r>
          </w:p>
        </w:tc>
        <w:tc>
          <w:tcPr>
            <w:tcW w:type="dxa" w:w="716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8"/>
              </w:rPr>
              <w:t>重大事项具备分级、责任、期限、处理证据、验证和升级</w:t>
            </w:r>
          </w:p>
        </w:tc>
      </w:tr>
      <w:tr>
        <w:trPr>
          <w:cantSplit w:val="true"/>
        </w:trPr>
        <w:tc>
          <w:tcPr>
            <w:tcW w:type="dxa" w:w="2200"/>
            <w:vAlign w:val="center"/>
            <w:tcMar>
              <w:top w:w="80" w:type="dxa"/>
              <w:start w:w="120" w:type="dxa"/>
              <w:bottom w:w="80" w:type="dxa"/>
              <w:end w:w="120" w:type="dxa"/>
            </w:tcMar>
          </w:tcPr>
          <w:p>
            <w:pPr>
              <w:spacing w:before="0" w:after="40" w:line="259" w:lineRule="auto"/>
              <w:jc w:val="center"/>
            </w:pPr>
            <w:r>
              <w:rPr>
                <w:rFonts w:ascii="Calibri" w:hAnsi="Calibri" w:eastAsia="Arial Unicode MS"/>
                <w:b/>
                <w:color w:val="1F2937"/>
                <w:sz w:val="18"/>
              </w:rPr>
              <w:t>文件版本可信</w:t>
            </w:r>
          </w:p>
        </w:tc>
        <w:tc>
          <w:tcPr>
            <w:tcW w:type="dxa" w:w="716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8"/>
              </w:rPr>
              <w:t>成员可找到当前有效版本及完整评审/替代历史</w:t>
            </w:r>
          </w:p>
        </w:tc>
      </w:tr>
      <w:tr>
        <w:trPr>
          <w:cantSplit w:val="true"/>
        </w:trPr>
        <w:tc>
          <w:tcPr>
            <w:tcW w:type="dxa" w:w="2200"/>
            <w:vAlign w:val="center"/>
            <w:tcMar>
              <w:top w:w="80" w:type="dxa"/>
              <w:start w:w="120" w:type="dxa"/>
              <w:bottom w:w="80" w:type="dxa"/>
              <w:end w:w="120" w:type="dxa"/>
            </w:tcMar>
            <w:shd w:fill="F8FAFC"/>
          </w:tcPr>
          <w:p>
            <w:pPr>
              <w:spacing w:before="0" w:after="40" w:line="259" w:lineRule="auto"/>
              <w:jc w:val="center"/>
            </w:pPr>
            <w:r>
              <w:rPr>
                <w:rFonts w:ascii="Calibri" w:hAnsi="Calibri" w:eastAsia="Arial Unicode MS"/>
                <w:b/>
                <w:color w:val="1F2937"/>
                <w:sz w:val="18"/>
              </w:rPr>
              <w:t>报告减少重复</w:t>
            </w:r>
          </w:p>
        </w:tc>
        <w:tc>
          <w:tcPr>
            <w:tcW w:type="dxa" w:w="716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8"/>
              </w:rPr>
              <w:t>项目日报、周报和看板主要从执行数据生成</w:t>
            </w:r>
          </w:p>
        </w:tc>
      </w:tr>
      <w:tr>
        <w:trPr>
          <w:cantSplit w:val="true"/>
        </w:trPr>
        <w:tc>
          <w:tcPr>
            <w:tcW w:type="dxa" w:w="2200"/>
            <w:vAlign w:val="center"/>
            <w:tcMar>
              <w:top w:w="80" w:type="dxa"/>
              <w:start w:w="120" w:type="dxa"/>
              <w:bottom w:w="80" w:type="dxa"/>
              <w:end w:w="120" w:type="dxa"/>
            </w:tcMar>
          </w:tcPr>
          <w:p>
            <w:pPr>
              <w:spacing w:before="0" w:after="40" w:line="259" w:lineRule="auto"/>
              <w:jc w:val="center"/>
            </w:pPr>
            <w:r>
              <w:rPr>
                <w:rFonts w:ascii="Calibri" w:hAnsi="Calibri" w:eastAsia="Arial Unicode MS"/>
                <w:b/>
                <w:color w:val="1F2937"/>
                <w:sz w:val="18"/>
              </w:rPr>
              <w:t>用户真实使用</w:t>
            </w:r>
          </w:p>
        </w:tc>
        <w:tc>
          <w:tcPr>
            <w:tcW w:type="dxa" w:w="716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8"/>
              </w:rPr>
              <w:t>关键工作在系统完成，不长期依赖线下补表</w:t>
            </w:r>
          </w:p>
        </w:tc>
      </w:tr>
      <w:tr>
        <w:trPr>
          <w:cantSplit w:val="true"/>
        </w:trPr>
        <w:tc>
          <w:tcPr>
            <w:tcW w:type="dxa" w:w="2200"/>
            <w:vAlign w:val="center"/>
            <w:tcMar>
              <w:top w:w="80" w:type="dxa"/>
              <w:start w:w="120" w:type="dxa"/>
              <w:bottom w:w="80" w:type="dxa"/>
              <w:end w:w="120" w:type="dxa"/>
            </w:tcMar>
            <w:shd w:fill="F8FAFC"/>
          </w:tcPr>
          <w:p>
            <w:pPr>
              <w:spacing w:before="0" w:after="40" w:line="259" w:lineRule="auto"/>
              <w:jc w:val="center"/>
            </w:pPr>
            <w:r>
              <w:rPr>
                <w:rFonts w:ascii="Calibri" w:hAnsi="Calibri" w:eastAsia="Arial Unicode MS"/>
                <w:b/>
                <w:color w:val="1F2937"/>
                <w:sz w:val="18"/>
              </w:rPr>
              <w:t>安全与审计</w:t>
            </w:r>
          </w:p>
        </w:tc>
        <w:tc>
          <w:tcPr>
            <w:tcW w:type="dxa" w:w="716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8"/>
              </w:rPr>
              <w:t>权限、下载、修改、审批、例外和归档操作可追溯</w:t>
            </w:r>
          </w:p>
        </w:tc>
      </w:tr>
    </w:tbl>
    <w:p>
      <w:pPr>
        <w:spacing w:after="40"/>
      </w:pPr>
    </w:p>
    <w:p>
      <w:pPr>
        <w:pStyle w:val="LeadCallout"/>
        <w:spacing w:before="120" w:after="200"/>
        <w:ind w:left="200" w:right="200"/>
        <w:shd w:fill="FFF8E8"/>
        <w:pBdr>
          <w:left w:val="single" w:sz="18" w:space="8" w:color="D19A32"/>
        </w:pBdr>
        <w:keepLines w:val="1"/>
      </w:pPr>
      <w:r>
        <w:rPr>
          <w:rFonts w:ascii="Calibri" w:hAnsi="Calibri" w:eastAsia="Arial Unicode MS"/>
          <w:b/>
          <w:color w:val="D19A32"/>
          <w:sz w:val="21"/>
        </w:rPr>
        <w:t xml:space="preserve">指标口径  </w:t>
      </w:r>
      <w:r>
        <w:rPr>
          <w:rFonts w:ascii="Calibri" w:hAnsi="Calibri" w:eastAsia="Arial Unicode MS"/>
          <w:color w:val="1F2937"/>
          <w:sz w:val="21"/>
        </w:rPr>
        <w:t>V0.1 不主观承诺改善百分比。P0 阶段先采集现状基线，再在 PRD/试点验收方案中固化阈值、时限和目标。</w:t>
      </w:r>
    </w:p>
    <w:p>
      <w:pPr>
        <w:pStyle w:val="Heading1"/>
        <w:keepNext w:val="1"/>
      </w:pPr>
      <w:r>
        <w:t>九、投资框架与主要风险</w:t>
      </w:r>
    </w:p>
    <w:p>
      <w:pPr>
        <w:pStyle w:val="Heading2"/>
        <w:keepNext w:val="1"/>
      </w:pPr>
      <w:r>
        <w:t>9.1 投资估算框架</w:t>
      </w:r>
    </w:p>
    <w:p>
      <w:pPr/>
      <w:r>
        <w:rPr>
          <w:rFonts w:ascii="Calibri" w:hAnsi="Calibri" w:eastAsia="Arial Unicode MS"/>
          <w:i w:val="0"/>
          <w:color w:val="1F2937"/>
          <w:sz w:val="22"/>
        </w:rPr>
        <w:t>当前资料不足以形成可信的人民币总额，本版采用“人月量级 + 成本构成 + 测算公式”作为立项框架。建议按 10~15 人峰值团队、100~160 人月的工程量级进行初步比选，并在 P0/P1 明确自建/外包比例、平台复用、部署方式和接口边界后形成预算基线。</w:t>
      </w:r>
    </w:p>
    <w:tbl>
      <w:tblPr>
        <w:tblW w:type="dxa" w:w="9360"/>
        <w:jc w:val="left"/>
        <w:tblLayout w:type="fixed"/>
        <w:tblLook w:firstColumn="1" w:firstRow="1" w:lastColumn="0" w:lastRow="0" w:noHBand="0" w:noVBand="1" w:val="04A0"/>
        <w:tblInd w:w="120" w:type="dxa"/>
        <w:tblBorders>
          <w:top w:val="single" w:sz="4" w:color="D7DEE8"/>
          <w:left w:val="single" w:sz="4" w:color="D7DEE8"/>
          <w:bottom w:val="single" w:sz="4" w:color="D7DEE8"/>
          <w:right w:val="single" w:sz="4" w:color="D7DEE8"/>
          <w:insideH w:val="single" w:sz="4" w:color="D7DEE8"/>
          <w:insideV w:val="single" w:sz="4" w:color="D7DEE8"/>
        </w:tblBorders>
      </w:tblPr>
      <w:tblGrid>
        <w:gridCol w:w="2100"/>
        <w:gridCol w:w="1700"/>
        <w:gridCol w:w="5560"/>
      </w:tblGrid>
      <w:tr>
        <w:trPr>
          <w:tblHeader w:val="true"/>
          <w:cantSplit w:val="true"/>
        </w:trPr>
        <w:tc>
          <w:tcPr>
            <w:tcW w:type="dxa" w:w="2100"/>
            <w:vAlign w:val="center"/>
            <w:tcMar>
              <w:top w:w="80" w:type="dxa"/>
              <w:start w:w="120" w:type="dxa"/>
              <w:bottom w:w="80" w:type="dxa"/>
              <w:end w:w="120" w:type="dxa"/>
            </w:tcMar>
            <w:shd w:fill="EEF4FF"/>
          </w:tcPr>
          <w:p>
            <w:pPr>
              <w:spacing w:before="0" w:after="40" w:line="259" w:lineRule="auto"/>
              <w:jc w:val="center"/>
            </w:pPr>
            <w:r>
              <w:rPr>
                <w:rFonts w:ascii="Calibri" w:hAnsi="Calibri" w:eastAsia="Arial Unicode MS"/>
                <w:b/>
                <w:color w:val="0B2545"/>
                <w:sz w:val="18"/>
              </w:rPr>
              <w:t>投入类别</w:t>
            </w:r>
          </w:p>
        </w:tc>
        <w:tc>
          <w:tcPr>
            <w:tcW w:type="dxa" w:w="1700"/>
            <w:vAlign w:val="center"/>
            <w:tcMar>
              <w:top w:w="80" w:type="dxa"/>
              <w:start w:w="120" w:type="dxa"/>
              <w:bottom w:w="80" w:type="dxa"/>
              <w:end w:w="120" w:type="dxa"/>
            </w:tcMar>
            <w:shd w:fill="EEF4FF"/>
          </w:tcPr>
          <w:p>
            <w:pPr>
              <w:spacing w:before="0" w:after="40" w:line="259" w:lineRule="auto"/>
            </w:pPr>
            <w:r>
              <w:rPr>
                <w:rFonts w:ascii="Calibri" w:hAnsi="Calibri" w:eastAsia="Arial Unicode MS"/>
                <w:b/>
                <w:color w:val="0B2545"/>
                <w:sz w:val="18"/>
              </w:rPr>
              <w:t>建议量级</w:t>
            </w:r>
          </w:p>
        </w:tc>
        <w:tc>
          <w:tcPr>
            <w:tcW w:type="dxa" w:w="5560"/>
            <w:vAlign w:val="center"/>
            <w:tcMar>
              <w:top w:w="80" w:type="dxa"/>
              <w:start w:w="120" w:type="dxa"/>
              <w:bottom w:w="80" w:type="dxa"/>
              <w:end w:w="120" w:type="dxa"/>
            </w:tcMar>
            <w:shd w:fill="EEF4FF"/>
          </w:tcPr>
          <w:p>
            <w:pPr>
              <w:spacing w:before="0" w:after="40" w:line="259" w:lineRule="auto"/>
            </w:pPr>
            <w:r>
              <w:rPr>
                <w:rFonts w:ascii="Calibri" w:hAnsi="Calibri" w:eastAsia="Arial Unicode MS"/>
                <w:b/>
                <w:color w:val="0B2545"/>
                <w:sz w:val="18"/>
              </w:rPr>
              <w:t>主要内容</w:t>
            </w:r>
          </w:p>
        </w:tc>
      </w:tr>
      <w:tr>
        <w:trPr>
          <w:cantSplit w:val="true"/>
        </w:trPr>
        <w:tc>
          <w:tcPr>
            <w:tcW w:type="dxa" w:w="2100"/>
            <w:vAlign w:val="center"/>
            <w:tcMar>
              <w:top w:w="80" w:type="dxa"/>
              <w:start w:w="120" w:type="dxa"/>
              <w:bottom w:w="80" w:type="dxa"/>
              <w:end w:w="120" w:type="dxa"/>
            </w:tcMar>
          </w:tcPr>
          <w:p>
            <w:pPr>
              <w:spacing w:before="0" w:after="40" w:line="259" w:lineRule="auto"/>
              <w:jc w:val="center"/>
            </w:pPr>
            <w:r>
              <w:rPr>
                <w:rFonts w:ascii="Calibri" w:hAnsi="Calibri" w:eastAsia="Arial Unicode MS"/>
                <w:b/>
                <w:color w:val="1F2937"/>
                <w:sz w:val="18"/>
              </w:rPr>
              <w:t>产品与业务分析</w:t>
            </w:r>
          </w:p>
        </w:tc>
        <w:tc>
          <w:tcPr>
            <w:tcW w:type="dxa" w:w="170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8"/>
              </w:rPr>
              <w:t>12~18 人月</w:t>
            </w:r>
          </w:p>
        </w:tc>
        <w:tc>
          <w:tcPr>
            <w:tcW w:type="dxa" w:w="556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8"/>
              </w:rPr>
              <w:t>BRD 继承、PRD、原型、规则与验收组织</w:t>
            </w:r>
          </w:p>
        </w:tc>
      </w:tr>
      <w:tr>
        <w:trPr>
          <w:cantSplit w:val="true"/>
        </w:trPr>
        <w:tc>
          <w:tcPr>
            <w:tcW w:type="dxa" w:w="2100"/>
            <w:vAlign w:val="center"/>
            <w:tcMar>
              <w:top w:w="80" w:type="dxa"/>
              <w:start w:w="120" w:type="dxa"/>
              <w:bottom w:w="80" w:type="dxa"/>
              <w:end w:w="120" w:type="dxa"/>
            </w:tcMar>
            <w:shd w:fill="F8FAFC"/>
          </w:tcPr>
          <w:p>
            <w:pPr>
              <w:spacing w:before="0" w:after="40" w:line="259" w:lineRule="auto"/>
              <w:jc w:val="center"/>
            </w:pPr>
            <w:r>
              <w:rPr>
                <w:rFonts w:ascii="Calibri" w:hAnsi="Calibri" w:eastAsia="Arial Unicode MS"/>
                <w:b/>
                <w:color w:val="1F2937"/>
                <w:sz w:val="18"/>
              </w:rPr>
              <w:t>架构与研发</w:t>
            </w:r>
          </w:p>
        </w:tc>
        <w:tc>
          <w:tcPr>
            <w:tcW w:type="dxa" w:w="170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8"/>
              </w:rPr>
              <w:t>55~85 人月</w:t>
            </w:r>
          </w:p>
        </w:tc>
        <w:tc>
          <w:tcPr>
            <w:tcW w:type="dxa" w:w="556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8"/>
              </w:rPr>
              <w:t>平台底座、26 单元、接口与部署</w:t>
            </w:r>
          </w:p>
        </w:tc>
      </w:tr>
      <w:tr>
        <w:trPr>
          <w:cantSplit w:val="true"/>
        </w:trPr>
        <w:tc>
          <w:tcPr>
            <w:tcW w:type="dxa" w:w="2100"/>
            <w:vAlign w:val="center"/>
            <w:tcMar>
              <w:top w:w="80" w:type="dxa"/>
              <w:start w:w="120" w:type="dxa"/>
              <w:bottom w:w="80" w:type="dxa"/>
              <w:end w:w="120" w:type="dxa"/>
            </w:tcMar>
          </w:tcPr>
          <w:p>
            <w:pPr>
              <w:spacing w:before="0" w:after="40" w:line="259" w:lineRule="auto"/>
              <w:jc w:val="center"/>
            </w:pPr>
            <w:r>
              <w:rPr>
                <w:rFonts w:ascii="Calibri" w:hAnsi="Calibri" w:eastAsia="Arial Unicode MS"/>
                <w:b/>
                <w:color w:val="1F2937"/>
                <w:sz w:val="18"/>
              </w:rPr>
              <w:t>测试与质量</w:t>
            </w:r>
          </w:p>
        </w:tc>
        <w:tc>
          <w:tcPr>
            <w:tcW w:type="dxa" w:w="170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8"/>
              </w:rPr>
              <w:t>15~24 人月</w:t>
            </w:r>
          </w:p>
        </w:tc>
        <w:tc>
          <w:tcPr>
            <w:tcW w:type="dxa" w:w="556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8"/>
              </w:rPr>
              <w:t>功能、流程、权限、安全、性能与回归</w:t>
            </w:r>
          </w:p>
        </w:tc>
      </w:tr>
      <w:tr>
        <w:trPr>
          <w:cantSplit w:val="true"/>
        </w:trPr>
        <w:tc>
          <w:tcPr>
            <w:tcW w:type="dxa" w:w="2100"/>
            <w:vAlign w:val="center"/>
            <w:tcMar>
              <w:top w:w="80" w:type="dxa"/>
              <w:start w:w="120" w:type="dxa"/>
              <w:bottom w:w="80" w:type="dxa"/>
              <w:end w:w="120" w:type="dxa"/>
            </w:tcMar>
            <w:shd w:fill="F8FAFC"/>
          </w:tcPr>
          <w:p>
            <w:pPr>
              <w:spacing w:before="0" w:after="40" w:line="259" w:lineRule="auto"/>
              <w:jc w:val="center"/>
            </w:pPr>
            <w:r>
              <w:rPr>
                <w:rFonts w:ascii="Calibri" w:hAnsi="Calibri" w:eastAsia="Arial Unicode MS"/>
                <w:b/>
                <w:color w:val="1F2937"/>
                <w:sz w:val="18"/>
              </w:rPr>
              <w:t>数据迁移与推广</w:t>
            </w:r>
          </w:p>
        </w:tc>
        <w:tc>
          <w:tcPr>
            <w:tcW w:type="dxa" w:w="170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8"/>
              </w:rPr>
              <w:t>10~16 人月</w:t>
            </w:r>
          </w:p>
        </w:tc>
        <w:tc>
          <w:tcPr>
            <w:tcW w:type="dxa" w:w="556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8"/>
              </w:rPr>
              <w:t>清洗、迁移、培训、双项目与全量推广</w:t>
            </w:r>
          </w:p>
        </w:tc>
      </w:tr>
      <w:tr>
        <w:trPr>
          <w:cantSplit w:val="true"/>
        </w:trPr>
        <w:tc>
          <w:tcPr>
            <w:tcW w:type="dxa" w:w="2100"/>
            <w:vAlign w:val="center"/>
            <w:tcMar>
              <w:top w:w="80" w:type="dxa"/>
              <w:start w:w="120" w:type="dxa"/>
              <w:bottom w:w="80" w:type="dxa"/>
              <w:end w:w="120" w:type="dxa"/>
            </w:tcMar>
          </w:tcPr>
          <w:p>
            <w:pPr>
              <w:spacing w:before="0" w:after="40" w:line="259" w:lineRule="auto"/>
              <w:jc w:val="center"/>
            </w:pPr>
            <w:r>
              <w:rPr>
                <w:rFonts w:ascii="Calibri" w:hAnsi="Calibri" w:eastAsia="Arial Unicode MS"/>
                <w:b/>
                <w:color w:val="1F2937"/>
                <w:sz w:val="18"/>
              </w:rPr>
              <w:t>项目管理与运维准备</w:t>
            </w:r>
          </w:p>
        </w:tc>
        <w:tc>
          <w:tcPr>
            <w:tcW w:type="dxa" w:w="170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8"/>
              </w:rPr>
              <w:t>8~17 人月</w:t>
            </w:r>
          </w:p>
        </w:tc>
        <w:tc>
          <w:tcPr>
            <w:tcW w:type="dxa" w:w="556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8"/>
              </w:rPr>
              <w:t>计划、供应商、风险、发布与支持机制</w:t>
            </w:r>
          </w:p>
        </w:tc>
      </w:tr>
      <w:tr>
        <w:trPr>
          <w:cantSplit w:val="true"/>
        </w:trPr>
        <w:tc>
          <w:tcPr>
            <w:tcW w:type="dxa" w:w="2100"/>
            <w:vAlign w:val="center"/>
            <w:tcMar>
              <w:top w:w="80" w:type="dxa"/>
              <w:start w:w="120" w:type="dxa"/>
              <w:bottom w:w="80" w:type="dxa"/>
              <w:end w:w="120" w:type="dxa"/>
            </w:tcMar>
            <w:shd w:fill="F8FAFC"/>
          </w:tcPr>
          <w:p>
            <w:pPr>
              <w:spacing w:before="0" w:after="40" w:line="259" w:lineRule="auto"/>
              <w:jc w:val="center"/>
            </w:pPr>
            <w:r>
              <w:rPr>
                <w:rFonts w:ascii="Calibri" w:hAnsi="Calibri" w:eastAsia="Arial Unicode MS"/>
                <w:b/>
                <w:color w:val="1F2937"/>
                <w:sz w:val="18"/>
              </w:rPr>
              <w:t>合计量级</w:t>
            </w:r>
          </w:p>
        </w:tc>
        <w:tc>
          <w:tcPr>
            <w:tcW w:type="dxa" w:w="170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8"/>
              </w:rPr>
              <w:t>100~160 人月</w:t>
            </w:r>
          </w:p>
        </w:tc>
        <w:tc>
          <w:tcPr>
            <w:tcW w:type="dxa" w:w="556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8"/>
              </w:rPr>
              <w:t>不含各业务部门日常参与和长期运营人员</w:t>
            </w:r>
          </w:p>
        </w:tc>
      </w:tr>
    </w:tbl>
    <w:p>
      <w:pPr>
        <w:spacing w:after="40"/>
      </w:pPr>
    </w:p>
    <w:p>
      <w:pPr>
        <w:pStyle w:val="LeadCallout"/>
        <w:spacing w:before="120" w:after="200"/>
        <w:ind w:left="200" w:right="200"/>
        <w:shd w:fill="EEF9F4"/>
        <w:pBdr>
          <w:left w:val="single" w:sz="18" w:space="8" w:color="3D9D73"/>
        </w:pBdr>
        <w:keepLines w:val="1"/>
      </w:pPr>
      <w:r>
        <w:rPr>
          <w:rFonts w:ascii="Calibri" w:hAnsi="Calibri" w:eastAsia="Arial Unicode MS"/>
          <w:b/>
          <w:color w:val="3D9D73"/>
          <w:sz w:val="21"/>
        </w:rPr>
        <w:t xml:space="preserve">预算公式  </w:t>
      </w:r>
      <w:r>
        <w:rPr>
          <w:rFonts w:ascii="Calibri" w:hAnsi="Calibri" w:eastAsia="Arial Unicode MS"/>
          <w:color w:val="1F2937"/>
          <w:sz w:val="21"/>
        </w:rPr>
        <w:t>总投资 = 建设人力 + 基础设施/安全/许可 + 集成与迁移 + 培训推广与稳定期支持 + 10%~15% 风险预备。外采时应要求供应商分别报价核心闭环、基础单元、接口、迁移和运维支持，避免总价不可拆解。</w:t>
      </w:r>
    </w:p>
    <w:p>
      <w:pPr>
        <w:pStyle w:val="Heading2"/>
        <w:keepNext w:val="1"/>
      </w:pPr>
      <w:r>
        <w:t>9.2 主要风险与应对</w:t>
      </w:r>
    </w:p>
    <w:tbl>
      <w:tblPr>
        <w:tblW w:type="dxa" w:w="9360"/>
        <w:jc w:val="left"/>
        <w:tblLayout w:type="fixed"/>
        <w:tblLook w:firstColumn="1" w:firstRow="1" w:lastColumn="0" w:lastRow="0" w:noHBand="0" w:noVBand="1" w:val="04A0"/>
        <w:tblInd w:w="120" w:type="dxa"/>
        <w:tblBorders>
          <w:top w:val="single" w:sz="4" w:color="D7DEE8"/>
          <w:left w:val="single" w:sz="4" w:color="D7DEE8"/>
          <w:bottom w:val="single" w:sz="4" w:color="D7DEE8"/>
          <w:right w:val="single" w:sz="4" w:color="D7DEE8"/>
          <w:insideH w:val="single" w:sz="4" w:color="D7DEE8"/>
          <w:insideV w:val="single" w:sz="4" w:color="D7DEE8"/>
        </w:tblBorders>
      </w:tblPr>
      <w:tblGrid>
        <w:gridCol w:w="1850"/>
        <w:gridCol w:w="3000"/>
        <w:gridCol w:w="4510"/>
      </w:tblGrid>
      <w:tr>
        <w:trPr>
          <w:tblHeader w:val="true"/>
          <w:cantSplit w:val="true"/>
        </w:trPr>
        <w:tc>
          <w:tcPr>
            <w:tcW w:type="dxa" w:w="1850"/>
            <w:vAlign w:val="center"/>
            <w:tcMar>
              <w:top w:w="80" w:type="dxa"/>
              <w:start w:w="120" w:type="dxa"/>
              <w:bottom w:w="80" w:type="dxa"/>
              <w:end w:w="120" w:type="dxa"/>
            </w:tcMar>
            <w:shd w:fill="FFF0ED"/>
          </w:tcPr>
          <w:p>
            <w:pPr>
              <w:spacing w:before="0" w:after="40" w:line="259" w:lineRule="auto"/>
              <w:jc w:val="center"/>
            </w:pPr>
            <w:r>
              <w:rPr>
                <w:rFonts w:ascii="Calibri" w:hAnsi="Calibri" w:eastAsia="Arial Unicode MS"/>
                <w:b/>
                <w:color w:val="0B2545"/>
                <w:sz w:val="17"/>
              </w:rPr>
              <w:t>风险</w:t>
            </w:r>
          </w:p>
        </w:tc>
        <w:tc>
          <w:tcPr>
            <w:tcW w:type="dxa" w:w="3000"/>
            <w:vAlign w:val="center"/>
            <w:tcMar>
              <w:top w:w="80" w:type="dxa"/>
              <w:start w:w="120" w:type="dxa"/>
              <w:bottom w:w="80" w:type="dxa"/>
              <w:end w:w="120" w:type="dxa"/>
            </w:tcMar>
            <w:shd w:fill="FFF0ED"/>
          </w:tcPr>
          <w:p>
            <w:pPr>
              <w:spacing w:before="0" w:after="40" w:line="259" w:lineRule="auto"/>
            </w:pPr>
            <w:r>
              <w:rPr>
                <w:rFonts w:ascii="Calibri" w:hAnsi="Calibri" w:eastAsia="Arial Unicode MS"/>
                <w:b/>
                <w:color w:val="0B2545"/>
                <w:sz w:val="17"/>
              </w:rPr>
              <w:t>影响</w:t>
            </w:r>
          </w:p>
        </w:tc>
        <w:tc>
          <w:tcPr>
            <w:tcW w:type="dxa" w:w="4510"/>
            <w:vAlign w:val="center"/>
            <w:tcMar>
              <w:top w:w="80" w:type="dxa"/>
              <w:start w:w="120" w:type="dxa"/>
              <w:bottom w:w="80" w:type="dxa"/>
              <w:end w:w="120" w:type="dxa"/>
            </w:tcMar>
            <w:shd w:fill="FFF0ED"/>
          </w:tcPr>
          <w:p>
            <w:pPr>
              <w:spacing w:before="0" w:after="40" w:line="259" w:lineRule="auto"/>
            </w:pPr>
            <w:r>
              <w:rPr>
                <w:rFonts w:ascii="Calibri" w:hAnsi="Calibri" w:eastAsia="Arial Unicode MS"/>
                <w:b/>
                <w:color w:val="0B2545"/>
                <w:sz w:val="17"/>
              </w:rPr>
              <w:t>关键应对</w:t>
            </w:r>
          </w:p>
        </w:tc>
      </w:tr>
      <w:tr>
        <w:trPr>
          <w:cantSplit w:val="true"/>
        </w:trPr>
        <w:tc>
          <w:tcPr>
            <w:tcW w:type="dxa" w:w="1850"/>
            <w:vAlign w:val="center"/>
            <w:tcMar>
              <w:top w:w="80" w:type="dxa"/>
              <w:start w:w="120" w:type="dxa"/>
              <w:bottom w:w="80" w:type="dxa"/>
              <w:end w:w="120" w:type="dxa"/>
            </w:tcMar>
          </w:tcPr>
          <w:p>
            <w:pPr>
              <w:spacing w:before="0" w:after="40" w:line="259" w:lineRule="auto"/>
              <w:jc w:val="center"/>
            </w:pPr>
            <w:r>
              <w:rPr>
                <w:rFonts w:ascii="Calibri" w:hAnsi="Calibri" w:eastAsia="Arial Unicode MS"/>
                <w:b/>
                <w:color w:val="1F2937"/>
                <w:sz w:val="17"/>
              </w:rPr>
              <w:t>业务决策未关闭</w:t>
            </w:r>
          </w:p>
        </w:tc>
        <w:tc>
          <w:tcPr>
            <w:tcW w:type="dxa" w:w="300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7"/>
              </w:rPr>
              <w:t>流程触发、权限和模板反复</w:t>
            </w:r>
          </w:p>
        </w:tc>
        <w:tc>
          <w:tcPr>
            <w:tcW w:type="dxa" w:w="451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7"/>
              </w:rPr>
              <w:t>P0 关闭 9 项有效决策，重大冲突回到上游文档</w:t>
            </w:r>
          </w:p>
        </w:tc>
      </w:tr>
      <w:tr>
        <w:trPr>
          <w:cantSplit w:val="true"/>
        </w:trPr>
        <w:tc>
          <w:tcPr>
            <w:tcW w:type="dxa" w:w="1850"/>
            <w:vAlign w:val="center"/>
            <w:tcMar>
              <w:top w:w="80" w:type="dxa"/>
              <w:start w:w="120" w:type="dxa"/>
              <w:bottom w:w="80" w:type="dxa"/>
              <w:end w:w="120" w:type="dxa"/>
            </w:tcMar>
            <w:shd w:fill="F8FAFC"/>
          </w:tcPr>
          <w:p>
            <w:pPr>
              <w:spacing w:before="0" w:after="40" w:line="259" w:lineRule="auto"/>
              <w:jc w:val="center"/>
            </w:pPr>
            <w:r>
              <w:rPr>
                <w:rFonts w:ascii="Calibri" w:hAnsi="Calibri" w:eastAsia="Arial Unicode MS"/>
                <w:b/>
                <w:color w:val="1F2937"/>
                <w:sz w:val="17"/>
              </w:rPr>
              <w:t>范围膨胀</w:t>
            </w:r>
          </w:p>
        </w:tc>
        <w:tc>
          <w:tcPr>
            <w:tcW w:type="dxa" w:w="300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7"/>
              </w:rPr>
              <w:t>把二期财务、台账、绩效和 APP 带入首期</w:t>
            </w:r>
          </w:p>
        </w:tc>
        <w:tc>
          <w:tcPr>
            <w:tcW w:type="dxa" w:w="451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7"/>
              </w:rPr>
              <w:t>建立范围门和变更预算，不以“预留”替代审批</w:t>
            </w:r>
          </w:p>
        </w:tc>
      </w:tr>
      <w:tr>
        <w:trPr>
          <w:cantSplit w:val="true"/>
        </w:trPr>
        <w:tc>
          <w:tcPr>
            <w:tcW w:type="dxa" w:w="1850"/>
            <w:vAlign w:val="center"/>
            <w:tcMar>
              <w:top w:w="80" w:type="dxa"/>
              <w:start w:w="120" w:type="dxa"/>
              <w:bottom w:w="80" w:type="dxa"/>
              <w:end w:w="120" w:type="dxa"/>
            </w:tcMar>
          </w:tcPr>
          <w:p>
            <w:pPr>
              <w:spacing w:before="0" w:after="40" w:line="259" w:lineRule="auto"/>
              <w:jc w:val="center"/>
            </w:pPr>
            <w:r>
              <w:rPr>
                <w:rFonts w:ascii="Calibri" w:hAnsi="Calibri" w:eastAsia="Arial Unicode MS"/>
                <w:b/>
                <w:color w:val="1F2937"/>
                <w:sz w:val="17"/>
              </w:rPr>
              <w:t>试点周期不匹配</w:t>
            </w:r>
          </w:p>
        </w:tc>
        <w:tc>
          <w:tcPr>
            <w:tcW w:type="dxa" w:w="300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7"/>
              </w:rPr>
              <w:t>真实项目无法在窗口内走完全生命周期</w:t>
            </w:r>
          </w:p>
        </w:tc>
        <w:tc>
          <w:tcPr>
            <w:tcW w:type="dxa" w:w="451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7"/>
              </w:rPr>
              <w:t>采用真实运行 + 历史回放 + 受控演练组合</w:t>
            </w:r>
          </w:p>
        </w:tc>
      </w:tr>
      <w:tr>
        <w:trPr>
          <w:cantSplit w:val="true"/>
        </w:trPr>
        <w:tc>
          <w:tcPr>
            <w:tcW w:type="dxa" w:w="1850"/>
            <w:vAlign w:val="center"/>
            <w:tcMar>
              <w:top w:w="80" w:type="dxa"/>
              <w:start w:w="120" w:type="dxa"/>
              <w:bottom w:w="80" w:type="dxa"/>
              <w:end w:w="120" w:type="dxa"/>
            </w:tcMar>
            <w:shd w:fill="F8FAFC"/>
          </w:tcPr>
          <w:p>
            <w:pPr>
              <w:spacing w:before="0" w:after="40" w:line="259" w:lineRule="auto"/>
              <w:jc w:val="center"/>
            </w:pPr>
            <w:r>
              <w:rPr>
                <w:rFonts w:ascii="Calibri" w:hAnsi="Calibri" w:eastAsia="Arial Unicode MS"/>
                <w:b/>
                <w:color w:val="1F2937"/>
                <w:sz w:val="17"/>
              </w:rPr>
              <w:t>数据质量不足</w:t>
            </w:r>
          </w:p>
        </w:tc>
        <w:tc>
          <w:tcPr>
            <w:tcW w:type="dxa" w:w="300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7"/>
              </w:rPr>
              <w:t>迁移后主档、版本和预算不可信</w:t>
            </w:r>
          </w:p>
        </w:tc>
        <w:tc>
          <w:tcPr>
            <w:tcW w:type="dxa" w:w="451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7"/>
              </w:rPr>
              <w:t>最小迁移包、责任人签字、双轮演练与来源索引</w:t>
            </w:r>
          </w:p>
        </w:tc>
      </w:tr>
      <w:tr>
        <w:trPr>
          <w:cantSplit w:val="true"/>
        </w:trPr>
        <w:tc>
          <w:tcPr>
            <w:tcW w:type="dxa" w:w="1850"/>
            <w:vAlign w:val="center"/>
            <w:tcMar>
              <w:top w:w="80" w:type="dxa"/>
              <w:start w:w="120" w:type="dxa"/>
              <w:bottom w:w="80" w:type="dxa"/>
              <w:end w:w="120" w:type="dxa"/>
            </w:tcMar>
          </w:tcPr>
          <w:p>
            <w:pPr>
              <w:spacing w:before="0" w:after="40" w:line="259" w:lineRule="auto"/>
              <w:jc w:val="center"/>
            </w:pPr>
            <w:r>
              <w:rPr>
                <w:rFonts w:ascii="Calibri" w:hAnsi="Calibri" w:eastAsia="Arial Unicode MS"/>
                <w:b/>
                <w:color w:val="1F2937"/>
                <w:sz w:val="17"/>
              </w:rPr>
              <w:t>上线后双账</w:t>
            </w:r>
          </w:p>
        </w:tc>
        <w:tc>
          <w:tcPr>
            <w:tcW w:type="dxa" w:w="300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7"/>
              </w:rPr>
              <w:t>系统与 Excel 长期并存，事实再次分裂</w:t>
            </w:r>
          </w:p>
        </w:tc>
        <w:tc>
          <w:tcPr>
            <w:tcW w:type="dxa" w:w="451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7"/>
              </w:rPr>
              <w:t>明确切换日、过渡账退出日和例外批准</w:t>
            </w:r>
          </w:p>
        </w:tc>
      </w:tr>
      <w:tr>
        <w:trPr>
          <w:cantSplit w:val="true"/>
        </w:trPr>
        <w:tc>
          <w:tcPr>
            <w:tcW w:type="dxa" w:w="1850"/>
            <w:vAlign w:val="center"/>
            <w:tcMar>
              <w:top w:w="80" w:type="dxa"/>
              <w:start w:w="120" w:type="dxa"/>
              <w:bottom w:w="80" w:type="dxa"/>
              <w:end w:w="120" w:type="dxa"/>
            </w:tcMar>
            <w:shd w:fill="F8FAFC"/>
          </w:tcPr>
          <w:p>
            <w:pPr>
              <w:spacing w:before="0" w:after="40" w:line="259" w:lineRule="auto"/>
              <w:jc w:val="center"/>
            </w:pPr>
            <w:r>
              <w:rPr>
                <w:rFonts w:ascii="Calibri" w:hAnsi="Calibri" w:eastAsia="Arial Unicode MS"/>
                <w:b/>
                <w:color w:val="1F2937"/>
                <w:sz w:val="17"/>
              </w:rPr>
              <w:t>跨部门投入不足</w:t>
            </w:r>
          </w:p>
        </w:tc>
        <w:tc>
          <w:tcPr>
            <w:tcW w:type="dxa" w:w="300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7"/>
              </w:rPr>
              <w:t>规则无人确认、验收流于形式</w:t>
            </w:r>
          </w:p>
        </w:tc>
        <w:tc>
          <w:tcPr>
            <w:tcW w:type="dxa" w:w="451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7"/>
              </w:rPr>
              <w:t>业务域负责人实名负责并纳入里程碑</w:t>
            </w:r>
          </w:p>
        </w:tc>
      </w:tr>
    </w:tbl>
    <w:p>
      <w:pPr>
        <w:spacing w:after="40"/>
      </w:pPr>
    </w:p>
    <w:p>
      <w:pPr>
        <w:pStyle w:val="Heading2"/>
        <w:keepNext w:val="1"/>
      </w:pPr>
      <w:r>
        <w:t>9.3 下一步</w:t>
      </w:r>
    </w:p>
    <w:p>
      <w:pPr>
        <w:numPr>
          <w:ilvl w:val="0"/>
          <w:numId w:val="13"/>
        </w:numPr>
        <w:spacing w:after="160" w:line="280" w:lineRule="auto"/>
      </w:pPr>
      <w:r>
        <w:rPr>
          <w:rFonts w:ascii="Calibri" w:hAnsi="Calibri" w:eastAsia="Arial Unicode MS"/>
          <w:color w:val="1F2937"/>
          <w:sz w:val="22"/>
        </w:rPr>
        <w:t>组织建设方案评审，确认范围、路线、试点、组织与投资测算方式；</w:t>
      </w:r>
    </w:p>
    <w:p>
      <w:pPr>
        <w:numPr>
          <w:ilvl w:val="0"/>
          <w:numId w:val="13"/>
        </w:numPr>
        <w:spacing w:after="160" w:line="280" w:lineRule="auto"/>
      </w:pPr>
      <w:r>
        <w:rPr>
          <w:rFonts w:ascii="Calibri" w:hAnsi="Calibri" w:eastAsia="Arial Unicode MS"/>
          <w:color w:val="1F2937"/>
          <w:sz w:val="22"/>
        </w:rPr>
        <w:t>指定项目发起人、业务负责人、建设办公室和 6 个业务域负责人；</w:t>
      </w:r>
    </w:p>
    <w:p>
      <w:pPr>
        <w:numPr>
          <w:ilvl w:val="0"/>
          <w:numId w:val="13"/>
        </w:numPr>
        <w:spacing w:after="160" w:line="280" w:lineRule="auto"/>
      </w:pPr>
      <w:r>
        <w:rPr>
          <w:rFonts w:ascii="Calibri" w:hAnsi="Calibri" w:eastAsia="Arial Unicode MS"/>
          <w:color w:val="1F2937"/>
          <w:sz w:val="22"/>
        </w:rPr>
        <w:t>关闭 PRD 前有效决策，完成 BRD、V0.2 主清单与 V0.1 归并映射的名称同步；</w:t>
      </w:r>
    </w:p>
    <w:p>
      <w:pPr>
        <w:numPr>
          <w:ilvl w:val="0"/>
          <w:numId w:val="13"/>
        </w:numPr>
        <w:spacing w:after="160" w:line="280" w:lineRule="auto"/>
      </w:pPr>
      <w:r>
        <w:rPr>
          <w:rFonts w:ascii="Calibri" w:hAnsi="Calibri" w:eastAsia="Arial Unicode MS"/>
          <w:color w:val="1F2937"/>
          <w:sz w:val="22"/>
        </w:rPr>
        <w:t>确定自建/外包/混合交付模式，启动供应商或团队能力评估；</w:t>
      </w:r>
    </w:p>
    <w:p>
      <w:pPr>
        <w:numPr>
          <w:ilvl w:val="0"/>
          <w:numId w:val="13"/>
        </w:numPr>
        <w:spacing w:after="160" w:line="280" w:lineRule="auto"/>
      </w:pPr>
      <w:r>
        <w:rPr>
          <w:rFonts w:ascii="Calibri" w:hAnsi="Calibri" w:eastAsia="Arial Unicode MS"/>
          <w:color w:val="1F2937"/>
          <w:sz w:val="22"/>
        </w:rPr>
        <w:t>进入项目级 PRD 和关键技术可行性验证，并据此形成正式实施计划和预算基线。</w:t>
      </w:r>
    </w:p>
    <w:p>
      <w:r>
        <w:br w:type="page"/>
      </w:r>
    </w:p>
    <w:p>
      <w:pPr>
        <w:pStyle w:val="Heading1"/>
        <w:keepNext w:val="1"/>
      </w:pPr>
      <w:r>
        <w:t>附件</w:t>
      </w:r>
    </w:p>
    <w:p>
      <w:pPr/>
      <w:r>
        <w:rPr>
          <w:rFonts w:ascii="Calibri" w:hAnsi="Calibri" w:eastAsia="Arial Unicode MS"/>
          <w:i w:val="0"/>
          <w:color w:val="1F2937"/>
          <w:sz w:val="22"/>
        </w:rPr>
        <w:t>以下附件承载详细范围、治理与验收清单。两份结构化 Excel 继续保留全部 100 项动作及逐项映射，本文件不重复复制所有原始字段。</w:t>
      </w:r>
    </w:p>
    <w:p>
      <w:pPr>
        <w:pStyle w:val="Heading1"/>
        <w:keepNext w:val="1"/>
      </w:pPr>
      <w:r>
        <w:t>附件 A｜26 个系统单元清单</w:t>
      </w:r>
    </w:p>
    <w:tbl>
      <w:tblPr>
        <w:tblW w:type="dxa" w:w="9360"/>
        <w:jc w:val="left"/>
        <w:tblLayout w:type="fixed"/>
        <w:tblLook w:firstColumn="1" w:firstRow="1" w:lastColumn="0" w:lastRow="0" w:noHBand="0" w:noVBand="1" w:val="04A0"/>
        <w:tblInd w:w="120" w:type="dxa"/>
        <w:tblBorders>
          <w:top w:val="single" w:sz="4" w:color="D7DEE8"/>
          <w:left w:val="single" w:sz="4" w:color="D7DEE8"/>
          <w:bottom w:val="single" w:sz="4" w:color="D7DEE8"/>
          <w:right w:val="single" w:sz="4" w:color="D7DEE8"/>
          <w:insideH w:val="single" w:sz="4" w:color="D7DEE8"/>
          <w:insideV w:val="single" w:sz="4" w:color="D7DEE8"/>
        </w:tblBorders>
      </w:tblPr>
      <w:tblGrid>
        <w:gridCol w:w="3000"/>
        <w:gridCol w:w="3000"/>
        <w:gridCol w:w="3360"/>
      </w:tblGrid>
      <w:tr>
        <w:trPr>
          <w:tblHeader w:val="true"/>
          <w:cantSplit w:val="true"/>
        </w:trPr>
        <w:tc>
          <w:tcPr>
            <w:tcW w:type="dxa" w:w="3000"/>
            <w:vAlign w:val="center"/>
            <w:tcMar>
              <w:top w:w="80" w:type="dxa"/>
              <w:start w:w="120" w:type="dxa"/>
              <w:bottom w:w="80" w:type="dxa"/>
              <w:end w:w="120" w:type="dxa"/>
            </w:tcMar>
            <w:shd w:fill="EEF4FF"/>
          </w:tcPr>
          <w:p>
            <w:pPr>
              <w:spacing w:before="0" w:after="40" w:line="259" w:lineRule="auto"/>
              <w:jc w:val="center"/>
            </w:pPr>
            <w:r>
              <w:rPr>
                <w:rFonts w:ascii="Calibri" w:hAnsi="Calibri" w:eastAsia="Arial Unicode MS"/>
                <w:b/>
                <w:color w:val="0B2545"/>
                <w:sz w:val="18"/>
              </w:rPr>
              <w:t>业务域</w:t>
            </w:r>
          </w:p>
        </w:tc>
        <w:tc>
          <w:tcPr>
            <w:tcW w:type="dxa" w:w="3000"/>
            <w:vAlign w:val="center"/>
            <w:tcMar>
              <w:top w:w="80" w:type="dxa"/>
              <w:start w:w="120" w:type="dxa"/>
              <w:bottom w:w="80" w:type="dxa"/>
              <w:end w:w="120" w:type="dxa"/>
            </w:tcMar>
            <w:shd w:fill="EEF4FF"/>
          </w:tcPr>
          <w:p>
            <w:pPr>
              <w:spacing w:before="0" w:after="40" w:line="259" w:lineRule="auto"/>
            </w:pPr>
            <w:r>
              <w:rPr>
                <w:rFonts w:ascii="Calibri" w:hAnsi="Calibri" w:eastAsia="Arial Unicode MS"/>
                <w:b/>
                <w:color w:val="0B2545"/>
                <w:sz w:val="18"/>
              </w:rPr>
              <w:t>系统单元</w:t>
            </w:r>
          </w:p>
        </w:tc>
        <w:tc>
          <w:tcPr>
            <w:tcW w:type="dxa" w:w="3360"/>
            <w:vAlign w:val="center"/>
            <w:tcMar>
              <w:top w:w="80" w:type="dxa"/>
              <w:start w:w="120" w:type="dxa"/>
              <w:bottom w:w="80" w:type="dxa"/>
              <w:end w:w="120" w:type="dxa"/>
            </w:tcMar>
            <w:shd w:fill="EEF4FF"/>
          </w:tcPr>
          <w:p>
            <w:pPr>
              <w:spacing w:before="0" w:after="40" w:line="259" w:lineRule="auto"/>
            </w:pPr>
            <w:r>
              <w:rPr>
                <w:rFonts w:ascii="Calibri" w:hAnsi="Calibri" w:eastAsia="Arial Unicode MS"/>
                <w:b/>
                <w:color w:val="0B2545"/>
                <w:sz w:val="18"/>
              </w:rPr>
              <w:t>映射动作</w:t>
            </w:r>
          </w:p>
        </w:tc>
      </w:tr>
      <w:tr>
        <w:trPr>
          <w:cantSplit w:val="true"/>
        </w:trPr>
        <w:tc>
          <w:tcPr>
            <w:tcW w:type="dxa" w:w="3000"/>
            <w:vAlign w:val="center"/>
            <w:tcMar>
              <w:top w:w="80" w:type="dxa"/>
              <w:start w:w="120" w:type="dxa"/>
              <w:bottom w:w="80" w:type="dxa"/>
              <w:end w:w="120" w:type="dxa"/>
            </w:tcMar>
          </w:tcPr>
          <w:p>
            <w:pPr>
              <w:spacing w:before="0" w:after="40" w:line="259" w:lineRule="auto"/>
              <w:jc w:val="center"/>
            </w:pPr>
            <w:r>
              <w:rPr>
                <w:rFonts w:ascii="Calibri" w:hAnsi="Calibri" w:eastAsia="Arial Unicode MS"/>
                <w:b/>
                <w:color w:val="1F2937"/>
                <w:sz w:val="18"/>
              </w:rPr>
              <w:t>商务与售前</w:t>
            </w:r>
          </w:p>
        </w:tc>
        <w:tc>
          <w:tcPr>
            <w:tcW w:type="dxa" w:w="300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8"/>
              </w:rPr>
              <w:t>5</w:t>
            </w:r>
          </w:p>
        </w:tc>
        <w:tc>
          <w:tcPr>
            <w:tcW w:type="dxa" w:w="336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8"/>
              </w:rPr>
              <w:t>33</w:t>
            </w:r>
          </w:p>
        </w:tc>
      </w:tr>
      <w:tr>
        <w:trPr>
          <w:cantSplit w:val="true"/>
        </w:trPr>
        <w:tc>
          <w:tcPr>
            <w:tcW w:type="dxa" w:w="3000"/>
            <w:vAlign w:val="center"/>
            <w:tcMar>
              <w:top w:w="80" w:type="dxa"/>
              <w:start w:w="120" w:type="dxa"/>
              <w:bottom w:w="80" w:type="dxa"/>
              <w:end w:w="120" w:type="dxa"/>
            </w:tcMar>
            <w:shd w:fill="F8FAFC"/>
          </w:tcPr>
          <w:p>
            <w:pPr>
              <w:spacing w:before="0" w:after="40" w:line="259" w:lineRule="auto"/>
              <w:jc w:val="center"/>
            </w:pPr>
            <w:r>
              <w:rPr>
                <w:rFonts w:ascii="Calibri" w:hAnsi="Calibri" w:eastAsia="Arial Unicode MS"/>
                <w:b/>
                <w:color w:val="1F2937"/>
                <w:sz w:val="18"/>
              </w:rPr>
              <w:t>启动与基线</w:t>
            </w:r>
          </w:p>
        </w:tc>
        <w:tc>
          <w:tcPr>
            <w:tcW w:type="dxa" w:w="300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8"/>
              </w:rPr>
              <w:t>5</w:t>
            </w:r>
          </w:p>
        </w:tc>
        <w:tc>
          <w:tcPr>
            <w:tcW w:type="dxa" w:w="336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8"/>
              </w:rPr>
              <w:t>14</w:t>
            </w:r>
          </w:p>
        </w:tc>
      </w:tr>
      <w:tr>
        <w:trPr>
          <w:cantSplit w:val="true"/>
        </w:trPr>
        <w:tc>
          <w:tcPr>
            <w:tcW w:type="dxa" w:w="3000"/>
            <w:vAlign w:val="center"/>
            <w:tcMar>
              <w:top w:w="80" w:type="dxa"/>
              <w:start w:w="120" w:type="dxa"/>
              <w:bottom w:w="80" w:type="dxa"/>
              <w:end w:w="120" w:type="dxa"/>
            </w:tcMar>
          </w:tcPr>
          <w:p>
            <w:pPr>
              <w:spacing w:before="0" w:after="40" w:line="259" w:lineRule="auto"/>
              <w:jc w:val="center"/>
            </w:pPr>
            <w:r>
              <w:rPr>
                <w:rFonts w:ascii="Calibri" w:hAnsi="Calibri" w:eastAsia="Arial Unicode MS"/>
                <w:b/>
                <w:color w:val="1F2937"/>
                <w:sz w:val="18"/>
              </w:rPr>
              <w:t>产研与供应</w:t>
            </w:r>
          </w:p>
        </w:tc>
        <w:tc>
          <w:tcPr>
            <w:tcW w:type="dxa" w:w="300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8"/>
              </w:rPr>
              <w:t>5</w:t>
            </w:r>
          </w:p>
        </w:tc>
        <w:tc>
          <w:tcPr>
            <w:tcW w:type="dxa" w:w="336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8"/>
              </w:rPr>
              <w:t>13</w:t>
            </w:r>
          </w:p>
        </w:tc>
      </w:tr>
      <w:tr>
        <w:trPr>
          <w:cantSplit w:val="true"/>
        </w:trPr>
        <w:tc>
          <w:tcPr>
            <w:tcW w:type="dxa" w:w="3000"/>
            <w:vAlign w:val="center"/>
            <w:tcMar>
              <w:top w:w="80" w:type="dxa"/>
              <w:start w:w="120" w:type="dxa"/>
              <w:bottom w:w="80" w:type="dxa"/>
              <w:end w:w="120" w:type="dxa"/>
            </w:tcMar>
            <w:shd w:fill="F8FAFC"/>
          </w:tcPr>
          <w:p>
            <w:pPr>
              <w:spacing w:before="0" w:after="40" w:line="259" w:lineRule="auto"/>
              <w:jc w:val="center"/>
            </w:pPr>
            <w:r>
              <w:rPr>
                <w:rFonts w:ascii="Calibri" w:hAnsi="Calibri" w:eastAsia="Arial Unicode MS"/>
                <w:b/>
                <w:color w:val="1F2937"/>
                <w:sz w:val="18"/>
              </w:rPr>
              <w:t>现场实施</w:t>
            </w:r>
          </w:p>
        </w:tc>
        <w:tc>
          <w:tcPr>
            <w:tcW w:type="dxa" w:w="300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8"/>
              </w:rPr>
              <w:t>3</w:t>
            </w:r>
          </w:p>
        </w:tc>
        <w:tc>
          <w:tcPr>
            <w:tcW w:type="dxa" w:w="336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8"/>
              </w:rPr>
              <w:t>17</w:t>
            </w:r>
          </w:p>
        </w:tc>
      </w:tr>
      <w:tr>
        <w:trPr>
          <w:cantSplit w:val="true"/>
        </w:trPr>
        <w:tc>
          <w:tcPr>
            <w:tcW w:type="dxa" w:w="3000"/>
            <w:vAlign w:val="center"/>
            <w:tcMar>
              <w:top w:w="80" w:type="dxa"/>
              <w:start w:w="120" w:type="dxa"/>
              <w:bottom w:w="80" w:type="dxa"/>
              <w:end w:w="120" w:type="dxa"/>
            </w:tcMar>
          </w:tcPr>
          <w:p>
            <w:pPr>
              <w:spacing w:before="0" w:after="40" w:line="259" w:lineRule="auto"/>
              <w:jc w:val="center"/>
            </w:pPr>
            <w:r>
              <w:rPr>
                <w:rFonts w:ascii="Calibri" w:hAnsi="Calibri" w:eastAsia="Arial Unicode MS"/>
                <w:b/>
                <w:color w:val="1F2937"/>
                <w:sz w:val="18"/>
              </w:rPr>
              <w:t>验收与维护</w:t>
            </w:r>
          </w:p>
        </w:tc>
        <w:tc>
          <w:tcPr>
            <w:tcW w:type="dxa" w:w="300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8"/>
              </w:rPr>
              <w:t>3</w:t>
            </w:r>
          </w:p>
        </w:tc>
        <w:tc>
          <w:tcPr>
            <w:tcW w:type="dxa" w:w="336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8"/>
              </w:rPr>
              <w:t>10</w:t>
            </w:r>
          </w:p>
        </w:tc>
      </w:tr>
      <w:tr>
        <w:trPr>
          <w:cantSplit w:val="true"/>
        </w:trPr>
        <w:tc>
          <w:tcPr>
            <w:tcW w:type="dxa" w:w="3000"/>
            <w:vAlign w:val="center"/>
            <w:tcMar>
              <w:top w:w="80" w:type="dxa"/>
              <w:start w:w="120" w:type="dxa"/>
              <w:bottom w:w="80" w:type="dxa"/>
              <w:end w:w="120" w:type="dxa"/>
            </w:tcMar>
            <w:shd w:fill="F8FAFC"/>
          </w:tcPr>
          <w:p>
            <w:pPr>
              <w:spacing w:before="0" w:after="40" w:line="259" w:lineRule="auto"/>
              <w:jc w:val="center"/>
            </w:pPr>
            <w:r>
              <w:rPr>
                <w:rFonts w:ascii="Calibri" w:hAnsi="Calibri" w:eastAsia="Arial Unicode MS"/>
                <w:b/>
                <w:color w:val="1F2937"/>
                <w:sz w:val="18"/>
              </w:rPr>
              <w:t>全阶段治理</w:t>
            </w:r>
          </w:p>
        </w:tc>
        <w:tc>
          <w:tcPr>
            <w:tcW w:type="dxa" w:w="300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8"/>
              </w:rPr>
              <w:t>5</w:t>
            </w:r>
          </w:p>
        </w:tc>
        <w:tc>
          <w:tcPr>
            <w:tcW w:type="dxa" w:w="336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8"/>
              </w:rPr>
              <w:t>13</w:t>
            </w:r>
          </w:p>
        </w:tc>
      </w:tr>
    </w:tbl>
    <w:p>
      <w:pPr>
        <w:spacing w:after="40"/>
      </w:pPr>
    </w:p>
    <w:tbl>
      <w:tblPr>
        <w:tblW w:type="dxa" w:w="9360"/>
        <w:jc w:val="left"/>
        <w:tblLayout w:type="fixed"/>
        <w:tblLook w:firstColumn="1" w:firstRow="1" w:lastColumn="0" w:lastRow="0" w:noHBand="0" w:noVBand="1" w:val="04A0"/>
        <w:tblInd w:w="120" w:type="dxa"/>
        <w:tblBorders>
          <w:top w:val="single" w:sz="4" w:color="D7DEE8"/>
          <w:left w:val="single" w:sz="4" w:color="D7DEE8"/>
          <w:bottom w:val="single" w:sz="4" w:color="D7DEE8"/>
          <w:right w:val="single" w:sz="4" w:color="D7DEE8"/>
          <w:insideH w:val="single" w:sz="4" w:color="D7DEE8"/>
          <w:insideV w:val="single" w:sz="4" w:color="D7DEE8"/>
        </w:tblBorders>
      </w:tblPr>
      <w:tblGrid>
        <w:gridCol w:w="720"/>
        <w:gridCol w:w="1100"/>
        <w:gridCol w:w="2100"/>
        <w:gridCol w:w="1350"/>
        <w:gridCol w:w="800"/>
        <w:gridCol w:w="3290"/>
      </w:tblGrid>
      <w:tr>
        <w:trPr>
          <w:tblHeader w:val="true"/>
          <w:cantSplit w:val="true"/>
        </w:trPr>
        <w:tc>
          <w:tcPr>
            <w:tcW w:type="dxa" w:w="720"/>
            <w:vAlign w:val="center"/>
            <w:tcMar>
              <w:top w:w="80" w:type="dxa"/>
              <w:start w:w="120" w:type="dxa"/>
              <w:bottom w:w="80" w:type="dxa"/>
              <w:end w:w="120" w:type="dxa"/>
            </w:tcMar>
            <w:shd w:fill="EEF9F4"/>
          </w:tcPr>
          <w:p>
            <w:pPr>
              <w:spacing w:before="0" w:after="40" w:line="259" w:lineRule="auto"/>
              <w:jc w:val="center"/>
            </w:pPr>
            <w:r>
              <w:rPr>
                <w:rFonts w:ascii="Calibri" w:hAnsi="Calibri" w:eastAsia="Arial Unicode MS"/>
                <w:b/>
                <w:color w:val="0B2545"/>
                <w:sz w:val="16"/>
              </w:rPr>
              <w:t>编号</w:t>
            </w:r>
          </w:p>
        </w:tc>
        <w:tc>
          <w:tcPr>
            <w:tcW w:type="dxa" w:w="1100"/>
            <w:vAlign w:val="center"/>
            <w:tcMar>
              <w:top w:w="80" w:type="dxa"/>
              <w:start w:w="120" w:type="dxa"/>
              <w:bottom w:w="80" w:type="dxa"/>
              <w:end w:w="120" w:type="dxa"/>
            </w:tcMar>
            <w:shd w:fill="EEF9F4"/>
          </w:tcPr>
          <w:p>
            <w:pPr>
              <w:spacing w:before="0" w:after="40" w:line="259" w:lineRule="auto"/>
            </w:pPr>
            <w:r>
              <w:rPr>
                <w:rFonts w:ascii="Calibri" w:hAnsi="Calibri" w:eastAsia="Arial Unicode MS"/>
                <w:b/>
                <w:color w:val="0B2545"/>
                <w:sz w:val="16"/>
              </w:rPr>
              <w:t>业务域</w:t>
            </w:r>
          </w:p>
        </w:tc>
        <w:tc>
          <w:tcPr>
            <w:tcW w:type="dxa" w:w="2100"/>
            <w:vAlign w:val="center"/>
            <w:tcMar>
              <w:top w:w="80" w:type="dxa"/>
              <w:start w:w="120" w:type="dxa"/>
              <w:bottom w:w="80" w:type="dxa"/>
              <w:end w:w="120" w:type="dxa"/>
            </w:tcMar>
            <w:shd w:fill="EEF9F4"/>
          </w:tcPr>
          <w:p>
            <w:pPr>
              <w:spacing w:before="0" w:after="40" w:line="259" w:lineRule="auto"/>
            </w:pPr>
            <w:r>
              <w:rPr>
                <w:rFonts w:ascii="Calibri" w:hAnsi="Calibri" w:eastAsia="Arial Unicode MS"/>
                <w:b/>
                <w:color w:val="0B2545"/>
                <w:sz w:val="16"/>
              </w:rPr>
              <w:t>系统单元</w:t>
            </w:r>
          </w:p>
        </w:tc>
        <w:tc>
          <w:tcPr>
            <w:tcW w:type="dxa" w:w="1350"/>
            <w:vAlign w:val="center"/>
            <w:tcMar>
              <w:top w:w="80" w:type="dxa"/>
              <w:start w:w="120" w:type="dxa"/>
              <w:bottom w:w="80" w:type="dxa"/>
              <w:end w:w="120" w:type="dxa"/>
            </w:tcMar>
            <w:shd w:fill="EEF9F4"/>
          </w:tcPr>
          <w:p>
            <w:pPr>
              <w:spacing w:before="0" w:after="40" w:line="259" w:lineRule="auto"/>
            </w:pPr>
            <w:r>
              <w:rPr>
                <w:rFonts w:ascii="Calibri" w:hAnsi="Calibri" w:eastAsia="Arial Unicode MS"/>
                <w:b/>
                <w:color w:val="0B2545"/>
                <w:sz w:val="16"/>
              </w:rPr>
              <w:t>形态/动作数</w:t>
            </w:r>
          </w:p>
        </w:tc>
        <w:tc>
          <w:tcPr>
            <w:tcW w:type="dxa" w:w="800"/>
            <w:vAlign w:val="center"/>
            <w:tcMar>
              <w:top w:w="80" w:type="dxa"/>
              <w:start w:w="120" w:type="dxa"/>
              <w:bottom w:w="80" w:type="dxa"/>
              <w:end w:w="120" w:type="dxa"/>
            </w:tcMar>
            <w:shd w:fill="EEF9F4"/>
          </w:tcPr>
          <w:p>
            <w:pPr>
              <w:spacing w:before="0" w:after="40" w:line="259" w:lineRule="auto"/>
            </w:pPr>
            <w:r>
              <w:rPr>
                <w:rFonts w:ascii="Calibri" w:hAnsi="Calibri" w:eastAsia="Arial Unicode MS"/>
                <w:b/>
                <w:color w:val="0B2545"/>
                <w:sz w:val="16"/>
              </w:rPr>
              <w:t>深度</w:t>
            </w:r>
          </w:p>
        </w:tc>
        <w:tc>
          <w:tcPr>
            <w:tcW w:type="dxa" w:w="3290"/>
            <w:vAlign w:val="center"/>
            <w:tcMar>
              <w:top w:w="80" w:type="dxa"/>
              <w:start w:w="120" w:type="dxa"/>
              <w:bottom w:w="80" w:type="dxa"/>
              <w:end w:w="120" w:type="dxa"/>
            </w:tcMar>
            <w:shd w:fill="EEF9F4"/>
          </w:tcPr>
          <w:p>
            <w:pPr>
              <w:spacing w:before="0" w:after="40" w:line="259" w:lineRule="auto"/>
            </w:pPr>
            <w:r>
              <w:rPr>
                <w:rFonts w:ascii="Calibri" w:hAnsi="Calibri" w:eastAsia="Arial Unicode MS"/>
                <w:b/>
                <w:color w:val="0B2545"/>
                <w:sz w:val="16"/>
              </w:rPr>
              <w:t>闭环结果</w:t>
            </w:r>
          </w:p>
        </w:tc>
      </w:tr>
      <w:tr>
        <w:trPr>
          <w:cantSplit w:val="true"/>
        </w:trPr>
        <w:tc>
          <w:tcPr>
            <w:tcW w:type="dxa" w:w="720"/>
            <w:vAlign w:val="center"/>
            <w:tcMar>
              <w:top w:w="80" w:type="dxa"/>
              <w:start w:w="120" w:type="dxa"/>
              <w:bottom w:w="80" w:type="dxa"/>
              <w:end w:w="120" w:type="dxa"/>
            </w:tcMar>
          </w:tcPr>
          <w:p>
            <w:pPr>
              <w:spacing w:before="0" w:after="40" w:line="259" w:lineRule="auto"/>
              <w:jc w:val="center"/>
            </w:pPr>
            <w:r>
              <w:rPr>
                <w:rFonts w:ascii="Calibri" w:hAnsi="Calibri" w:eastAsia="Arial Unicode MS"/>
                <w:b/>
                <w:color w:val="1F2937"/>
                <w:sz w:val="16"/>
              </w:rPr>
              <w:t>SU-01</w:t>
            </w:r>
          </w:p>
        </w:tc>
        <w:tc>
          <w:tcPr>
            <w:tcW w:type="dxa" w:w="110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6"/>
              </w:rPr>
              <w:t>商务与售前</w:t>
            </w:r>
          </w:p>
        </w:tc>
        <w:tc>
          <w:tcPr>
            <w:tcW w:type="dxa" w:w="210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6"/>
              </w:rPr>
              <w:t>商机主档与阶段管理</w:t>
            </w:r>
          </w:p>
        </w:tc>
        <w:tc>
          <w:tcPr>
            <w:tcW w:type="dxa" w:w="135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6"/>
              </w:rPr>
              <w:t>主档+轻流程</w:t>
              <w:br/>
              <w:t>4 项</w:t>
            </w:r>
          </w:p>
        </w:tc>
        <w:tc>
          <w:tcPr>
            <w:tcW w:type="dxa" w:w="80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6"/>
              </w:rPr>
              <w:t>核心</w:t>
            </w:r>
          </w:p>
        </w:tc>
        <w:tc>
          <w:tcPr>
            <w:tcW w:type="dxa" w:w="329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6"/>
              </w:rPr>
              <w:t>唯一商机主档、阶段日志和关闭结论</w:t>
            </w:r>
          </w:p>
        </w:tc>
      </w:tr>
      <w:tr>
        <w:trPr>
          <w:cantSplit w:val="true"/>
        </w:trPr>
        <w:tc>
          <w:tcPr>
            <w:tcW w:type="dxa" w:w="720"/>
            <w:vAlign w:val="center"/>
            <w:tcMar>
              <w:top w:w="80" w:type="dxa"/>
              <w:start w:w="120" w:type="dxa"/>
              <w:bottom w:w="80" w:type="dxa"/>
              <w:end w:w="120" w:type="dxa"/>
            </w:tcMar>
            <w:shd w:fill="F8FAFC"/>
          </w:tcPr>
          <w:p>
            <w:pPr>
              <w:spacing w:before="0" w:after="40" w:line="259" w:lineRule="auto"/>
              <w:jc w:val="center"/>
            </w:pPr>
            <w:r>
              <w:rPr>
                <w:rFonts w:ascii="Calibri" w:hAnsi="Calibri" w:eastAsia="Arial Unicode MS"/>
                <w:b/>
                <w:color w:val="1F2937"/>
                <w:sz w:val="16"/>
              </w:rPr>
              <w:t>SU-02</w:t>
            </w:r>
          </w:p>
        </w:tc>
        <w:tc>
          <w:tcPr>
            <w:tcW w:type="dxa" w:w="110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6"/>
              </w:rPr>
              <w:t>商务与售前</w:t>
            </w:r>
          </w:p>
        </w:tc>
        <w:tc>
          <w:tcPr>
            <w:tcW w:type="dxa" w:w="210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6"/>
              </w:rPr>
              <w:t>销售立项与售前投入审批</w:t>
            </w:r>
          </w:p>
        </w:tc>
        <w:tc>
          <w:tcPr>
            <w:tcW w:type="dxa" w:w="135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6"/>
              </w:rPr>
              <w:t>业务流程</w:t>
              <w:br/>
              <w:t>4 项</w:t>
            </w:r>
          </w:p>
        </w:tc>
        <w:tc>
          <w:tcPr>
            <w:tcW w:type="dxa" w:w="80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6"/>
              </w:rPr>
              <w:t>核心</w:t>
            </w:r>
          </w:p>
        </w:tc>
        <w:tc>
          <w:tcPr>
            <w:tcW w:type="dxa" w:w="329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6"/>
              </w:rPr>
              <w:t>立项结论、投入授权和售前资料记录</w:t>
            </w:r>
          </w:p>
        </w:tc>
      </w:tr>
      <w:tr>
        <w:trPr>
          <w:cantSplit w:val="true"/>
        </w:trPr>
        <w:tc>
          <w:tcPr>
            <w:tcW w:type="dxa" w:w="720"/>
            <w:vAlign w:val="center"/>
            <w:tcMar>
              <w:top w:w="80" w:type="dxa"/>
              <w:start w:w="120" w:type="dxa"/>
              <w:bottom w:w="80" w:type="dxa"/>
              <w:end w:w="120" w:type="dxa"/>
            </w:tcMar>
          </w:tcPr>
          <w:p>
            <w:pPr>
              <w:spacing w:before="0" w:after="40" w:line="259" w:lineRule="auto"/>
              <w:jc w:val="center"/>
            </w:pPr>
            <w:r>
              <w:rPr>
                <w:rFonts w:ascii="Calibri" w:hAnsi="Calibri" w:eastAsia="Arial Unicode MS"/>
                <w:b/>
                <w:color w:val="1F2937"/>
                <w:sz w:val="16"/>
              </w:rPr>
              <w:t>SU-03</w:t>
            </w:r>
          </w:p>
        </w:tc>
        <w:tc>
          <w:tcPr>
            <w:tcW w:type="dxa" w:w="110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6"/>
              </w:rPr>
              <w:t>商务与售前</w:t>
            </w:r>
          </w:p>
        </w:tc>
        <w:tc>
          <w:tcPr>
            <w:tcW w:type="dxa" w:w="210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6"/>
              </w:rPr>
              <w:t>售前成本评估与投标协同</w:t>
            </w:r>
          </w:p>
        </w:tc>
        <w:tc>
          <w:tcPr>
            <w:tcW w:type="dxa" w:w="135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6"/>
              </w:rPr>
              <w:t>协同流程</w:t>
              <w:br/>
              <w:t>10 项</w:t>
            </w:r>
          </w:p>
        </w:tc>
        <w:tc>
          <w:tcPr>
            <w:tcW w:type="dxa" w:w="80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6"/>
              </w:rPr>
              <w:t>核心</w:t>
            </w:r>
          </w:p>
        </w:tc>
        <w:tc>
          <w:tcPr>
            <w:tcW w:type="dxa" w:w="329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6"/>
              </w:rPr>
              <w:t>可报价的技术方案、工程量、项目计划和成本基线</w:t>
            </w:r>
          </w:p>
        </w:tc>
      </w:tr>
      <w:tr>
        <w:trPr>
          <w:cantSplit w:val="true"/>
        </w:trPr>
        <w:tc>
          <w:tcPr>
            <w:tcW w:type="dxa" w:w="720"/>
            <w:vAlign w:val="center"/>
            <w:tcMar>
              <w:top w:w="80" w:type="dxa"/>
              <w:start w:w="120" w:type="dxa"/>
              <w:bottom w:w="80" w:type="dxa"/>
              <w:end w:w="120" w:type="dxa"/>
            </w:tcMar>
            <w:shd w:fill="F8FAFC"/>
          </w:tcPr>
          <w:p>
            <w:pPr>
              <w:spacing w:before="0" w:after="40" w:line="259" w:lineRule="auto"/>
              <w:jc w:val="center"/>
            </w:pPr>
            <w:r>
              <w:rPr>
                <w:rFonts w:ascii="Calibri" w:hAnsi="Calibri" w:eastAsia="Arial Unicode MS"/>
                <w:b/>
                <w:color w:val="1F2937"/>
                <w:sz w:val="16"/>
              </w:rPr>
              <w:t>SU-04</w:t>
            </w:r>
          </w:p>
        </w:tc>
        <w:tc>
          <w:tcPr>
            <w:tcW w:type="dxa" w:w="110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6"/>
              </w:rPr>
              <w:t>商务与售前</w:t>
            </w:r>
          </w:p>
        </w:tc>
        <w:tc>
          <w:tcPr>
            <w:tcW w:type="dxa" w:w="210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6"/>
              </w:rPr>
              <w:t>商务移交与交付准入</w:t>
            </w:r>
          </w:p>
        </w:tc>
        <w:tc>
          <w:tcPr>
            <w:tcW w:type="dxa" w:w="135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6"/>
              </w:rPr>
              <w:t>阶段门流程</w:t>
              <w:br/>
              <w:t>3 项</w:t>
            </w:r>
          </w:p>
        </w:tc>
        <w:tc>
          <w:tcPr>
            <w:tcW w:type="dxa" w:w="80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6"/>
              </w:rPr>
              <w:t>核心</w:t>
            </w:r>
          </w:p>
        </w:tc>
        <w:tc>
          <w:tcPr>
            <w:tcW w:type="dxa" w:w="329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6"/>
              </w:rPr>
              <w:t>商务移交资料包和交付准入结论</w:t>
            </w:r>
          </w:p>
        </w:tc>
      </w:tr>
      <w:tr>
        <w:trPr>
          <w:cantSplit w:val="true"/>
        </w:trPr>
        <w:tc>
          <w:tcPr>
            <w:tcW w:type="dxa" w:w="720"/>
            <w:vAlign w:val="center"/>
            <w:tcMar>
              <w:top w:w="80" w:type="dxa"/>
              <w:start w:w="120" w:type="dxa"/>
              <w:bottom w:w="80" w:type="dxa"/>
              <w:end w:w="120" w:type="dxa"/>
            </w:tcMar>
          </w:tcPr>
          <w:p>
            <w:pPr>
              <w:spacing w:before="0" w:after="40" w:line="259" w:lineRule="auto"/>
              <w:jc w:val="center"/>
            </w:pPr>
            <w:r>
              <w:rPr>
                <w:rFonts w:ascii="Calibri" w:hAnsi="Calibri" w:eastAsia="Arial Unicode MS"/>
                <w:b/>
                <w:color w:val="1F2937"/>
                <w:sz w:val="16"/>
              </w:rPr>
              <w:t>SU-05</w:t>
            </w:r>
          </w:p>
        </w:tc>
        <w:tc>
          <w:tcPr>
            <w:tcW w:type="dxa" w:w="110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6"/>
              </w:rPr>
              <w:t>商务与售前</w:t>
            </w:r>
          </w:p>
        </w:tc>
        <w:tc>
          <w:tcPr>
            <w:tcW w:type="dxa" w:w="210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6"/>
              </w:rPr>
              <w:t>提前开工例外管理</w:t>
            </w:r>
          </w:p>
        </w:tc>
        <w:tc>
          <w:tcPr>
            <w:tcW w:type="dxa" w:w="135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6"/>
              </w:rPr>
              <w:t>例外流程</w:t>
              <w:br/>
              <w:t>12 项</w:t>
            </w:r>
          </w:p>
        </w:tc>
        <w:tc>
          <w:tcPr>
            <w:tcW w:type="dxa" w:w="80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6"/>
              </w:rPr>
              <w:t>核心</w:t>
            </w:r>
          </w:p>
        </w:tc>
        <w:tc>
          <w:tcPr>
            <w:tcW w:type="dxa" w:w="329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6"/>
              </w:rPr>
              <w:t>提前开工批准、缺项台账和转正/停止记录</w:t>
            </w:r>
          </w:p>
        </w:tc>
      </w:tr>
      <w:tr>
        <w:trPr>
          <w:cantSplit w:val="true"/>
        </w:trPr>
        <w:tc>
          <w:tcPr>
            <w:tcW w:type="dxa" w:w="720"/>
            <w:vAlign w:val="center"/>
            <w:tcMar>
              <w:top w:w="80" w:type="dxa"/>
              <w:start w:w="120" w:type="dxa"/>
              <w:bottom w:w="80" w:type="dxa"/>
              <w:end w:w="120" w:type="dxa"/>
            </w:tcMar>
            <w:shd w:fill="F8FAFC"/>
          </w:tcPr>
          <w:p>
            <w:pPr>
              <w:spacing w:before="0" w:after="40" w:line="259" w:lineRule="auto"/>
              <w:jc w:val="center"/>
            </w:pPr>
            <w:r>
              <w:rPr>
                <w:rFonts w:ascii="Calibri" w:hAnsi="Calibri" w:eastAsia="Arial Unicode MS"/>
                <w:b/>
                <w:color w:val="1F2937"/>
                <w:sz w:val="16"/>
              </w:rPr>
              <w:t>SU-06</w:t>
            </w:r>
          </w:p>
        </w:tc>
        <w:tc>
          <w:tcPr>
            <w:tcW w:type="dxa" w:w="110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6"/>
              </w:rPr>
              <w:t>启动与基线</w:t>
            </w:r>
          </w:p>
        </w:tc>
        <w:tc>
          <w:tcPr>
            <w:tcW w:type="dxa" w:w="210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6"/>
              </w:rPr>
              <w:t>项目结构与工作包配置</w:t>
            </w:r>
          </w:p>
        </w:tc>
        <w:tc>
          <w:tcPr>
            <w:tcW w:type="dxa" w:w="135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6"/>
              </w:rPr>
              <w:t>配置流程</w:t>
              <w:br/>
              <w:t>1 项</w:t>
            </w:r>
          </w:p>
        </w:tc>
        <w:tc>
          <w:tcPr>
            <w:tcW w:type="dxa" w:w="80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6"/>
              </w:rPr>
              <w:t>核心</w:t>
            </w:r>
          </w:p>
        </w:tc>
        <w:tc>
          <w:tcPr>
            <w:tcW w:type="dxa" w:w="329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6"/>
              </w:rPr>
              <w:t>项目结构和工作包清单</w:t>
            </w:r>
          </w:p>
        </w:tc>
      </w:tr>
      <w:tr>
        <w:trPr>
          <w:cantSplit w:val="true"/>
        </w:trPr>
        <w:tc>
          <w:tcPr>
            <w:tcW w:type="dxa" w:w="720"/>
            <w:vAlign w:val="center"/>
            <w:tcMar>
              <w:top w:w="80" w:type="dxa"/>
              <w:start w:w="120" w:type="dxa"/>
              <w:bottom w:w="80" w:type="dxa"/>
              <w:end w:w="120" w:type="dxa"/>
            </w:tcMar>
          </w:tcPr>
          <w:p>
            <w:pPr>
              <w:spacing w:before="0" w:after="40" w:line="259" w:lineRule="auto"/>
              <w:jc w:val="center"/>
            </w:pPr>
            <w:r>
              <w:rPr>
                <w:rFonts w:ascii="Calibri" w:hAnsi="Calibri" w:eastAsia="Arial Unicode MS"/>
                <w:b/>
                <w:color w:val="1F2937"/>
                <w:sz w:val="16"/>
              </w:rPr>
              <w:t>SU-07</w:t>
            </w:r>
          </w:p>
        </w:tc>
        <w:tc>
          <w:tcPr>
            <w:tcW w:type="dxa" w:w="110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6"/>
              </w:rPr>
              <w:t>启动与基线</w:t>
            </w:r>
          </w:p>
        </w:tc>
        <w:tc>
          <w:tcPr>
            <w:tcW w:type="dxa" w:w="210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6"/>
              </w:rPr>
              <w:t>资源需求、承诺与冲突裁决</w:t>
            </w:r>
          </w:p>
        </w:tc>
        <w:tc>
          <w:tcPr>
            <w:tcW w:type="dxa" w:w="135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6"/>
              </w:rPr>
              <w:t>协同流程</w:t>
              <w:br/>
              <w:t>3 项</w:t>
            </w:r>
          </w:p>
        </w:tc>
        <w:tc>
          <w:tcPr>
            <w:tcW w:type="dxa" w:w="80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6"/>
              </w:rPr>
              <w:t>核心</w:t>
            </w:r>
          </w:p>
        </w:tc>
        <w:tc>
          <w:tcPr>
            <w:tcW w:type="dxa" w:w="329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6"/>
              </w:rPr>
              <w:t>可执行的资源承诺和冲突结论</w:t>
            </w:r>
          </w:p>
        </w:tc>
      </w:tr>
      <w:tr>
        <w:trPr>
          <w:cantSplit w:val="true"/>
        </w:trPr>
        <w:tc>
          <w:tcPr>
            <w:tcW w:type="dxa" w:w="720"/>
            <w:vAlign w:val="center"/>
            <w:tcMar>
              <w:top w:w="80" w:type="dxa"/>
              <w:start w:w="120" w:type="dxa"/>
              <w:bottom w:w="80" w:type="dxa"/>
              <w:end w:w="120" w:type="dxa"/>
            </w:tcMar>
            <w:shd w:fill="F8FAFC"/>
          </w:tcPr>
          <w:p>
            <w:pPr>
              <w:spacing w:before="0" w:after="40" w:line="259" w:lineRule="auto"/>
              <w:jc w:val="center"/>
            </w:pPr>
            <w:r>
              <w:rPr>
                <w:rFonts w:ascii="Calibri" w:hAnsi="Calibri" w:eastAsia="Arial Unicode MS"/>
                <w:b/>
                <w:color w:val="1F2937"/>
                <w:sz w:val="16"/>
              </w:rPr>
              <w:t>SU-08</w:t>
            </w:r>
          </w:p>
        </w:tc>
        <w:tc>
          <w:tcPr>
            <w:tcW w:type="dxa" w:w="110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6"/>
              </w:rPr>
              <w:t>启动与基线</w:t>
            </w:r>
          </w:p>
        </w:tc>
        <w:tc>
          <w:tcPr>
            <w:tcW w:type="dxa" w:w="210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6"/>
              </w:rPr>
              <w:t>项目启动与团队组建</w:t>
            </w:r>
          </w:p>
        </w:tc>
        <w:tc>
          <w:tcPr>
            <w:tcW w:type="dxa" w:w="135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6"/>
              </w:rPr>
              <w:t>业务流程</w:t>
              <w:br/>
              <w:t>2 项</w:t>
            </w:r>
          </w:p>
        </w:tc>
        <w:tc>
          <w:tcPr>
            <w:tcW w:type="dxa" w:w="80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6"/>
              </w:rPr>
              <w:t>核心</w:t>
            </w:r>
          </w:p>
        </w:tc>
        <w:tc>
          <w:tcPr>
            <w:tcW w:type="dxa" w:w="329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6"/>
              </w:rPr>
              <w:t>项目成员清单、职责和启动会纪要</w:t>
            </w:r>
          </w:p>
        </w:tc>
      </w:tr>
      <w:tr>
        <w:trPr>
          <w:cantSplit w:val="true"/>
        </w:trPr>
        <w:tc>
          <w:tcPr>
            <w:tcW w:type="dxa" w:w="720"/>
            <w:vAlign w:val="center"/>
            <w:tcMar>
              <w:top w:w="80" w:type="dxa"/>
              <w:start w:w="120" w:type="dxa"/>
              <w:bottom w:w="80" w:type="dxa"/>
              <w:end w:w="120" w:type="dxa"/>
            </w:tcMar>
          </w:tcPr>
          <w:p>
            <w:pPr>
              <w:spacing w:before="0" w:after="40" w:line="259" w:lineRule="auto"/>
              <w:jc w:val="center"/>
            </w:pPr>
            <w:r>
              <w:rPr>
                <w:rFonts w:ascii="Calibri" w:hAnsi="Calibri" w:eastAsia="Arial Unicode MS"/>
                <w:b/>
                <w:color w:val="1F2937"/>
                <w:sz w:val="16"/>
              </w:rPr>
              <w:t>SU-09</w:t>
            </w:r>
          </w:p>
        </w:tc>
        <w:tc>
          <w:tcPr>
            <w:tcW w:type="dxa" w:w="110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6"/>
              </w:rPr>
              <w:t>启动与基线</w:t>
            </w:r>
          </w:p>
        </w:tc>
        <w:tc>
          <w:tcPr>
            <w:tcW w:type="dxa" w:w="210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6"/>
              </w:rPr>
              <w:t>项目计划基线与变更</w:t>
            </w:r>
          </w:p>
        </w:tc>
        <w:tc>
          <w:tcPr>
            <w:tcW w:type="dxa" w:w="135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6"/>
              </w:rPr>
              <w:t>计划流程</w:t>
              <w:br/>
              <w:t>4 项</w:t>
            </w:r>
          </w:p>
        </w:tc>
        <w:tc>
          <w:tcPr>
            <w:tcW w:type="dxa" w:w="80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6"/>
              </w:rPr>
              <w:t>核心</w:t>
            </w:r>
          </w:p>
        </w:tc>
        <w:tc>
          <w:tcPr>
            <w:tcW w:type="dxa" w:w="329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6"/>
              </w:rPr>
              <w:t>受控的项目计划基线和变更记录</w:t>
            </w:r>
          </w:p>
        </w:tc>
      </w:tr>
      <w:tr>
        <w:trPr>
          <w:cantSplit w:val="true"/>
        </w:trPr>
        <w:tc>
          <w:tcPr>
            <w:tcW w:type="dxa" w:w="720"/>
            <w:vAlign w:val="center"/>
            <w:tcMar>
              <w:top w:w="80" w:type="dxa"/>
              <w:start w:w="120" w:type="dxa"/>
              <w:bottom w:w="80" w:type="dxa"/>
              <w:end w:w="120" w:type="dxa"/>
            </w:tcMar>
            <w:shd w:fill="F8FAFC"/>
          </w:tcPr>
          <w:p>
            <w:pPr>
              <w:spacing w:before="0" w:after="40" w:line="259" w:lineRule="auto"/>
              <w:jc w:val="center"/>
            </w:pPr>
            <w:r>
              <w:rPr>
                <w:rFonts w:ascii="Calibri" w:hAnsi="Calibri" w:eastAsia="Arial Unicode MS"/>
                <w:b/>
                <w:color w:val="1F2937"/>
                <w:sz w:val="16"/>
              </w:rPr>
              <w:t>SU-10</w:t>
            </w:r>
          </w:p>
        </w:tc>
        <w:tc>
          <w:tcPr>
            <w:tcW w:type="dxa" w:w="110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6"/>
              </w:rPr>
              <w:t>启动与基线</w:t>
            </w:r>
          </w:p>
        </w:tc>
        <w:tc>
          <w:tcPr>
            <w:tcW w:type="dxa" w:w="210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6"/>
              </w:rPr>
              <w:t>实施预算基线与审批</w:t>
            </w:r>
          </w:p>
        </w:tc>
        <w:tc>
          <w:tcPr>
            <w:tcW w:type="dxa" w:w="135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6"/>
              </w:rPr>
              <w:t>预算流程</w:t>
              <w:br/>
              <w:t>4 项</w:t>
            </w:r>
          </w:p>
        </w:tc>
        <w:tc>
          <w:tcPr>
            <w:tcW w:type="dxa" w:w="80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6"/>
              </w:rPr>
              <w:t>核心</w:t>
            </w:r>
          </w:p>
        </w:tc>
        <w:tc>
          <w:tcPr>
            <w:tcW w:type="dxa" w:w="329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6"/>
              </w:rPr>
              <w:t>实施预算基线和批准记录</w:t>
            </w:r>
          </w:p>
        </w:tc>
      </w:tr>
      <w:tr>
        <w:trPr>
          <w:cantSplit w:val="true"/>
        </w:trPr>
        <w:tc>
          <w:tcPr>
            <w:tcW w:type="dxa" w:w="720"/>
            <w:vAlign w:val="center"/>
            <w:tcMar>
              <w:top w:w="80" w:type="dxa"/>
              <w:start w:w="120" w:type="dxa"/>
              <w:bottom w:w="80" w:type="dxa"/>
              <w:end w:w="120" w:type="dxa"/>
            </w:tcMar>
          </w:tcPr>
          <w:p>
            <w:pPr>
              <w:spacing w:before="0" w:after="40" w:line="259" w:lineRule="auto"/>
              <w:jc w:val="center"/>
            </w:pPr>
            <w:r>
              <w:rPr>
                <w:rFonts w:ascii="Calibri" w:hAnsi="Calibri" w:eastAsia="Arial Unicode MS"/>
                <w:b/>
                <w:color w:val="1F2937"/>
                <w:sz w:val="16"/>
              </w:rPr>
              <w:t>SU-11</w:t>
            </w:r>
          </w:p>
        </w:tc>
        <w:tc>
          <w:tcPr>
            <w:tcW w:type="dxa" w:w="110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6"/>
              </w:rPr>
              <w:t>产研与供应</w:t>
            </w:r>
          </w:p>
        </w:tc>
        <w:tc>
          <w:tcPr>
            <w:tcW w:type="dxa" w:w="210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6"/>
              </w:rPr>
              <w:t>调研与需求基线</w:t>
            </w:r>
          </w:p>
        </w:tc>
        <w:tc>
          <w:tcPr>
            <w:tcW w:type="dxa" w:w="135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6"/>
              </w:rPr>
              <w:t>工作包流程</w:t>
              <w:br/>
              <w:t>2 项</w:t>
            </w:r>
          </w:p>
        </w:tc>
        <w:tc>
          <w:tcPr>
            <w:tcW w:type="dxa" w:w="80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6"/>
              </w:rPr>
              <w:t>核心</w:t>
            </w:r>
          </w:p>
        </w:tc>
        <w:tc>
          <w:tcPr>
            <w:tcW w:type="dxa" w:w="329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6"/>
              </w:rPr>
              <w:t>调研报告、资料包和需求基线</w:t>
            </w:r>
          </w:p>
        </w:tc>
      </w:tr>
      <w:tr>
        <w:trPr>
          <w:cantSplit w:val="true"/>
        </w:trPr>
        <w:tc>
          <w:tcPr>
            <w:tcW w:type="dxa" w:w="720"/>
            <w:vAlign w:val="center"/>
            <w:tcMar>
              <w:top w:w="80" w:type="dxa"/>
              <w:start w:w="120" w:type="dxa"/>
              <w:bottom w:w="80" w:type="dxa"/>
              <w:end w:w="120" w:type="dxa"/>
            </w:tcMar>
            <w:shd w:fill="F8FAFC"/>
          </w:tcPr>
          <w:p>
            <w:pPr>
              <w:spacing w:before="0" w:after="40" w:line="259" w:lineRule="auto"/>
              <w:jc w:val="center"/>
            </w:pPr>
            <w:r>
              <w:rPr>
                <w:rFonts w:ascii="Calibri" w:hAnsi="Calibri" w:eastAsia="Arial Unicode MS"/>
                <w:b/>
                <w:color w:val="1F2937"/>
                <w:sz w:val="16"/>
              </w:rPr>
              <w:t>SU-12</w:t>
            </w:r>
          </w:p>
        </w:tc>
        <w:tc>
          <w:tcPr>
            <w:tcW w:type="dxa" w:w="110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6"/>
              </w:rPr>
              <w:t>产研与供应</w:t>
            </w:r>
          </w:p>
        </w:tc>
        <w:tc>
          <w:tcPr>
            <w:tcW w:type="dxa" w:w="210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6"/>
              </w:rPr>
              <w:t>专业设计、评审与设计基线</w:t>
            </w:r>
          </w:p>
        </w:tc>
        <w:tc>
          <w:tcPr>
            <w:tcW w:type="dxa" w:w="135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6"/>
              </w:rPr>
              <w:t>工作包流程</w:t>
              <w:br/>
              <w:t>5 项</w:t>
            </w:r>
          </w:p>
        </w:tc>
        <w:tc>
          <w:tcPr>
            <w:tcW w:type="dxa" w:w="80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6"/>
              </w:rPr>
              <w:t>核心</w:t>
            </w:r>
          </w:p>
        </w:tc>
        <w:tc>
          <w:tcPr>
            <w:tcW w:type="dxa" w:w="329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6"/>
              </w:rPr>
              <w:t>受控设计版本、评审结论和冻结基线</w:t>
            </w:r>
          </w:p>
        </w:tc>
      </w:tr>
      <w:tr>
        <w:trPr>
          <w:cantSplit w:val="true"/>
        </w:trPr>
        <w:tc>
          <w:tcPr>
            <w:tcW w:type="dxa" w:w="720"/>
            <w:vAlign w:val="center"/>
            <w:tcMar>
              <w:top w:w="80" w:type="dxa"/>
              <w:start w:w="120" w:type="dxa"/>
              <w:bottom w:w="80" w:type="dxa"/>
              <w:end w:w="120" w:type="dxa"/>
            </w:tcMar>
          </w:tcPr>
          <w:p>
            <w:pPr>
              <w:spacing w:before="0" w:after="40" w:line="259" w:lineRule="auto"/>
              <w:jc w:val="center"/>
            </w:pPr>
            <w:r>
              <w:rPr>
                <w:rFonts w:ascii="Calibri" w:hAnsi="Calibri" w:eastAsia="Arial Unicode MS"/>
                <w:b/>
                <w:color w:val="1F2937"/>
                <w:sz w:val="16"/>
              </w:rPr>
              <w:t>SU-13</w:t>
            </w:r>
          </w:p>
        </w:tc>
        <w:tc>
          <w:tcPr>
            <w:tcW w:type="dxa" w:w="110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6"/>
              </w:rPr>
              <w:t>产研与供应</w:t>
            </w:r>
          </w:p>
        </w:tc>
        <w:tc>
          <w:tcPr>
            <w:tcW w:type="dxa" w:w="210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6"/>
              </w:rPr>
              <w:t>采购申请与执行</w:t>
            </w:r>
          </w:p>
        </w:tc>
        <w:tc>
          <w:tcPr>
            <w:tcW w:type="dxa" w:w="135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6"/>
              </w:rPr>
              <w:t>业务流程</w:t>
              <w:br/>
              <w:t>2 项</w:t>
            </w:r>
          </w:p>
        </w:tc>
        <w:tc>
          <w:tcPr>
            <w:tcW w:type="dxa" w:w="80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6"/>
              </w:rPr>
              <w:t>核心</w:t>
            </w:r>
          </w:p>
        </w:tc>
        <w:tc>
          <w:tcPr>
            <w:tcW w:type="dxa" w:w="329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6"/>
              </w:rPr>
              <w:t>采购申请、订单/执行记录和交付状态</w:t>
            </w:r>
          </w:p>
        </w:tc>
      </w:tr>
      <w:tr>
        <w:trPr>
          <w:cantSplit w:val="true"/>
        </w:trPr>
        <w:tc>
          <w:tcPr>
            <w:tcW w:type="dxa" w:w="720"/>
            <w:vAlign w:val="center"/>
            <w:tcMar>
              <w:top w:w="80" w:type="dxa"/>
              <w:start w:w="120" w:type="dxa"/>
              <w:bottom w:w="80" w:type="dxa"/>
              <w:end w:w="120" w:type="dxa"/>
            </w:tcMar>
            <w:shd w:fill="F8FAFC"/>
          </w:tcPr>
          <w:p>
            <w:pPr>
              <w:spacing w:before="0" w:after="40" w:line="259" w:lineRule="auto"/>
              <w:jc w:val="center"/>
            </w:pPr>
            <w:r>
              <w:rPr>
                <w:rFonts w:ascii="Calibri" w:hAnsi="Calibri" w:eastAsia="Arial Unicode MS"/>
                <w:b/>
                <w:color w:val="1F2937"/>
                <w:sz w:val="16"/>
              </w:rPr>
              <w:t>SU-14</w:t>
            </w:r>
          </w:p>
        </w:tc>
        <w:tc>
          <w:tcPr>
            <w:tcW w:type="dxa" w:w="110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6"/>
              </w:rPr>
              <w:t>产研与供应</w:t>
            </w:r>
          </w:p>
        </w:tc>
        <w:tc>
          <w:tcPr>
            <w:tcW w:type="dxa" w:w="210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6"/>
              </w:rPr>
              <w:t>开发、软件测试与FAT</w:t>
            </w:r>
          </w:p>
        </w:tc>
        <w:tc>
          <w:tcPr>
            <w:tcW w:type="dxa" w:w="135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6"/>
              </w:rPr>
              <w:t>工作包流程</w:t>
              <w:br/>
              <w:t>3 项</w:t>
            </w:r>
          </w:p>
        </w:tc>
        <w:tc>
          <w:tcPr>
            <w:tcW w:type="dxa" w:w="80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6"/>
              </w:rPr>
              <w:t>核心</w:t>
            </w:r>
          </w:p>
        </w:tc>
        <w:tc>
          <w:tcPr>
            <w:tcW w:type="dxa" w:w="329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6"/>
              </w:rPr>
              <w:t>可交付程序版本、测试报告和FAT结论</w:t>
            </w:r>
          </w:p>
        </w:tc>
      </w:tr>
      <w:tr>
        <w:trPr>
          <w:cantSplit w:val="true"/>
        </w:trPr>
        <w:tc>
          <w:tcPr>
            <w:tcW w:type="dxa" w:w="720"/>
            <w:vAlign w:val="center"/>
            <w:tcMar>
              <w:top w:w="80" w:type="dxa"/>
              <w:start w:w="120" w:type="dxa"/>
              <w:bottom w:w="80" w:type="dxa"/>
              <w:end w:w="120" w:type="dxa"/>
            </w:tcMar>
          </w:tcPr>
          <w:p>
            <w:pPr>
              <w:spacing w:before="0" w:after="40" w:line="259" w:lineRule="auto"/>
              <w:jc w:val="center"/>
            </w:pPr>
            <w:r>
              <w:rPr>
                <w:rFonts w:ascii="Calibri" w:hAnsi="Calibri" w:eastAsia="Arial Unicode MS"/>
                <w:b/>
                <w:color w:val="1F2937"/>
                <w:sz w:val="16"/>
              </w:rPr>
              <w:t>SU-15</w:t>
            </w:r>
          </w:p>
        </w:tc>
        <w:tc>
          <w:tcPr>
            <w:tcW w:type="dxa" w:w="110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6"/>
              </w:rPr>
              <w:t>产研与供应</w:t>
            </w:r>
          </w:p>
        </w:tc>
        <w:tc>
          <w:tcPr>
            <w:tcW w:type="dxa" w:w="210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6"/>
              </w:rPr>
              <w:t>到货验收与质量记录</w:t>
            </w:r>
          </w:p>
        </w:tc>
        <w:tc>
          <w:tcPr>
            <w:tcW w:type="dxa" w:w="135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6"/>
              </w:rPr>
              <w:t>检查流程</w:t>
              <w:br/>
              <w:t>1 项</w:t>
            </w:r>
          </w:p>
        </w:tc>
        <w:tc>
          <w:tcPr>
            <w:tcW w:type="dxa" w:w="80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6"/>
              </w:rPr>
              <w:t>核心</w:t>
            </w:r>
          </w:p>
        </w:tc>
        <w:tc>
          <w:tcPr>
            <w:tcW w:type="dxa" w:w="329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6"/>
              </w:rPr>
              <w:t>到货验收记录、质量证据和缺陷状态</w:t>
            </w:r>
          </w:p>
        </w:tc>
      </w:tr>
      <w:tr>
        <w:trPr>
          <w:cantSplit w:val="true"/>
        </w:trPr>
        <w:tc>
          <w:tcPr>
            <w:tcW w:type="dxa" w:w="720"/>
            <w:vAlign w:val="center"/>
            <w:tcMar>
              <w:top w:w="80" w:type="dxa"/>
              <w:start w:w="120" w:type="dxa"/>
              <w:bottom w:w="80" w:type="dxa"/>
              <w:end w:w="120" w:type="dxa"/>
            </w:tcMar>
            <w:shd w:fill="F8FAFC"/>
          </w:tcPr>
          <w:p>
            <w:pPr>
              <w:spacing w:before="0" w:after="40" w:line="259" w:lineRule="auto"/>
              <w:jc w:val="center"/>
            </w:pPr>
            <w:r>
              <w:rPr>
                <w:rFonts w:ascii="Calibri" w:hAnsi="Calibri" w:eastAsia="Arial Unicode MS"/>
                <w:b/>
                <w:color w:val="1F2937"/>
                <w:sz w:val="16"/>
              </w:rPr>
              <w:t>SU-16</w:t>
            </w:r>
          </w:p>
        </w:tc>
        <w:tc>
          <w:tcPr>
            <w:tcW w:type="dxa" w:w="110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6"/>
              </w:rPr>
              <w:t>现场实施</w:t>
            </w:r>
          </w:p>
        </w:tc>
        <w:tc>
          <w:tcPr>
            <w:tcW w:type="dxa" w:w="210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6"/>
              </w:rPr>
              <w:t>安装、配置与调试就绪</w:t>
            </w:r>
          </w:p>
        </w:tc>
        <w:tc>
          <w:tcPr>
            <w:tcW w:type="dxa" w:w="135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6"/>
              </w:rPr>
              <w:t>现场流程</w:t>
              <w:br/>
              <w:t>3 项</w:t>
            </w:r>
          </w:p>
        </w:tc>
        <w:tc>
          <w:tcPr>
            <w:tcW w:type="dxa" w:w="80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6"/>
              </w:rPr>
              <w:t>核心</w:t>
            </w:r>
          </w:p>
        </w:tc>
        <w:tc>
          <w:tcPr>
            <w:tcW w:type="dxa" w:w="329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6"/>
              </w:rPr>
              <w:t>安装记录、安全证据、配置清单和调试就绪结论</w:t>
            </w:r>
          </w:p>
        </w:tc>
      </w:tr>
      <w:tr>
        <w:trPr>
          <w:cantSplit w:val="true"/>
        </w:trPr>
        <w:tc>
          <w:tcPr>
            <w:tcW w:type="dxa" w:w="720"/>
            <w:vAlign w:val="center"/>
            <w:tcMar>
              <w:top w:w="80" w:type="dxa"/>
              <w:start w:w="120" w:type="dxa"/>
              <w:bottom w:w="80" w:type="dxa"/>
              <w:end w:w="120" w:type="dxa"/>
            </w:tcMar>
          </w:tcPr>
          <w:p>
            <w:pPr>
              <w:spacing w:before="0" w:after="40" w:line="259" w:lineRule="auto"/>
              <w:jc w:val="center"/>
            </w:pPr>
            <w:r>
              <w:rPr>
                <w:rFonts w:ascii="Calibri" w:hAnsi="Calibri" w:eastAsia="Arial Unicode MS"/>
                <w:b/>
                <w:color w:val="1F2937"/>
                <w:sz w:val="16"/>
              </w:rPr>
              <w:t>SU-17</w:t>
            </w:r>
          </w:p>
        </w:tc>
        <w:tc>
          <w:tcPr>
            <w:tcW w:type="dxa" w:w="110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6"/>
              </w:rPr>
              <w:t>现场实施</w:t>
            </w:r>
          </w:p>
        </w:tc>
        <w:tc>
          <w:tcPr>
            <w:tcW w:type="dxa" w:w="210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6"/>
              </w:rPr>
              <w:t>分级调试与验证</w:t>
            </w:r>
          </w:p>
        </w:tc>
        <w:tc>
          <w:tcPr>
            <w:tcW w:type="dxa" w:w="135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6"/>
              </w:rPr>
              <w:t>配置化流程</w:t>
              <w:br/>
              <w:t>12 项</w:t>
            </w:r>
          </w:p>
        </w:tc>
        <w:tc>
          <w:tcPr>
            <w:tcW w:type="dxa" w:w="80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6"/>
              </w:rPr>
              <w:t>核心</w:t>
            </w:r>
          </w:p>
        </w:tc>
        <w:tc>
          <w:tcPr>
            <w:tcW w:type="dxa" w:w="329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6"/>
              </w:rPr>
              <w:t>各调试等级的准备、执行和验证记录</w:t>
            </w:r>
          </w:p>
        </w:tc>
      </w:tr>
      <w:tr>
        <w:trPr>
          <w:cantSplit w:val="true"/>
        </w:trPr>
        <w:tc>
          <w:tcPr>
            <w:tcW w:type="dxa" w:w="720"/>
            <w:vAlign w:val="center"/>
            <w:tcMar>
              <w:top w:w="80" w:type="dxa"/>
              <w:start w:w="120" w:type="dxa"/>
              <w:bottom w:w="80" w:type="dxa"/>
              <w:end w:w="120" w:type="dxa"/>
            </w:tcMar>
            <w:shd w:fill="F8FAFC"/>
          </w:tcPr>
          <w:p>
            <w:pPr>
              <w:spacing w:before="0" w:after="40" w:line="259" w:lineRule="auto"/>
              <w:jc w:val="center"/>
            </w:pPr>
            <w:r>
              <w:rPr>
                <w:rFonts w:ascii="Calibri" w:hAnsi="Calibri" w:eastAsia="Arial Unicode MS"/>
                <w:b/>
                <w:color w:val="1F2937"/>
                <w:sz w:val="16"/>
              </w:rPr>
              <w:t>SU-18</w:t>
            </w:r>
          </w:p>
        </w:tc>
        <w:tc>
          <w:tcPr>
            <w:tcW w:type="dxa" w:w="110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6"/>
              </w:rPr>
              <w:t>现场实施</w:t>
            </w:r>
          </w:p>
        </w:tc>
        <w:tc>
          <w:tcPr>
            <w:tcW w:type="dxa" w:w="210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6"/>
              </w:rPr>
              <w:t>操作培训与试运行</w:t>
            </w:r>
          </w:p>
        </w:tc>
        <w:tc>
          <w:tcPr>
            <w:tcW w:type="dxa" w:w="135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6"/>
              </w:rPr>
              <w:t>现场流程</w:t>
              <w:br/>
              <w:t>2 项</w:t>
            </w:r>
          </w:p>
        </w:tc>
        <w:tc>
          <w:tcPr>
            <w:tcW w:type="dxa" w:w="80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6"/>
              </w:rPr>
              <w:t>核心</w:t>
            </w:r>
          </w:p>
        </w:tc>
        <w:tc>
          <w:tcPr>
            <w:tcW w:type="dxa" w:w="329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6"/>
              </w:rPr>
              <w:t>培训记录、操作手册和试运行报告</w:t>
            </w:r>
          </w:p>
        </w:tc>
      </w:tr>
      <w:tr>
        <w:trPr>
          <w:cantSplit w:val="true"/>
        </w:trPr>
        <w:tc>
          <w:tcPr>
            <w:tcW w:type="dxa" w:w="720"/>
            <w:vAlign w:val="center"/>
            <w:tcMar>
              <w:top w:w="80" w:type="dxa"/>
              <w:start w:w="120" w:type="dxa"/>
              <w:bottom w:w="80" w:type="dxa"/>
              <w:end w:w="120" w:type="dxa"/>
            </w:tcMar>
          </w:tcPr>
          <w:p>
            <w:pPr>
              <w:spacing w:before="0" w:after="40" w:line="259" w:lineRule="auto"/>
              <w:jc w:val="center"/>
            </w:pPr>
            <w:r>
              <w:rPr>
                <w:rFonts w:ascii="Calibri" w:hAnsi="Calibri" w:eastAsia="Arial Unicode MS"/>
                <w:b/>
                <w:color w:val="1F2937"/>
                <w:sz w:val="16"/>
              </w:rPr>
              <w:t>SU-19</w:t>
            </w:r>
          </w:p>
        </w:tc>
        <w:tc>
          <w:tcPr>
            <w:tcW w:type="dxa" w:w="110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6"/>
              </w:rPr>
              <w:t>验收与维护</w:t>
            </w:r>
          </w:p>
        </w:tc>
        <w:tc>
          <w:tcPr>
            <w:tcW w:type="dxa" w:w="210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6"/>
              </w:rPr>
              <w:t>验收、归档与维护移交</w:t>
            </w:r>
          </w:p>
        </w:tc>
        <w:tc>
          <w:tcPr>
            <w:tcW w:type="dxa" w:w="135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6"/>
              </w:rPr>
              <w:t>阶段门流程</w:t>
              <w:br/>
              <w:t>5 项</w:t>
            </w:r>
          </w:p>
        </w:tc>
        <w:tc>
          <w:tcPr>
            <w:tcW w:type="dxa" w:w="80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6"/>
              </w:rPr>
              <w:t>核心</w:t>
            </w:r>
          </w:p>
        </w:tc>
        <w:tc>
          <w:tcPr>
            <w:tcW w:type="dxa" w:w="329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6"/>
              </w:rPr>
              <w:t>验收文件、归档快照、NAS记录和维护移交单</w:t>
            </w:r>
          </w:p>
        </w:tc>
      </w:tr>
      <w:tr>
        <w:trPr>
          <w:cantSplit w:val="true"/>
        </w:trPr>
        <w:tc>
          <w:tcPr>
            <w:tcW w:type="dxa" w:w="720"/>
            <w:vAlign w:val="center"/>
            <w:tcMar>
              <w:top w:w="80" w:type="dxa"/>
              <w:start w:w="120" w:type="dxa"/>
              <w:bottom w:w="80" w:type="dxa"/>
              <w:end w:w="120" w:type="dxa"/>
            </w:tcMar>
            <w:shd w:fill="F8FAFC"/>
          </w:tcPr>
          <w:p>
            <w:pPr>
              <w:spacing w:before="0" w:after="40" w:line="259" w:lineRule="auto"/>
              <w:jc w:val="center"/>
            </w:pPr>
            <w:r>
              <w:rPr>
                <w:rFonts w:ascii="Calibri" w:hAnsi="Calibri" w:eastAsia="Arial Unicode MS"/>
                <w:b/>
                <w:color w:val="1F2937"/>
                <w:sz w:val="16"/>
              </w:rPr>
              <w:t>SU-20</w:t>
            </w:r>
          </w:p>
        </w:tc>
        <w:tc>
          <w:tcPr>
            <w:tcW w:type="dxa" w:w="110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6"/>
              </w:rPr>
              <w:t>验收与维护</w:t>
            </w:r>
          </w:p>
        </w:tc>
        <w:tc>
          <w:tcPr>
            <w:tcW w:type="dxa" w:w="210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6"/>
              </w:rPr>
              <w:t>维护巡检与质保关闭</w:t>
            </w:r>
          </w:p>
        </w:tc>
        <w:tc>
          <w:tcPr>
            <w:tcW w:type="dxa" w:w="135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6"/>
              </w:rPr>
              <w:t>运维流程</w:t>
              <w:br/>
              <w:t>2 项</w:t>
            </w:r>
          </w:p>
        </w:tc>
        <w:tc>
          <w:tcPr>
            <w:tcW w:type="dxa" w:w="80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6"/>
              </w:rPr>
              <w:t>基础</w:t>
            </w:r>
          </w:p>
        </w:tc>
        <w:tc>
          <w:tcPr>
            <w:tcW w:type="dxa" w:w="329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6"/>
              </w:rPr>
              <w:t>运维记录、维护手册和质保关闭结论</w:t>
            </w:r>
          </w:p>
        </w:tc>
      </w:tr>
      <w:tr>
        <w:trPr>
          <w:cantSplit w:val="true"/>
        </w:trPr>
        <w:tc>
          <w:tcPr>
            <w:tcW w:type="dxa" w:w="720"/>
            <w:vAlign w:val="center"/>
            <w:tcMar>
              <w:top w:w="80" w:type="dxa"/>
              <w:start w:w="120" w:type="dxa"/>
              <w:bottom w:w="80" w:type="dxa"/>
              <w:end w:w="120" w:type="dxa"/>
            </w:tcMar>
          </w:tcPr>
          <w:p>
            <w:pPr>
              <w:spacing w:before="0" w:after="40" w:line="259" w:lineRule="auto"/>
              <w:jc w:val="center"/>
            </w:pPr>
            <w:r>
              <w:rPr>
                <w:rFonts w:ascii="Calibri" w:hAnsi="Calibri" w:eastAsia="Arial Unicode MS"/>
                <w:b/>
                <w:color w:val="1F2937"/>
                <w:sz w:val="16"/>
              </w:rPr>
              <w:t>SU-21</w:t>
            </w:r>
          </w:p>
        </w:tc>
        <w:tc>
          <w:tcPr>
            <w:tcW w:type="dxa" w:w="110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6"/>
              </w:rPr>
              <w:t>验收与维护</w:t>
            </w:r>
          </w:p>
        </w:tc>
        <w:tc>
          <w:tcPr>
            <w:tcW w:type="dxa" w:w="210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6"/>
              </w:rPr>
              <w:t>项目复盘与知识沉淀</w:t>
            </w:r>
          </w:p>
        </w:tc>
        <w:tc>
          <w:tcPr>
            <w:tcW w:type="dxa" w:w="135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6"/>
              </w:rPr>
              <w:t>复盘流程</w:t>
              <w:br/>
              <w:t>3 项</w:t>
            </w:r>
          </w:p>
        </w:tc>
        <w:tc>
          <w:tcPr>
            <w:tcW w:type="dxa" w:w="80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6"/>
              </w:rPr>
              <w:t>基础</w:t>
            </w:r>
          </w:p>
        </w:tc>
        <w:tc>
          <w:tcPr>
            <w:tcW w:type="dxa" w:w="329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6"/>
              </w:rPr>
              <w:t>复盘报告、改进项和知识发布记录</w:t>
            </w:r>
          </w:p>
        </w:tc>
      </w:tr>
      <w:tr>
        <w:trPr>
          <w:cantSplit w:val="true"/>
        </w:trPr>
        <w:tc>
          <w:tcPr>
            <w:tcW w:type="dxa" w:w="720"/>
            <w:vAlign w:val="center"/>
            <w:tcMar>
              <w:top w:w="80" w:type="dxa"/>
              <w:start w:w="120" w:type="dxa"/>
              <w:bottom w:w="80" w:type="dxa"/>
              <w:end w:w="120" w:type="dxa"/>
            </w:tcMar>
            <w:shd w:fill="F8FAFC"/>
          </w:tcPr>
          <w:p>
            <w:pPr>
              <w:spacing w:before="0" w:after="40" w:line="259" w:lineRule="auto"/>
              <w:jc w:val="center"/>
            </w:pPr>
            <w:r>
              <w:rPr>
                <w:rFonts w:ascii="Calibri" w:hAnsi="Calibri" w:eastAsia="Arial Unicode MS"/>
                <w:b/>
                <w:color w:val="1F2937"/>
                <w:sz w:val="16"/>
              </w:rPr>
              <w:t>SU-22</w:t>
            </w:r>
          </w:p>
        </w:tc>
        <w:tc>
          <w:tcPr>
            <w:tcW w:type="dxa" w:w="110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6"/>
              </w:rPr>
              <w:t>全阶段治理</w:t>
            </w:r>
          </w:p>
        </w:tc>
        <w:tc>
          <w:tcPr>
            <w:tcW w:type="dxa" w:w="210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6"/>
              </w:rPr>
              <w:t>项目日报与周报</w:t>
            </w:r>
          </w:p>
        </w:tc>
        <w:tc>
          <w:tcPr>
            <w:tcW w:type="dxa" w:w="135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6"/>
              </w:rPr>
              <w:t>报表能力</w:t>
              <w:br/>
              <w:t>2 项</w:t>
            </w:r>
          </w:p>
        </w:tc>
        <w:tc>
          <w:tcPr>
            <w:tcW w:type="dxa" w:w="80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6"/>
              </w:rPr>
              <w:t>基础</w:t>
            </w:r>
          </w:p>
        </w:tc>
        <w:tc>
          <w:tcPr>
            <w:tcW w:type="dxa" w:w="329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6"/>
              </w:rPr>
              <w:t>项目日报汇总和项目周报快照</w:t>
            </w:r>
          </w:p>
        </w:tc>
      </w:tr>
      <w:tr>
        <w:trPr>
          <w:cantSplit w:val="true"/>
        </w:trPr>
        <w:tc>
          <w:tcPr>
            <w:tcW w:type="dxa" w:w="720"/>
            <w:vAlign w:val="center"/>
            <w:tcMar>
              <w:top w:w="80" w:type="dxa"/>
              <w:start w:w="120" w:type="dxa"/>
              <w:bottom w:w="80" w:type="dxa"/>
              <w:end w:w="120" w:type="dxa"/>
            </w:tcMar>
          </w:tcPr>
          <w:p>
            <w:pPr>
              <w:spacing w:before="0" w:after="40" w:line="259" w:lineRule="auto"/>
              <w:jc w:val="center"/>
            </w:pPr>
            <w:r>
              <w:rPr>
                <w:rFonts w:ascii="Calibri" w:hAnsi="Calibri" w:eastAsia="Arial Unicode MS"/>
                <w:b/>
                <w:color w:val="1F2937"/>
                <w:sz w:val="16"/>
              </w:rPr>
              <w:t>SU-23</w:t>
            </w:r>
          </w:p>
        </w:tc>
        <w:tc>
          <w:tcPr>
            <w:tcW w:type="dxa" w:w="110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6"/>
              </w:rPr>
              <w:t>全阶段治理</w:t>
            </w:r>
          </w:p>
        </w:tc>
        <w:tc>
          <w:tcPr>
            <w:tcW w:type="dxa" w:w="210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6"/>
              </w:rPr>
              <w:t>事项闭环中心</w:t>
            </w:r>
          </w:p>
        </w:tc>
        <w:tc>
          <w:tcPr>
            <w:tcW w:type="dxa" w:w="135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6"/>
              </w:rPr>
              <w:t>公共能力</w:t>
              <w:br/>
              <w:t>5 项</w:t>
            </w:r>
          </w:p>
        </w:tc>
        <w:tc>
          <w:tcPr>
            <w:tcW w:type="dxa" w:w="80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6"/>
              </w:rPr>
              <w:t>核心</w:t>
            </w:r>
          </w:p>
        </w:tc>
        <w:tc>
          <w:tcPr>
            <w:tcW w:type="dxa" w:w="329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6"/>
              </w:rPr>
              <w:t>问题、风险、变更和安全事项的完整审计轨迹</w:t>
            </w:r>
          </w:p>
        </w:tc>
      </w:tr>
      <w:tr>
        <w:trPr>
          <w:cantSplit w:val="true"/>
        </w:trPr>
        <w:tc>
          <w:tcPr>
            <w:tcW w:type="dxa" w:w="720"/>
            <w:vAlign w:val="center"/>
            <w:tcMar>
              <w:top w:w="80" w:type="dxa"/>
              <w:start w:w="120" w:type="dxa"/>
              <w:bottom w:w="80" w:type="dxa"/>
              <w:end w:w="120" w:type="dxa"/>
            </w:tcMar>
            <w:shd w:fill="F8FAFC"/>
          </w:tcPr>
          <w:p>
            <w:pPr>
              <w:spacing w:before="0" w:after="40" w:line="259" w:lineRule="auto"/>
              <w:jc w:val="center"/>
            </w:pPr>
            <w:r>
              <w:rPr>
                <w:rFonts w:ascii="Calibri" w:hAnsi="Calibri" w:eastAsia="Arial Unicode MS"/>
                <w:b/>
                <w:color w:val="1F2937"/>
                <w:sz w:val="16"/>
              </w:rPr>
              <w:t>SU-24</w:t>
            </w:r>
          </w:p>
        </w:tc>
        <w:tc>
          <w:tcPr>
            <w:tcW w:type="dxa" w:w="110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6"/>
              </w:rPr>
              <w:t>全阶段治理</w:t>
            </w:r>
          </w:p>
        </w:tc>
        <w:tc>
          <w:tcPr>
            <w:tcW w:type="dxa" w:w="210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6"/>
              </w:rPr>
              <w:t>受控文件与版本管理</w:t>
            </w:r>
          </w:p>
        </w:tc>
        <w:tc>
          <w:tcPr>
            <w:tcW w:type="dxa" w:w="135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6"/>
              </w:rPr>
              <w:t>公共能力</w:t>
              <w:br/>
              <w:t>1 项</w:t>
            </w:r>
          </w:p>
        </w:tc>
        <w:tc>
          <w:tcPr>
            <w:tcW w:type="dxa" w:w="80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6"/>
              </w:rPr>
              <w:t>基础</w:t>
            </w:r>
          </w:p>
        </w:tc>
        <w:tc>
          <w:tcPr>
            <w:tcW w:type="dxa" w:w="329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6"/>
              </w:rPr>
              <w:t>唯一有效版本和完整版本审计记录</w:t>
            </w:r>
          </w:p>
        </w:tc>
      </w:tr>
      <w:tr>
        <w:trPr>
          <w:cantSplit w:val="true"/>
        </w:trPr>
        <w:tc>
          <w:tcPr>
            <w:tcW w:type="dxa" w:w="720"/>
            <w:vAlign w:val="center"/>
            <w:tcMar>
              <w:top w:w="80" w:type="dxa"/>
              <w:start w:w="120" w:type="dxa"/>
              <w:bottom w:w="80" w:type="dxa"/>
              <w:end w:w="120" w:type="dxa"/>
            </w:tcMar>
          </w:tcPr>
          <w:p>
            <w:pPr>
              <w:spacing w:before="0" w:after="40" w:line="259" w:lineRule="auto"/>
              <w:jc w:val="center"/>
            </w:pPr>
            <w:r>
              <w:rPr>
                <w:rFonts w:ascii="Calibri" w:hAnsi="Calibri" w:eastAsia="Arial Unicode MS"/>
                <w:b/>
                <w:color w:val="1F2937"/>
                <w:sz w:val="16"/>
              </w:rPr>
              <w:t>SU-25</w:t>
            </w:r>
          </w:p>
        </w:tc>
        <w:tc>
          <w:tcPr>
            <w:tcW w:type="dxa" w:w="110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6"/>
              </w:rPr>
              <w:t>全阶段治理</w:t>
            </w:r>
          </w:p>
        </w:tc>
        <w:tc>
          <w:tcPr>
            <w:tcW w:type="dxa" w:w="210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6"/>
              </w:rPr>
              <w:t>预算执行与经营预测</w:t>
            </w:r>
          </w:p>
        </w:tc>
        <w:tc>
          <w:tcPr>
            <w:tcW w:type="dxa" w:w="135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6"/>
              </w:rPr>
              <w:t>经营能力</w:t>
              <w:br/>
              <w:t>4 项</w:t>
            </w:r>
          </w:p>
        </w:tc>
        <w:tc>
          <w:tcPr>
            <w:tcW w:type="dxa" w:w="80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6"/>
              </w:rPr>
              <w:t>核心</w:t>
            </w:r>
          </w:p>
        </w:tc>
        <w:tc>
          <w:tcPr>
            <w:tcW w:type="dxa" w:w="329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6"/>
              </w:rPr>
              <w:t>预算执行、完工预测、回款预测和经营报告</w:t>
            </w:r>
          </w:p>
        </w:tc>
      </w:tr>
      <w:tr>
        <w:trPr>
          <w:cantSplit w:val="true"/>
        </w:trPr>
        <w:tc>
          <w:tcPr>
            <w:tcW w:type="dxa" w:w="720"/>
            <w:vAlign w:val="center"/>
            <w:tcMar>
              <w:top w:w="80" w:type="dxa"/>
              <w:start w:w="120" w:type="dxa"/>
              <w:bottom w:w="80" w:type="dxa"/>
              <w:end w:w="120" w:type="dxa"/>
            </w:tcMar>
            <w:shd w:fill="F8FAFC"/>
          </w:tcPr>
          <w:p>
            <w:pPr>
              <w:spacing w:before="0" w:after="40" w:line="259" w:lineRule="auto"/>
              <w:jc w:val="center"/>
            </w:pPr>
            <w:r>
              <w:rPr>
                <w:rFonts w:ascii="Calibri" w:hAnsi="Calibri" w:eastAsia="Arial Unicode MS"/>
                <w:b/>
                <w:color w:val="1F2937"/>
                <w:sz w:val="16"/>
              </w:rPr>
              <w:t>SU-26</w:t>
            </w:r>
          </w:p>
        </w:tc>
        <w:tc>
          <w:tcPr>
            <w:tcW w:type="dxa" w:w="110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6"/>
              </w:rPr>
              <w:t>全阶段治理</w:t>
            </w:r>
          </w:p>
        </w:tc>
        <w:tc>
          <w:tcPr>
            <w:tcW w:type="dxa" w:w="210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6"/>
              </w:rPr>
              <w:t>绩效证据快照</w:t>
            </w:r>
          </w:p>
        </w:tc>
        <w:tc>
          <w:tcPr>
            <w:tcW w:type="dxa" w:w="135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6"/>
              </w:rPr>
              <w:t>数据能力</w:t>
              <w:br/>
              <w:t>1 项</w:t>
            </w:r>
          </w:p>
        </w:tc>
        <w:tc>
          <w:tcPr>
            <w:tcW w:type="dxa" w:w="80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6"/>
              </w:rPr>
              <w:t>基础</w:t>
            </w:r>
          </w:p>
        </w:tc>
        <w:tc>
          <w:tcPr>
            <w:tcW w:type="dxa" w:w="329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6"/>
              </w:rPr>
              <w:t>可追溯的绩效证据底座</w:t>
            </w:r>
          </w:p>
        </w:tc>
      </w:tr>
    </w:tbl>
    <w:p>
      <w:pPr>
        <w:spacing w:after="40"/>
      </w:pPr>
    </w:p>
    <w:p>
      <w:pPr>
        <w:pStyle w:val="LeadCallout"/>
        <w:spacing w:before="120" w:after="200"/>
        <w:ind w:left="200" w:right="200"/>
        <w:shd w:fill="FFF8E8"/>
        <w:pBdr>
          <w:left w:val="single" w:sz="18" w:space="8" w:color="D19A32"/>
        </w:pBdr>
        <w:keepLines w:val="1"/>
      </w:pPr>
      <w:r>
        <w:rPr>
          <w:rFonts w:ascii="Calibri" w:hAnsi="Calibri" w:eastAsia="Arial Unicode MS"/>
          <w:b/>
          <w:color w:val="D19A32"/>
          <w:sz w:val="21"/>
        </w:rPr>
        <w:t xml:space="preserve">口径说明  </w:t>
      </w:r>
      <w:r>
        <w:rPr>
          <w:rFonts w:ascii="Calibri" w:hAnsi="Calibri" w:eastAsia="Arial Unicode MS"/>
          <w:color w:val="1F2937"/>
          <w:sz w:val="21"/>
        </w:rPr>
        <w:t>SU-12 在本方案中按 BRD V0.2 使用“设计基线”口径；“冻结”仅指当前批准版本作为执行依据，后续变化通过问题或变更分支受控处理。</w:t>
      </w:r>
    </w:p>
    <w:p>
      <w:pPr>
        <w:pStyle w:val="Heading1"/>
        <w:keepNext w:val="1"/>
      </w:pPr>
      <w:r>
        <w:t>附件 B｜阶段门与关键证据</w:t>
      </w:r>
    </w:p>
    <w:tbl>
      <w:tblPr>
        <w:tblW w:type="dxa" w:w="9360"/>
        <w:jc w:val="left"/>
        <w:tblLayout w:type="fixed"/>
        <w:tblLook w:firstColumn="1" w:firstRow="1" w:lastColumn="0" w:lastRow="0" w:noHBand="0" w:noVBand="1" w:val="04A0"/>
        <w:tblInd w:w="120" w:type="dxa"/>
        <w:tblBorders>
          <w:top w:val="single" w:sz="4" w:color="D7DEE8"/>
          <w:left w:val="single" w:sz="4" w:color="D7DEE8"/>
          <w:bottom w:val="single" w:sz="4" w:color="D7DEE8"/>
          <w:right w:val="single" w:sz="4" w:color="D7DEE8"/>
          <w:insideH w:val="single" w:sz="4" w:color="D7DEE8"/>
          <w:insideV w:val="single" w:sz="4" w:color="D7DEE8"/>
        </w:tblBorders>
      </w:tblPr>
      <w:tblGrid>
        <w:gridCol w:w="2350"/>
        <w:gridCol w:w="1600"/>
        <w:gridCol w:w="3710"/>
        <w:gridCol w:w="1700"/>
      </w:tblGrid>
      <w:tr>
        <w:trPr>
          <w:tblHeader w:val="true"/>
          <w:cantSplit w:val="true"/>
        </w:trPr>
        <w:tc>
          <w:tcPr>
            <w:tcW w:type="dxa" w:w="2350"/>
            <w:vAlign w:val="center"/>
            <w:tcMar>
              <w:top w:w="80" w:type="dxa"/>
              <w:start w:w="120" w:type="dxa"/>
              <w:bottom w:w="80" w:type="dxa"/>
              <w:end w:w="120" w:type="dxa"/>
            </w:tcMar>
            <w:shd w:fill="EEF4FF"/>
          </w:tcPr>
          <w:p>
            <w:pPr>
              <w:spacing w:before="0" w:after="40" w:line="259" w:lineRule="auto"/>
              <w:jc w:val="center"/>
            </w:pPr>
            <w:r>
              <w:rPr>
                <w:rFonts w:ascii="Calibri" w:hAnsi="Calibri" w:eastAsia="Arial Unicode MS"/>
                <w:b/>
                <w:color w:val="0B2545"/>
                <w:sz w:val="16"/>
              </w:rPr>
              <w:t>阶段门</w:t>
            </w:r>
          </w:p>
        </w:tc>
        <w:tc>
          <w:tcPr>
            <w:tcW w:type="dxa" w:w="1600"/>
            <w:vAlign w:val="center"/>
            <w:tcMar>
              <w:top w:w="80" w:type="dxa"/>
              <w:start w:w="120" w:type="dxa"/>
              <w:bottom w:w="80" w:type="dxa"/>
              <w:end w:w="120" w:type="dxa"/>
            </w:tcMar>
            <w:shd w:fill="EEF4FF"/>
          </w:tcPr>
          <w:p>
            <w:pPr>
              <w:spacing w:before="0" w:after="40" w:line="259" w:lineRule="auto"/>
            </w:pPr>
            <w:r>
              <w:rPr>
                <w:rFonts w:ascii="Calibri" w:hAnsi="Calibri" w:eastAsia="Arial Unicode MS"/>
                <w:b/>
                <w:color w:val="0B2545"/>
                <w:sz w:val="16"/>
              </w:rPr>
              <w:t>管理目标</w:t>
            </w:r>
          </w:p>
        </w:tc>
        <w:tc>
          <w:tcPr>
            <w:tcW w:type="dxa" w:w="3710"/>
            <w:vAlign w:val="center"/>
            <w:tcMar>
              <w:top w:w="80" w:type="dxa"/>
              <w:start w:w="120" w:type="dxa"/>
              <w:bottom w:w="80" w:type="dxa"/>
              <w:end w:w="120" w:type="dxa"/>
            </w:tcMar>
            <w:shd w:fill="EEF4FF"/>
          </w:tcPr>
          <w:p>
            <w:pPr>
              <w:spacing w:before="0" w:after="40" w:line="259" w:lineRule="auto"/>
            </w:pPr>
            <w:r>
              <w:rPr>
                <w:rFonts w:ascii="Calibri" w:hAnsi="Calibri" w:eastAsia="Arial Unicode MS"/>
                <w:b/>
                <w:color w:val="0B2545"/>
                <w:sz w:val="16"/>
              </w:rPr>
              <w:t>关键证据</w:t>
            </w:r>
          </w:p>
        </w:tc>
        <w:tc>
          <w:tcPr>
            <w:tcW w:type="dxa" w:w="1700"/>
            <w:vAlign w:val="center"/>
            <w:tcMar>
              <w:top w:w="80" w:type="dxa"/>
              <w:start w:w="120" w:type="dxa"/>
              <w:bottom w:w="80" w:type="dxa"/>
              <w:end w:w="120" w:type="dxa"/>
            </w:tcMar>
            <w:shd w:fill="EEF4FF"/>
          </w:tcPr>
          <w:p>
            <w:pPr>
              <w:spacing w:before="0" w:after="40" w:line="259" w:lineRule="auto"/>
            </w:pPr>
            <w:r>
              <w:rPr>
                <w:rFonts w:ascii="Calibri" w:hAnsi="Calibri" w:eastAsia="Arial Unicode MS"/>
                <w:b/>
                <w:color w:val="0B2545"/>
                <w:sz w:val="16"/>
              </w:rPr>
              <w:t>例外/未通过</w:t>
            </w:r>
          </w:p>
        </w:tc>
      </w:tr>
      <w:tr>
        <w:trPr>
          <w:cantSplit w:val="true"/>
        </w:trPr>
        <w:tc>
          <w:tcPr>
            <w:tcW w:type="dxa" w:w="2350"/>
            <w:vAlign w:val="center"/>
            <w:tcMar>
              <w:top w:w="80" w:type="dxa"/>
              <w:start w:w="120" w:type="dxa"/>
              <w:bottom w:w="80" w:type="dxa"/>
              <w:end w:w="120" w:type="dxa"/>
            </w:tcMar>
          </w:tcPr>
          <w:p>
            <w:pPr>
              <w:spacing w:before="0" w:after="40" w:line="259" w:lineRule="auto"/>
              <w:jc w:val="center"/>
            </w:pPr>
            <w:r>
              <w:rPr>
                <w:rFonts w:ascii="Calibri" w:hAnsi="Calibri" w:eastAsia="Arial Unicode MS"/>
                <w:b/>
                <w:color w:val="1F2937"/>
                <w:sz w:val="16"/>
              </w:rPr>
              <w:t>SG-01 售前投入立项</w:t>
            </w:r>
          </w:p>
        </w:tc>
        <w:tc>
          <w:tcPr>
            <w:tcW w:type="dxa" w:w="160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6"/>
              </w:rPr>
              <w:t>投入有授权</w:t>
            </w:r>
          </w:p>
        </w:tc>
        <w:tc>
          <w:tcPr>
            <w:tcW w:type="dxa" w:w="371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6"/>
              </w:rPr>
              <w:t>目的、人员/差旅/费用、预期成果、责任人与退出条件</w:t>
            </w:r>
          </w:p>
        </w:tc>
        <w:tc>
          <w:tcPr>
            <w:tcW w:type="dxa" w:w="170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6"/>
              </w:rPr>
              <w:t>按阈值简化或升级审批</w:t>
            </w:r>
          </w:p>
        </w:tc>
      </w:tr>
      <w:tr>
        <w:trPr>
          <w:cantSplit w:val="true"/>
        </w:trPr>
        <w:tc>
          <w:tcPr>
            <w:tcW w:type="dxa" w:w="2350"/>
            <w:vAlign w:val="center"/>
            <w:tcMar>
              <w:top w:w="80" w:type="dxa"/>
              <w:start w:w="120" w:type="dxa"/>
              <w:bottom w:w="80" w:type="dxa"/>
              <w:end w:w="120" w:type="dxa"/>
            </w:tcMar>
            <w:shd w:fill="F8FAFC"/>
          </w:tcPr>
          <w:p>
            <w:pPr>
              <w:spacing w:before="0" w:after="40" w:line="259" w:lineRule="auto"/>
              <w:jc w:val="center"/>
            </w:pPr>
            <w:r>
              <w:rPr>
                <w:rFonts w:ascii="Calibri" w:hAnsi="Calibri" w:eastAsia="Arial Unicode MS"/>
                <w:b/>
                <w:color w:val="1F2937"/>
                <w:sz w:val="16"/>
              </w:rPr>
              <w:t>SG-02 报价/投标评审</w:t>
            </w:r>
          </w:p>
        </w:tc>
        <w:tc>
          <w:tcPr>
            <w:tcW w:type="dxa" w:w="160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6"/>
              </w:rPr>
              <w:t>报价可交付</w:t>
            </w:r>
          </w:p>
        </w:tc>
        <w:tc>
          <w:tcPr>
            <w:tcW w:type="dxa" w:w="371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6"/>
              </w:rPr>
              <w:t>调研、方案、工程量、采购估算、关键假设与风险</w:t>
            </w:r>
          </w:p>
        </w:tc>
        <w:tc>
          <w:tcPr>
            <w:tcW w:type="dxa" w:w="170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6"/>
              </w:rPr>
              <w:t>高风险项目增加交付可行性评审</w:t>
            </w:r>
          </w:p>
        </w:tc>
      </w:tr>
      <w:tr>
        <w:trPr>
          <w:cantSplit w:val="true"/>
        </w:trPr>
        <w:tc>
          <w:tcPr>
            <w:tcW w:type="dxa" w:w="2350"/>
            <w:vAlign w:val="center"/>
            <w:tcMar>
              <w:top w:w="80" w:type="dxa"/>
              <w:start w:w="120" w:type="dxa"/>
              <w:bottom w:w="80" w:type="dxa"/>
              <w:end w:w="120" w:type="dxa"/>
            </w:tcMar>
          </w:tcPr>
          <w:p>
            <w:pPr>
              <w:spacing w:before="0" w:after="40" w:line="259" w:lineRule="auto"/>
              <w:jc w:val="center"/>
            </w:pPr>
            <w:r>
              <w:rPr>
                <w:rFonts w:ascii="Calibri" w:hAnsi="Calibri" w:eastAsia="Arial Unicode MS"/>
                <w:b/>
                <w:color w:val="1F2937"/>
                <w:sz w:val="16"/>
              </w:rPr>
              <w:t>DG-01 交付准入</w:t>
            </w:r>
          </w:p>
        </w:tc>
        <w:tc>
          <w:tcPr>
            <w:tcW w:type="dxa" w:w="160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6"/>
              </w:rPr>
              <w:t>阻止无痕开工</w:t>
            </w:r>
          </w:p>
        </w:tc>
        <w:tc>
          <w:tcPr>
            <w:tcW w:type="dxa" w:w="371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6"/>
              </w:rPr>
              <w:t>商务移交资料包、准入评审或提前开工批准</w:t>
            </w:r>
          </w:p>
        </w:tc>
        <w:tc>
          <w:tcPr>
            <w:tcW w:type="dxa" w:w="170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6"/>
              </w:rPr>
              <w:t>退回缺项或走受控例外</w:t>
            </w:r>
          </w:p>
        </w:tc>
      </w:tr>
      <w:tr>
        <w:trPr>
          <w:cantSplit w:val="true"/>
        </w:trPr>
        <w:tc>
          <w:tcPr>
            <w:tcW w:type="dxa" w:w="2350"/>
            <w:vAlign w:val="center"/>
            <w:tcMar>
              <w:top w:w="80" w:type="dxa"/>
              <w:start w:w="120" w:type="dxa"/>
              <w:bottom w:w="80" w:type="dxa"/>
              <w:end w:w="120" w:type="dxa"/>
            </w:tcMar>
            <w:shd w:fill="F8FAFC"/>
          </w:tcPr>
          <w:p>
            <w:pPr>
              <w:spacing w:before="0" w:after="40" w:line="259" w:lineRule="auto"/>
              <w:jc w:val="center"/>
            </w:pPr>
            <w:r>
              <w:rPr>
                <w:rFonts w:ascii="Calibri" w:hAnsi="Calibri" w:eastAsia="Arial Unicode MS"/>
                <w:b/>
                <w:color w:val="1F2937"/>
                <w:sz w:val="16"/>
              </w:rPr>
              <w:t>DG-02 交付立项与项目基线</w:t>
            </w:r>
          </w:p>
        </w:tc>
        <w:tc>
          <w:tcPr>
            <w:tcW w:type="dxa" w:w="160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6"/>
              </w:rPr>
              <w:t>形成执行基线</w:t>
            </w:r>
          </w:p>
        </w:tc>
        <w:tc>
          <w:tcPr>
            <w:tcW w:type="dxa" w:w="371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6"/>
              </w:rPr>
              <w:t>团队、交付单元、工作包、主计划、资源承诺与实施预算</w:t>
            </w:r>
          </w:p>
        </w:tc>
        <w:tc>
          <w:tcPr>
            <w:tcW w:type="dxa" w:w="170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6"/>
              </w:rPr>
              <w:t>分阶段预算需明确批准范围</w:t>
            </w:r>
          </w:p>
        </w:tc>
      </w:tr>
      <w:tr>
        <w:trPr>
          <w:cantSplit w:val="true"/>
        </w:trPr>
        <w:tc>
          <w:tcPr>
            <w:tcW w:type="dxa" w:w="2350"/>
            <w:vAlign w:val="center"/>
            <w:tcMar>
              <w:top w:w="80" w:type="dxa"/>
              <w:start w:w="120" w:type="dxa"/>
              <w:bottom w:w="80" w:type="dxa"/>
              <w:end w:w="120" w:type="dxa"/>
            </w:tcMar>
          </w:tcPr>
          <w:p>
            <w:pPr>
              <w:spacing w:before="0" w:after="40" w:line="259" w:lineRule="auto"/>
              <w:jc w:val="center"/>
            </w:pPr>
            <w:r>
              <w:rPr>
                <w:rFonts w:ascii="Calibri" w:hAnsi="Calibri" w:eastAsia="Arial Unicode MS"/>
                <w:b/>
                <w:color w:val="1F2937"/>
                <w:sz w:val="16"/>
              </w:rPr>
              <w:t>DG-03 深化需求基线</w:t>
            </w:r>
          </w:p>
        </w:tc>
        <w:tc>
          <w:tcPr>
            <w:tcW w:type="dxa" w:w="160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6"/>
              </w:rPr>
              <w:t>确认真实需求</w:t>
            </w:r>
          </w:p>
        </w:tc>
        <w:tc>
          <w:tcPr>
            <w:tcW w:type="dxa" w:w="371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6"/>
              </w:rPr>
              <w:t>调研报告、资料包、需求、接口、现场约束与验收边界</w:t>
            </w:r>
          </w:p>
        </w:tc>
        <w:tc>
          <w:tcPr>
            <w:tcW w:type="dxa" w:w="170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6"/>
              </w:rPr>
              <w:t>缺项待办；新增需求进入变更</w:t>
            </w:r>
          </w:p>
        </w:tc>
      </w:tr>
      <w:tr>
        <w:trPr>
          <w:cantSplit w:val="true"/>
        </w:trPr>
        <w:tc>
          <w:tcPr>
            <w:tcW w:type="dxa" w:w="2350"/>
            <w:vAlign w:val="center"/>
            <w:tcMar>
              <w:top w:w="80" w:type="dxa"/>
              <w:start w:w="120" w:type="dxa"/>
              <w:bottom w:w="80" w:type="dxa"/>
              <w:end w:w="120" w:type="dxa"/>
            </w:tcMar>
            <w:shd w:fill="F8FAFC"/>
          </w:tcPr>
          <w:p>
            <w:pPr>
              <w:spacing w:before="0" w:after="40" w:line="259" w:lineRule="auto"/>
              <w:jc w:val="center"/>
            </w:pPr>
            <w:r>
              <w:rPr>
                <w:rFonts w:ascii="Calibri" w:hAnsi="Calibri" w:eastAsia="Arial Unicode MS"/>
                <w:b/>
                <w:color w:val="1F2937"/>
                <w:sz w:val="16"/>
              </w:rPr>
              <w:t>DG-04 设计基线与采购/开发放行</w:t>
            </w:r>
          </w:p>
        </w:tc>
        <w:tc>
          <w:tcPr>
            <w:tcW w:type="dxa" w:w="160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6"/>
              </w:rPr>
              <w:t>提供受控输入</w:t>
            </w:r>
          </w:p>
        </w:tc>
        <w:tc>
          <w:tcPr>
            <w:tcW w:type="dxa" w:w="371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6"/>
              </w:rPr>
              <w:t>机械/电气/软件设计、供货清单、接口、验收标准、评审结论</w:t>
            </w:r>
          </w:p>
        </w:tc>
        <w:tc>
          <w:tcPr>
            <w:tcW w:type="dxa" w:w="170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6"/>
              </w:rPr>
              <w:t>受影响范围未通过不得放行</w:t>
            </w:r>
          </w:p>
        </w:tc>
      </w:tr>
      <w:tr>
        <w:trPr>
          <w:cantSplit w:val="true"/>
        </w:trPr>
        <w:tc>
          <w:tcPr>
            <w:tcW w:type="dxa" w:w="2350"/>
            <w:vAlign w:val="center"/>
            <w:tcMar>
              <w:top w:w="80" w:type="dxa"/>
              <w:start w:w="120" w:type="dxa"/>
              <w:bottom w:w="80" w:type="dxa"/>
              <w:end w:w="120" w:type="dxa"/>
            </w:tcMar>
          </w:tcPr>
          <w:p>
            <w:pPr>
              <w:spacing w:before="0" w:after="40" w:line="259" w:lineRule="auto"/>
              <w:jc w:val="center"/>
            </w:pPr>
            <w:r>
              <w:rPr>
                <w:rFonts w:ascii="Calibri" w:hAnsi="Calibri" w:eastAsia="Arial Unicode MS"/>
                <w:b/>
                <w:color w:val="1F2937"/>
                <w:sz w:val="16"/>
              </w:rPr>
              <w:t>DG-05 出厂/进场就绪</w:t>
            </w:r>
          </w:p>
        </w:tc>
        <w:tc>
          <w:tcPr>
            <w:tcW w:type="dxa" w:w="160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6"/>
              </w:rPr>
              <w:t>确认进场准备</w:t>
            </w:r>
          </w:p>
        </w:tc>
        <w:tc>
          <w:tcPr>
            <w:tcW w:type="dxa" w:w="371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6"/>
              </w:rPr>
              <w:t>采购制造、软件测试、FAT、质量与缺陷关闭证据</w:t>
            </w:r>
          </w:p>
        </w:tc>
        <w:tc>
          <w:tcPr>
            <w:tcW w:type="dxa" w:w="170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6"/>
              </w:rPr>
              <w:t>关键缺陷阻断，非关键项限期</w:t>
            </w:r>
          </w:p>
        </w:tc>
      </w:tr>
      <w:tr>
        <w:trPr>
          <w:cantSplit w:val="true"/>
        </w:trPr>
        <w:tc>
          <w:tcPr>
            <w:tcW w:type="dxa" w:w="2350"/>
            <w:vAlign w:val="center"/>
            <w:tcMar>
              <w:top w:w="80" w:type="dxa"/>
              <w:start w:w="120" w:type="dxa"/>
              <w:bottom w:w="80" w:type="dxa"/>
              <w:end w:w="120" w:type="dxa"/>
            </w:tcMar>
            <w:shd w:fill="F8FAFC"/>
          </w:tcPr>
          <w:p>
            <w:pPr>
              <w:spacing w:before="0" w:after="40" w:line="259" w:lineRule="auto"/>
              <w:jc w:val="center"/>
            </w:pPr>
            <w:r>
              <w:rPr>
                <w:rFonts w:ascii="Calibri" w:hAnsi="Calibri" w:eastAsia="Arial Unicode MS"/>
                <w:b/>
                <w:color w:val="1F2937"/>
                <w:sz w:val="16"/>
              </w:rPr>
              <w:t>DG-06 调试就绪</w:t>
            </w:r>
          </w:p>
        </w:tc>
        <w:tc>
          <w:tcPr>
            <w:tcW w:type="dxa" w:w="160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6"/>
              </w:rPr>
              <w:t>确认现场条件</w:t>
            </w:r>
          </w:p>
        </w:tc>
        <w:tc>
          <w:tcPr>
            <w:tcW w:type="dxa" w:w="371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6"/>
              </w:rPr>
              <w:t>安装复核、安全培训、通电通网、配置与完工记录</w:t>
            </w:r>
          </w:p>
        </w:tc>
        <w:tc>
          <w:tcPr>
            <w:tcW w:type="dxa" w:w="170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6"/>
              </w:rPr>
              <w:t>安全或接口前置缺失时禁止调试</w:t>
            </w:r>
          </w:p>
        </w:tc>
      </w:tr>
      <w:tr>
        <w:trPr>
          <w:cantSplit w:val="true"/>
        </w:trPr>
        <w:tc>
          <w:tcPr>
            <w:tcW w:type="dxa" w:w="2350"/>
            <w:vAlign w:val="center"/>
            <w:tcMar>
              <w:top w:w="80" w:type="dxa"/>
              <w:start w:w="120" w:type="dxa"/>
              <w:bottom w:w="80" w:type="dxa"/>
              <w:end w:w="120" w:type="dxa"/>
            </w:tcMar>
          </w:tcPr>
          <w:p>
            <w:pPr>
              <w:spacing w:before="0" w:after="40" w:line="259" w:lineRule="auto"/>
              <w:jc w:val="center"/>
            </w:pPr>
            <w:r>
              <w:rPr>
                <w:rFonts w:ascii="Calibri" w:hAnsi="Calibri" w:eastAsia="Arial Unicode MS"/>
                <w:b/>
                <w:color w:val="1F2937"/>
                <w:sz w:val="16"/>
              </w:rPr>
              <w:t>DG-07 验收就绪</w:t>
            </w:r>
          </w:p>
        </w:tc>
        <w:tc>
          <w:tcPr>
            <w:tcW w:type="dxa" w:w="160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6"/>
              </w:rPr>
              <w:t>确认验证完成</w:t>
            </w:r>
          </w:p>
        </w:tc>
        <w:tc>
          <w:tcPr>
            <w:tcW w:type="dxa" w:w="371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6"/>
              </w:rPr>
              <w:t>启用调试等级、空重载、培训、试运行和未结项清单</w:t>
            </w:r>
          </w:p>
        </w:tc>
        <w:tc>
          <w:tcPr>
            <w:tcW w:type="dxa" w:w="170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6"/>
              </w:rPr>
              <w:t>按未结项严重度判断是否阻断</w:t>
            </w:r>
          </w:p>
        </w:tc>
      </w:tr>
      <w:tr>
        <w:trPr>
          <w:cantSplit w:val="true"/>
        </w:trPr>
        <w:tc>
          <w:tcPr>
            <w:tcW w:type="dxa" w:w="2350"/>
            <w:vAlign w:val="center"/>
            <w:tcMar>
              <w:top w:w="80" w:type="dxa"/>
              <w:start w:w="120" w:type="dxa"/>
              <w:bottom w:w="80" w:type="dxa"/>
              <w:end w:w="120" w:type="dxa"/>
            </w:tcMar>
            <w:shd w:fill="F8FAFC"/>
          </w:tcPr>
          <w:p>
            <w:pPr>
              <w:spacing w:before="0" w:after="40" w:line="259" w:lineRule="auto"/>
              <w:jc w:val="center"/>
            </w:pPr>
            <w:r>
              <w:rPr>
                <w:rFonts w:ascii="Calibri" w:hAnsi="Calibri" w:eastAsia="Arial Unicode MS"/>
                <w:b/>
                <w:color w:val="1F2937"/>
                <w:sz w:val="16"/>
              </w:rPr>
              <w:t>DG-08 验收归档/维护移交</w:t>
            </w:r>
          </w:p>
        </w:tc>
        <w:tc>
          <w:tcPr>
            <w:tcW w:type="dxa" w:w="160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6"/>
              </w:rPr>
              <w:t>完成责任转移</w:t>
            </w:r>
          </w:p>
        </w:tc>
        <w:tc>
          <w:tcPr>
            <w:tcW w:type="dxa" w:w="371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6"/>
              </w:rPr>
              <w:t>验收签署、归档快照、NAS 记录、离场与维护移交</w:t>
            </w:r>
          </w:p>
        </w:tc>
        <w:tc>
          <w:tcPr>
            <w:tcW w:type="dxa" w:w="170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6"/>
              </w:rPr>
              <w:t>不得用口头结论关闭</w:t>
            </w:r>
          </w:p>
        </w:tc>
      </w:tr>
      <w:tr>
        <w:trPr>
          <w:cantSplit w:val="true"/>
        </w:trPr>
        <w:tc>
          <w:tcPr>
            <w:tcW w:type="dxa" w:w="2350"/>
            <w:vAlign w:val="center"/>
            <w:tcMar>
              <w:top w:w="80" w:type="dxa"/>
              <w:start w:w="120" w:type="dxa"/>
              <w:bottom w:w="80" w:type="dxa"/>
              <w:end w:w="120" w:type="dxa"/>
            </w:tcMar>
          </w:tcPr>
          <w:p>
            <w:pPr>
              <w:spacing w:before="0" w:after="40" w:line="259" w:lineRule="auto"/>
              <w:jc w:val="center"/>
            </w:pPr>
            <w:r>
              <w:rPr>
                <w:rFonts w:ascii="Calibri" w:hAnsi="Calibri" w:eastAsia="Arial Unicode MS"/>
                <w:b/>
                <w:color w:val="1F2937"/>
                <w:sz w:val="16"/>
              </w:rPr>
              <w:t>DG-09 项目关闭</w:t>
            </w:r>
          </w:p>
        </w:tc>
        <w:tc>
          <w:tcPr>
            <w:tcW w:type="dxa" w:w="160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6"/>
              </w:rPr>
              <w:t>完成责任与知识闭环</w:t>
            </w:r>
          </w:p>
        </w:tc>
        <w:tc>
          <w:tcPr>
            <w:tcW w:type="dxa" w:w="371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6"/>
              </w:rPr>
              <w:t>质保关闭、遗留项关闭、复盘、改进和知识发布</w:t>
            </w:r>
          </w:p>
        </w:tc>
        <w:tc>
          <w:tcPr>
            <w:tcW w:type="dxa" w:w="170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6"/>
              </w:rPr>
              <w:t>未关闭则保持维护状态</w:t>
            </w:r>
          </w:p>
        </w:tc>
      </w:tr>
    </w:tbl>
    <w:p>
      <w:pPr>
        <w:spacing w:after="40"/>
      </w:pPr>
    </w:p>
    <w:p>
      <w:pPr>
        <w:pStyle w:val="Heading1"/>
        <w:keepNext w:val="1"/>
      </w:pPr>
      <w:r>
        <w:t>附件 C｜分阶段交付物与验收</w:t>
      </w:r>
    </w:p>
    <w:tbl>
      <w:tblPr>
        <w:tblW w:type="dxa" w:w="9360"/>
        <w:jc w:val="left"/>
        <w:tblLayout w:type="fixed"/>
        <w:tblLook w:firstColumn="1" w:firstRow="1" w:lastColumn="0" w:lastRow="0" w:noHBand="0" w:noVBand="1" w:val="04A0"/>
        <w:tblInd w:w="120" w:type="dxa"/>
        <w:tblBorders>
          <w:top w:val="single" w:sz="4" w:color="D7DEE8"/>
          <w:left w:val="single" w:sz="4" w:color="D7DEE8"/>
          <w:bottom w:val="single" w:sz="4" w:color="D7DEE8"/>
          <w:right w:val="single" w:sz="4" w:color="D7DEE8"/>
          <w:insideH w:val="single" w:sz="4" w:color="D7DEE8"/>
          <w:insideV w:val="single" w:sz="4" w:color="D7DEE8"/>
        </w:tblBorders>
      </w:tblPr>
      <w:tblGrid>
        <w:gridCol w:w="1500"/>
        <w:gridCol w:w="5100"/>
        <w:gridCol w:w="1760"/>
        <w:gridCol w:w="1000"/>
      </w:tblGrid>
      <w:tr>
        <w:trPr>
          <w:tblHeader w:val="true"/>
          <w:cantSplit w:val="true"/>
        </w:trPr>
        <w:tc>
          <w:tcPr>
            <w:tcW w:type="dxa" w:w="1500"/>
            <w:vAlign w:val="center"/>
            <w:tcMar>
              <w:top w:w="80" w:type="dxa"/>
              <w:start w:w="120" w:type="dxa"/>
              <w:bottom w:w="80" w:type="dxa"/>
              <w:end w:w="120" w:type="dxa"/>
            </w:tcMar>
            <w:shd w:fill="EEF9F4"/>
          </w:tcPr>
          <w:p>
            <w:pPr>
              <w:spacing w:before="0" w:after="40" w:line="259" w:lineRule="auto"/>
              <w:jc w:val="center"/>
            </w:pPr>
            <w:r>
              <w:rPr>
                <w:rFonts w:ascii="Calibri" w:hAnsi="Calibri" w:eastAsia="Arial Unicode MS"/>
                <w:b/>
                <w:color w:val="0B2545"/>
                <w:sz w:val="17"/>
              </w:rPr>
              <w:t>阶段</w:t>
            </w:r>
          </w:p>
        </w:tc>
        <w:tc>
          <w:tcPr>
            <w:tcW w:type="dxa" w:w="5100"/>
            <w:vAlign w:val="center"/>
            <w:tcMar>
              <w:top w:w="80" w:type="dxa"/>
              <w:start w:w="120" w:type="dxa"/>
              <w:bottom w:w="80" w:type="dxa"/>
              <w:end w:w="120" w:type="dxa"/>
            </w:tcMar>
            <w:shd w:fill="EEF9F4"/>
          </w:tcPr>
          <w:p>
            <w:pPr>
              <w:spacing w:before="0" w:after="40" w:line="259" w:lineRule="auto"/>
            </w:pPr>
            <w:r>
              <w:rPr>
                <w:rFonts w:ascii="Calibri" w:hAnsi="Calibri" w:eastAsia="Arial Unicode MS"/>
                <w:b/>
                <w:color w:val="0B2545"/>
                <w:sz w:val="17"/>
              </w:rPr>
              <w:t>主要交付物</w:t>
            </w:r>
          </w:p>
        </w:tc>
        <w:tc>
          <w:tcPr>
            <w:tcW w:type="dxa" w:w="1760"/>
            <w:vAlign w:val="center"/>
            <w:tcMar>
              <w:top w:w="80" w:type="dxa"/>
              <w:start w:w="120" w:type="dxa"/>
              <w:bottom w:w="80" w:type="dxa"/>
              <w:end w:w="120" w:type="dxa"/>
            </w:tcMar>
            <w:shd w:fill="EEF9F4"/>
          </w:tcPr>
          <w:p>
            <w:pPr>
              <w:spacing w:before="0" w:after="40" w:line="259" w:lineRule="auto"/>
            </w:pPr>
            <w:r>
              <w:rPr>
                <w:rFonts w:ascii="Calibri" w:hAnsi="Calibri" w:eastAsia="Arial Unicode MS"/>
                <w:b/>
                <w:color w:val="0B2545"/>
                <w:sz w:val="17"/>
              </w:rPr>
              <w:t>退出条件</w:t>
            </w:r>
          </w:p>
        </w:tc>
        <w:tc>
          <w:tcPr>
            <w:tcW w:type="dxa" w:w="1000"/>
            <w:vAlign w:val="center"/>
            <w:tcMar>
              <w:top w:w="80" w:type="dxa"/>
              <w:start w:w="120" w:type="dxa"/>
              <w:bottom w:w="80" w:type="dxa"/>
              <w:end w:w="120" w:type="dxa"/>
            </w:tcMar>
            <w:shd w:fill="EEF9F4"/>
          </w:tcPr>
          <w:p>
            <w:pPr>
              <w:spacing w:before="0" w:after="40" w:line="259" w:lineRule="auto"/>
            </w:pPr>
            <w:r>
              <w:rPr>
                <w:rFonts w:ascii="Calibri" w:hAnsi="Calibri" w:eastAsia="Arial Unicode MS"/>
                <w:b/>
                <w:color w:val="0B2545"/>
                <w:sz w:val="17"/>
              </w:rPr>
              <w:t>建议窗口</w:t>
            </w:r>
          </w:p>
        </w:tc>
      </w:tr>
      <w:tr>
        <w:trPr>
          <w:cantSplit w:val="true"/>
        </w:trPr>
        <w:tc>
          <w:tcPr>
            <w:tcW w:type="dxa" w:w="1500"/>
            <w:vAlign w:val="center"/>
            <w:tcMar>
              <w:top w:w="80" w:type="dxa"/>
              <w:start w:w="120" w:type="dxa"/>
              <w:bottom w:w="80" w:type="dxa"/>
              <w:end w:w="120" w:type="dxa"/>
            </w:tcMar>
          </w:tcPr>
          <w:p>
            <w:pPr>
              <w:spacing w:before="0" w:after="40" w:line="259" w:lineRule="auto"/>
              <w:jc w:val="center"/>
            </w:pPr>
            <w:r>
              <w:rPr>
                <w:rFonts w:ascii="Calibri" w:hAnsi="Calibri" w:eastAsia="Arial Unicode MS"/>
                <w:b/>
                <w:color w:val="1F2937"/>
                <w:sz w:val="17"/>
              </w:rPr>
              <w:t>P0 建设准备</w:t>
            </w:r>
          </w:p>
        </w:tc>
        <w:tc>
          <w:tcPr>
            <w:tcW w:type="dxa" w:w="510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7"/>
              </w:rPr>
              <w:t>项目章程、基线清单、决策结论、试点选择、现状指标、数据盘点</w:t>
            </w:r>
          </w:p>
        </w:tc>
        <w:tc>
          <w:tcPr>
            <w:tcW w:type="dxa" w:w="176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7"/>
              </w:rPr>
              <w:t>M0/M1 输入完整</w:t>
            </w:r>
          </w:p>
        </w:tc>
        <w:tc>
          <w:tcPr>
            <w:tcW w:type="dxa" w:w="100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7"/>
              </w:rPr>
              <w:t>4~6 周</w:t>
            </w:r>
          </w:p>
        </w:tc>
      </w:tr>
      <w:tr>
        <w:trPr>
          <w:cantSplit w:val="true"/>
        </w:trPr>
        <w:tc>
          <w:tcPr>
            <w:tcW w:type="dxa" w:w="1500"/>
            <w:vAlign w:val="center"/>
            <w:tcMar>
              <w:top w:w="80" w:type="dxa"/>
              <w:start w:w="120" w:type="dxa"/>
              <w:bottom w:w="80" w:type="dxa"/>
              <w:end w:w="120" w:type="dxa"/>
            </w:tcMar>
            <w:shd w:fill="F8FAFC"/>
          </w:tcPr>
          <w:p>
            <w:pPr>
              <w:spacing w:before="0" w:after="40" w:line="259" w:lineRule="auto"/>
              <w:jc w:val="center"/>
            </w:pPr>
            <w:r>
              <w:rPr>
                <w:rFonts w:ascii="Calibri" w:hAnsi="Calibri" w:eastAsia="Arial Unicode MS"/>
                <w:b/>
                <w:color w:val="1F2937"/>
                <w:sz w:val="17"/>
              </w:rPr>
              <w:t>P1 产品与技术基线</w:t>
            </w:r>
          </w:p>
        </w:tc>
        <w:tc>
          <w:tcPr>
            <w:tcW w:type="dxa" w:w="510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7"/>
              </w:rPr>
              <w:t>项目级 PRD、功能/SPEC 索引、总体技术方案、集成/数据/权限/安全方案、关键验证</w:t>
            </w:r>
          </w:p>
        </w:tc>
        <w:tc>
          <w:tcPr>
            <w:tcW w:type="dxa" w:w="176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7"/>
              </w:rPr>
              <w:t>M1、M2 通过</w:t>
            </w:r>
          </w:p>
        </w:tc>
        <w:tc>
          <w:tcPr>
            <w:tcW w:type="dxa" w:w="100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7"/>
              </w:rPr>
              <w:t>6~8 周</w:t>
            </w:r>
          </w:p>
        </w:tc>
      </w:tr>
      <w:tr>
        <w:trPr>
          <w:cantSplit w:val="true"/>
        </w:trPr>
        <w:tc>
          <w:tcPr>
            <w:tcW w:type="dxa" w:w="1500"/>
            <w:vAlign w:val="center"/>
            <w:tcMar>
              <w:top w:w="80" w:type="dxa"/>
              <w:start w:w="120" w:type="dxa"/>
              <w:bottom w:w="80" w:type="dxa"/>
              <w:end w:w="120" w:type="dxa"/>
            </w:tcMar>
          </w:tcPr>
          <w:p>
            <w:pPr>
              <w:spacing w:before="0" w:after="40" w:line="259" w:lineRule="auto"/>
              <w:jc w:val="center"/>
            </w:pPr>
            <w:r>
              <w:rPr>
                <w:rFonts w:ascii="Calibri" w:hAnsi="Calibri" w:eastAsia="Arial Unicode MS"/>
                <w:b/>
                <w:color w:val="1F2937"/>
                <w:sz w:val="17"/>
              </w:rPr>
              <w:t>P2 MVP 建设</w:t>
            </w:r>
          </w:p>
        </w:tc>
        <w:tc>
          <w:tcPr>
            <w:tcW w:type="dxa" w:w="510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7"/>
              </w:rPr>
              <w:t>可运行系统、配置模板、接口、迁移工具、测试报告、100 项覆盖矩阵</w:t>
            </w:r>
          </w:p>
        </w:tc>
        <w:tc>
          <w:tcPr>
            <w:tcW w:type="dxa" w:w="176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7"/>
              </w:rPr>
              <w:t>M3 通过</w:t>
            </w:r>
          </w:p>
        </w:tc>
        <w:tc>
          <w:tcPr>
            <w:tcW w:type="dxa" w:w="100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7"/>
              </w:rPr>
              <w:t>14~18 周</w:t>
            </w:r>
          </w:p>
        </w:tc>
      </w:tr>
      <w:tr>
        <w:trPr>
          <w:cantSplit w:val="true"/>
        </w:trPr>
        <w:tc>
          <w:tcPr>
            <w:tcW w:type="dxa" w:w="1500"/>
            <w:vAlign w:val="center"/>
            <w:tcMar>
              <w:top w:w="80" w:type="dxa"/>
              <w:start w:w="120" w:type="dxa"/>
              <w:bottom w:w="80" w:type="dxa"/>
              <w:end w:w="120" w:type="dxa"/>
            </w:tcMar>
            <w:shd w:fill="F8FAFC"/>
          </w:tcPr>
          <w:p>
            <w:pPr>
              <w:spacing w:before="0" w:after="40" w:line="259" w:lineRule="auto"/>
              <w:jc w:val="center"/>
            </w:pPr>
            <w:r>
              <w:rPr>
                <w:rFonts w:ascii="Calibri" w:hAnsi="Calibri" w:eastAsia="Arial Unicode MS"/>
                <w:b/>
                <w:color w:val="1F2937"/>
                <w:sz w:val="17"/>
              </w:rPr>
              <w:t>P3 双项目试点</w:t>
            </w:r>
          </w:p>
        </w:tc>
        <w:tc>
          <w:tcPr>
            <w:tcW w:type="dxa" w:w="510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7"/>
              </w:rPr>
              <w:t>试点配置、培训、使用数据、缺陷与流程改进、试点验收报告</w:t>
            </w:r>
          </w:p>
        </w:tc>
        <w:tc>
          <w:tcPr>
            <w:tcW w:type="dxa" w:w="176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7"/>
              </w:rPr>
              <w:t>M4 通过</w:t>
            </w:r>
          </w:p>
        </w:tc>
        <w:tc>
          <w:tcPr>
            <w:tcW w:type="dxa" w:w="100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7"/>
              </w:rPr>
              <w:t>8~12 周</w:t>
            </w:r>
          </w:p>
        </w:tc>
      </w:tr>
      <w:tr>
        <w:trPr>
          <w:cantSplit w:val="true"/>
        </w:trPr>
        <w:tc>
          <w:tcPr>
            <w:tcW w:type="dxa" w:w="1500"/>
            <w:vAlign w:val="center"/>
            <w:tcMar>
              <w:top w:w="80" w:type="dxa"/>
              <w:start w:w="120" w:type="dxa"/>
              <w:bottom w:w="80" w:type="dxa"/>
              <w:end w:w="120" w:type="dxa"/>
            </w:tcMar>
          </w:tcPr>
          <w:p>
            <w:pPr>
              <w:spacing w:before="0" w:after="40" w:line="259" w:lineRule="auto"/>
              <w:jc w:val="center"/>
            </w:pPr>
            <w:r>
              <w:rPr>
                <w:rFonts w:ascii="Calibri" w:hAnsi="Calibri" w:eastAsia="Arial Unicode MS"/>
                <w:b/>
                <w:color w:val="1F2937"/>
                <w:sz w:val="17"/>
              </w:rPr>
              <w:t>P4 推广迁移</w:t>
            </w:r>
          </w:p>
        </w:tc>
        <w:tc>
          <w:tcPr>
            <w:tcW w:type="dxa" w:w="510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7"/>
              </w:rPr>
              <w:t>新商机切换、在建迁移批次、运营手册、支持机制、推广验收</w:t>
            </w:r>
          </w:p>
        </w:tc>
        <w:tc>
          <w:tcPr>
            <w:tcW w:type="dxa" w:w="176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7"/>
              </w:rPr>
              <w:t>M5 通过</w:t>
            </w:r>
          </w:p>
        </w:tc>
        <w:tc>
          <w:tcPr>
            <w:tcW w:type="dxa" w:w="100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7"/>
              </w:rPr>
              <w:t>8~12 周</w:t>
            </w:r>
          </w:p>
        </w:tc>
      </w:tr>
      <w:tr>
        <w:trPr>
          <w:cantSplit w:val="true"/>
        </w:trPr>
        <w:tc>
          <w:tcPr>
            <w:tcW w:type="dxa" w:w="1500"/>
            <w:vAlign w:val="center"/>
            <w:tcMar>
              <w:top w:w="80" w:type="dxa"/>
              <w:start w:w="120" w:type="dxa"/>
              <w:bottom w:w="80" w:type="dxa"/>
              <w:end w:w="120" w:type="dxa"/>
            </w:tcMar>
            <w:shd w:fill="F8FAFC"/>
          </w:tcPr>
          <w:p>
            <w:pPr>
              <w:spacing w:before="0" w:after="40" w:line="259" w:lineRule="auto"/>
              <w:jc w:val="center"/>
            </w:pPr>
            <w:r>
              <w:rPr>
                <w:rFonts w:ascii="Calibri" w:hAnsi="Calibri" w:eastAsia="Arial Unicode MS"/>
                <w:b/>
                <w:color w:val="1F2937"/>
                <w:sz w:val="17"/>
              </w:rPr>
              <w:t>P5 稳定与深化</w:t>
            </w:r>
          </w:p>
        </w:tc>
        <w:tc>
          <w:tcPr>
            <w:tcW w:type="dxa" w:w="510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7"/>
              </w:rPr>
              <w:t>月度运营报告、模板迭代、二期立项、财务/台账/绩效深化</w:t>
            </w:r>
          </w:p>
        </w:tc>
        <w:tc>
          <w:tcPr>
            <w:tcW w:type="dxa" w:w="176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7"/>
              </w:rPr>
              <w:t>运营指标达标</w:t>
            </w:r>
          </w:p>
        </w:tc>
        <w:tc>
          <w:tcPr>
            <w:tcW w:type="dxa" w:w="100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7"/>
              </w:rPr>
              <w:t>持续</w:t>
            </w:r>
          </w:p>
        </w:tc>
      </w:tr>
    </w:tbl>
    <w:p>
      <w:pPr>
        <w:spacing w:after="40"/>
      </w:pPr>
    </w:p>
    <w:p>
      <w:pPr>
        <w:pStyle w:val="Heading1"/>
        <w:keepNext w:val="1"/>
      </w:pPr>
      <w:r>
        <w:t>附件 D｜建设治理 RACI</w:t>
      </w:r>
    </w:p>
    <w:p>
      <w:pPr/>
      <w:r>
        <w:rPr>
          <w:rFonts w:ascii="Calibri" w:hAnsi="Calibri" w:eastAsia="Arial Unicode MS"/>
          <w:i w:val="0"/>
          <w:color w:val="1F2937"/>
          <w:sz w:val="22"/>
        </w:rPr>
        <w:t>R=执行负责，A=最终负责，C=协商参与，I=知会。具体人员在 M0 前任命。</w:t>
      </w:r>
    </w:p>
    <w:tbl>
      <w:tblPr>
        <w:tblW w:type="dxa" w:w="9360"/>
        <w:jc w:val="left"/>
        <w:tblLayout w:type="fixed"/>
        <w:tblLook w:firstColumn="1" w:firstRow="1" w:lastColumn="0" w:lastRow="0" w:noHBand="0" w:noVBand="1" w:val="04A0"/>
        <w:tblInd w:w="120" w:type="dxa"/>
        <w:tblBorders>
          <w:top w:val="single" w:sz="4" w:color="D7DEE8"/>
          <w:left w:val="single" w:sz="4" w:color="D7DEE8"/>
          <w:bottom w:val="single" w:sz="4" w:color="D7DEE8"/>
          <w:right w:val="single" w:sz="4" w:color="D7DEE8"/>
          <w:insideH w:val="single" w:sz="4" w:color="D7DEE8"/>
          <w:insideV w:val="single" w:sz="4" w:color="D7DEE8"/>
        </w:tblBorders>
      </w:tblPr>
      <w:tblGrid>
        <w:gridCol w:w="1800"/>
        <w:gridCol w:w="1200"/>
        <w:gridCol w:w="1400"/>
        <w:gridCol w:w="2150"/>
        <w:gridCol w:w="1450"/>
        <w:gridCol w:w="1360"/>
      </w:tblGrid>
      <w:tr>
        <w:trPr>
          <w:tblHeader w:val="true"/>
          <w:cantSplit w:val="true"/>
        </w:trPr>
        <w:tc>
          <w:tcPr>
            <w:tcW w:type="dxa" w:w="1800"/>
            <w:vAlign w:val="center"/>
            <w:tcMar>
              <w:top w:w="80" w:type="dxa"/>
              <w:start w:w="120" w:type="dxa"/>
              <w:bottom w:w="80" w:type="dxa"/>
              <w:end w:w="120" w:type="dxa"/>
            </w:tcMar>
            <w:shd w:fill="EEF4FF"/>
          </w:tcPr>
          <w:p>
            <w:pPr>
              <w:spacing w:before="0" w:after="40" w:line="259" w:lineRule="auto"/>
              <w:jc w:val="center"/>
            </w:pPr>
            <w:r>
              <w:rPr>
                <w:rFonts w:ascii="Calibri" w:hAnsi="Calibri" w:eastAsia="Arial Unicode MS"/>
                <w:b/>
                <w:color w:val="0B2545"/>
                <w:sz w:val="16"/>
              </w:rPr>
              <w:t>活动</w:t>
            </w:r>
          </w:p>
        </w:tc>
        <w:tc>
          <w:tcPr>
            <w:tcW w:type="dxa" w:w="1200"/>
            <w:vAlign w:val="center"/>
            <w:tcMar>
              <w:top w:w="80" w:type="dxa"/>
              <w:start w:w="120" w:type="dxa"/>
              <w:bottom w:w="80" w:type="dxa"/>
              <w:end w:w="120" w:type="dxa"/>
            </w:tcMar>
            <w:shd w:fill="EEF4FF"/>
          </w:tcPr>
          <w:p>
            <w:pPr>
              <w:spacing w:before="0" w:after="40" w:line="259" w:lineRule="auto"/>
            </w:pPr>
            <w:r>
              <w:rPr>
                <w:rFonts w:ascii="Calibri" w:hAnsi="Calibri" w:eastAsia="Arial Unicode MS"/>
                <w:b/>
                <w:color w:val="0B2545"/>
                <w:sz w:val="16"/>
              </w:rPr>
              <w:t>领导小组</w:t>
            </w:r>
          </w:p>
        </w:tc>
        <w:tc>
          <w:tcPr>
            <w:tcW w:type="dxa" w:w="1400"/>
            <w:vAlign w:val="center"/>
            <w:tcMar>
              <w:top w:w="80" w:type="dxa"/>
              <w:start w:w="120" w:type="dxa"/>
              <w:bottom w:w="80" w:type="dxa"/>
              <w:end w:w="120" w:type="dxa"/>
            </w:tcMar>
            <w:shd w:fill="EEF4FF"/>
          </w:tcPr>
          <w:p>
            <w:pPr>
              <w:spacing w:before="0" w:after="40" w:line="259" w:lineRule="auto"/>
            </w:pPr>
            <w:r>
              <w:rPr>
                <w:rFonts w:ascii="Calibri" w:hAnsi="Calibri" w:eastAsia="Arial Unicode MS"/>
                <w:b/>
                <w:color w:val="0B2545"/>
                <w:sz w:val="16"/>
              </w:rPr>
              <w:t>业务负责人</w:t>
            </w:r>
          </w:p>
        </w:tc>
        <w:tc>
          <w:tcPr>
            <w:tcW w:type="dxa" w:w="2150"/>
            <w:vAlign w:val="center"/>
            <w:tcMar>
              <w:top w:w="80" w:type="dxa"/>
              <w:start w:w="120" w:type="dxa"/>
              <w:bottom w:w="80" w:type="dxa"/>
              <w:end w:w="120" w:type="dxa"/>
            </w:tcMar>
            <w:shd w:fill="EEF4FF"/>
          </w:tcPr>
          <w:p>
            <w:pPr>
              <w:spacing w:before="0" w:after="40" w:line="259" w:lineRule="auto"/>
            </w:pPr>
            <w:r>
              <w:rPr>
                <w:rFonts w:ascii="Calibri" w:hAnsi="Calibri" w:eastAsia="Arial Unicode MS"/>
                <w:b/>
                <w:color w:val="0B2545"/>
                <w:sz w:val="16"/>
              </w:rPr>
              <w:t>建设办公室/域负责人</w:t>
            </w:r>
          </w:p>
        </w:tc>
        <w:tc>
          <w:tcPr>
            <w:tcW w:type="dxa" w:w="1450"/>
            <w:vAlign w:val="center"/>
            <w:tcMar>
              <w:top w:w="80" w:type="dxa"/>
              <w:start w:w="120" w:type="dxa"/>
              <w:bottom w:w="80" w:type="dxa"/>
              <w:end w:w="120" w:type="dxa"/>
            </w:tcMar>
            <w:shd w:fill="EEF4FF"/>
          </w:tcPr>
          <w:p>
            <w:pPr>
              <w:spacing w:before="0" w:after="40" w:line="259" w:lineRule="auto"/>
            </w:pPr>
            <w:r>
              <w:rPr>
                <w:rFonts w:ascii="Calibri" w:hAnsi="Calibri" w:eastAsia="Arial Unicode MS"/>
                <w:b/>
                <w:color w:val="0B2545"/>
                <w:sz w:val="16"/>
              </w:rPr>
              <w:t>产品技术团队</w:t>
            </w:r>
          </w:p>
        </w:tc>
        <w:tc>
          <w:tcPr>
            <w:tcW w:type="dxa" w:w="1360"/>
            <w:vAlign w:val="center"/>
            <w:tcMar>
              <w:top w:w="80" w:type="dxa"/>
              <w:start w:w="120" w:type="dxa"/>
              <w:bottom w:w="80" w:type="dxa"/>
              <w:end w:w="120" w:type="dxa"/>
            </w:tcMar>
            <w:shd w:fill="EEF4FF"/>
          </w:tcPr>
          <w:p>
            <w:pPr>
              <w:spacing w:before="0" w:after="40" w:line="259" w:lineRule="auto"/>
            </w:pPr>
            <w:r>
              <w:rPr>
                <w:rFonts w:ascii="Calibri" w:hAnsi="Calibri" w:eastAsia="Arial Unicode MS"/>
                <w:b/>
                <w:color w:val="0B2545"/>
                <w:sz w:val="16"/>
              </w:rPr>
              <w:t>试点/使用部门</w:t>
            </w:r>
          </w:p>
        </w:tc>
      </w:tr>
      <w:tr>
        <w:trPr>
          <w:cantSplit w:val="true"/>
        </w:trPr>
        <w:tc>
          <w:tcPr>
            <w:tcW w:type="dxa" w:w="1800"/>
            <w:vAlign w:val="center"/>
            <w:tcMar>
              <w:top w:w="80" w:type="dxa"/>
              <w:start w:w="120" w:type="dxa"/>
              <w:bottom w:w="80" w:type="dxa"/>
              <w:end w:w="120" w:type="dxa"/>
            </w:tcMar>
          </w:tcPr>
          <w:p>
            <w:pPr>
              <w:spacing w:before="0" w:after="40" w:line="259" w:lineRule="auto"/>
              <w:jc w:val="center"/>
            </w:pPr>
            <w:r>
              <w:rPr>
                <w:rFonts w:ascii="Calibri" w:hAnsi="Calibri" w:eastAsia="Arial Unicode MS"/>
                <w:b/>
                <w:color w:val="1F2937"/>
                <w:sz w:val="16"/>
              </w:rPr>
              <w:t>方案/范围批准</w:t>
            </w:r>
          </w:p>
        </w:tc>
        <w:tc>
          <w:tcPr>
            <w:tcW w:type="dxa" w:w="120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6"/>
              </w:rPr>
              <w:t>A</w:t>
            </w:r>
          </w:p>
        </w:tc>
        <w:tc>
          <w:tcPr>
            <w:tcW w:type="dxa" w:w="140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6"/>
              </w:rPr>
              <w:t>R</w:t>
            </w:r>
          </w:p>
        </w:tc>
        <w:tc>
          <w:tcPr>
            <w:tcW w:type="dxa" w:w="215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6"/>
              </w:rPr>
              <w:t>C</w:t>
            </w:r>
          </w:p>
        </w:tc>
        <w:tc>
          <w:tcPr>
            <w:tcW w:type="dxa" w:w="145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6"/>
              </w:rPr>
              <w:t>C</w:t>
            </w:r>
          </w:p>
        </w:tc>
        <w:tc>
          <w:tcPr>
            <w:tcW w:type="dxa" w:w="136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6"/>
              </w:rPr>
              <w:t>I</w:t>
            </w:r>
          </w:p>
        </w:tc>
      </w:tr>
      <w:tr>
        <w:trPr>
          <w:cantSplit w:val="true"/>
        </w:trPr>
        <w:tc>
          <w:tcPr>
            <w:tcW w:type="dxa" w:w="1800"/>
            <w:vAlign w:val="center"/>
            <w:tcMar>
              <w:top w:w="80" w:type="dxa"/>
              <w:start w:w="120" w:type="dxa"/>
              <w:bottom w:w="80" w:type="dxa"/>
              <w:end w:w="120" w:type="dxa"/>
            </w:tcMar>
            <w:shd w:fill="F8FAFC"/>
          </w:tcPr>
          <w:p>
            <w:pPr>
              <w:spacing w:before="0" w:after="40" w:line="259" w:lineRule="auto"/>
              <w:jc w:val="center"/>
            </w:pPr>
            <w:r>
              <w:rPr>
                <w:rFonts w:ascii="Calibri" w:hAnsi="Calibri" w:eastAsia="Arial Unicode MS"/>
                <w:b/>
                <w:color w:val="1F2937"/>
                <w:sz w:val="16"/>
              </w:rPr>
              <w:t>业务规则与制度</w:t>
            </w:r>
          </w:p>
        </w:tc>
        <w:tc>
          <w:tcPr>
            <w:tcW w:type="dxa" w:w="120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6"/>
              </w:rPr>
              <w:t>I</w:t>
            </w:r>
          </w:p>
        </w:tc>
        <w:tc>
          <w:tcPr>
            <w:tcW w:type="dxa" w:w="140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6"/>
              </w:rPr>
              <w:t>A</w:t>
            </w:r>
          </w:p>
        </w:tc>
        <w:tc>
          <w:tcPr>
            <w:tcW w:type="dxa" w:w="215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6"/>
              </w:rPr>
              <w:t>R</w:t>
            </w:r>
          </w:p>
        </w:tc>
        <w:tc>
          <w:tcPr>
            <w:tcW w:type="dxa" w:w="145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6"/>
              </w:rPr>
              <w:t>C</w:t>
            </w:r>
          </w:p>
        </w:tc>
        <w:tc>
          <w:tcPr>
            <w:tcW w:type="dxa" w:w="136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6"/>
              </w:rPr>
              <w:t>C</w:t>
            </w:r>
          </w:p>
        </w:tc>
      </w:tr>
      <w:tr>
        <w:trPr>
          <w:cantSplit w:val="true"/>
        </w:trPr>
        <w:tc>
          <w:tcPr>
            <w:tcW w:type="dxa" w:w="1800"/>
            <w:vAlign w:val="center"/>
            <w:tcMar>
              <w:top w:w="80" w:type="dxa"/>
              <w:start w:w="120" w:type="dxa"/>
              <w:bottom w:w="80" w:type="dxa"/>
              <w:end w:w="120" w:type="dxa"/>
            </w:tcMar>
          </w:tcPr>
          <w:p>
            <w:pPr>
              <w:spacing w:before="0" w:after="40" w:line="259" w:lineRule="auto"/>
              <w:jc w:val="center"/>
            </w:pPr>
            <w:r>
              <w:rPr>
                <w:rFonts w:ascii="Calibri" w:hAnsi="Calibri" w:eastAsia="Arial Unicode MS"/>
                <w:b/>
                <w:color w:val="1F2937"/>
                <w:sz w:val="16"/>
              </w:rPr>
              <w:t>PRD 与验收口径</w:t>
            </w:r>
          </w:p>
        </w:tc>
        <w:tc>
          <w:tcPr>
            <w:tcW w:type="dxa" w:w="120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6"/>
              </w:rPr>
              <w:t>I</w:t>
            </w:r>
          </w:p>
        </w:tc>
        <w:tc>
          <w:tcPr>
            <w:tcW w:type="dxa" w:w="140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6"/>
              </w:rPr>
              <w:t>A</w:t>
            </w:r>
          </w:p>
        </w:tc>
        <w:tc>
          <w:tcPr>
            <w:tcW w:type="dxa" w:w="215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6"/>
              </w:rPr>
              <w:t>R</w:t>
            </w:r>
          </w:p>
        </w:tc>
        <w:tc>
          <w:tcPr>
            <w:tcW w:type="dxa" w:w="145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6"/>
              </w:rPr>
              <w:t>R</w:t>
            </w:r>
          </w:p>
        </w:tc>
        <w:tc>
          <w:tcPr>
            <w:tcW w:type="dxa" w:w="136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6"/>
              </w:rPr>
              <w:t>C</w:t>
            </w:r>
          </w:p>
        </w:tc>
      </w:tr>
      <w:tr>
        <w:trPr>
          <w:cantSplit w:val="true"/>
        </w:trPr>
        <w:tc>
          <w:tcPr>
            <w:tcW w:type="dxa" w:w="1800"/>
            <w:vAlign w:val="center"/>
            <w:tcMar>
              <w:top w:w="80" w:type="dxa"/>
              <w:start w:w="120" w:type="dxa"/>
              <w:bottom w:w="80" w:type="dxa"/>
              <w:end w:w="120" w:type="dxa"/>
            </w:tcMar>
            <w:shd w:fill="F8FAFC"/>
          </w:tcPr>
          <w:p>
            <w:pPr>
              <w:spacing w:before="0" w:after="40" w:line="259" w:lineRule="auto"/>
              <w:jc w:val="center"/>
            </w:pPr>
            <w:r>
              <w:rPr>
                <w:rFonts w:ascii="Calibri" w:hAnsi="Calibri" w:eastAsia="Arial Unicode MS"/>
                <w:b/>
                <w:color w:val="1F2937"/>
                <w:sz w:val="16"/>
              </w:rPr>
              <w:t>技术、安全与集成</w:t>
            </w:r>
          </w:p>
        </w:tc>
        <w:tc>
          <w:tcPr>
            <w:tcW w:type="dxa" w:w="120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6"/>
              </w:rPr>
              <w:t>I</w:t>
            </w:r>
          </w:p>
        </w:tc>
        <w:tc>
          <w:tcPr>
            <w:tcW w:type="dxa" w:w="140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6"/>
              </w:rPr>
              <w:t>C</w:t>
            </w:r>
          </w:p>
        </w:tc>
        <w:tc>
          <w:tcPr>
            <w:tcW w:type="dxa" w:w="215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6"/>
              </w:rPr>
              <w:t>C</w:t>
            </w:r>
          </w:p>
        </w:tc>
        <w:tc>
          <w:tcPr>
            <w:tcW w:type="dxa" w:w="145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6"/>
              </w:rPr>
              <w:t>A/R</w:t>
            </w:r>
          </w:p>
        </w:tc>
        <w:tc>
          <w:tcPr>
            <w:tcW w:type="dxa" w:w="136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6"/>
              </w:rPr>
              <w:t>I</w:t>
            </w:r>
          </w:p>
        </w:tc>
      </w:tr>
      <w:tr>
        <w:trPr>
          <w:cantSplit w:val="true"/>
        </w:trPr>
        <w:tc>
          <w:tcPr>
            <w:tcW w:type="dxa" w:w="1800"/>
            <w:vAlign w:val="center"/>
            <w:tcMar>
              <w:top w:w="80" w:type="dxa"/>
              <w:start w:w="120" w:type="dxa"/>
              <w:bottom w:w="80" w:type="dxa"/>
              <w:end w:w="120" w:type="dxa"/>
            </w:tcMar>
          </w:tcPr>
          <w:p>
            <w:pPr>
              <w:spacing w:before="0" w:after="40" w:line="259" w:lineRule="auto"/>
              <w:jc w:val="center"/>
            </w:pPr>
            <w:r>
              <w:rPr>
                <w:rFonts w:ascii="Calibri" w:hAnsi="Calibri" w:eastAsia="Arial Unicode MS"/>
                <w:b/>
                <w:color w:val="1F2937"/>
                <w:sz w:val="16"/>
              </w:rPr>
              <w:t>数据迁移</w:t>
            </w:r>
          </w:p>
        </w:tc>
        <w:tc>
          <w:tcPr>
            <w:tcW w:type="dxa" w:w="120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6"/>
              </w:rPr>
              <w:t>I</w:t>
            </w:r>
          </w:p>
        </w:tc>
        <w:tc>
          <w:tcPr>
            <w:tcW w:type="dxa" w:w="140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6"/>
              </w:rPr>
              <w:t>A</w:t>
            </w:r>
          </w:p>
        </w:tc>
        <w:tc>
          <w:tcPr>
            <w:tcW w:type="dxa" w:w="215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6"/>
              </w:rPr>
              <w:t>R</w:t>
            </w:r>
          </w:p>
        </w:tc>
        <w:tc>
          <w:tcPr>
            <w:tcW w:type="dxa" w:w="145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6"/>
              </w:rPr>
              <w:t>R</w:t>
            </w:r>
          </w:p>
        </w:tc>
        <w:tc>
          <w:tcPr>
            <w:tcW w:type="dxa" w:w="136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6"/>
              </w:rPr>
              <w:t>R</w:t>
            </w:r>
          </w:p>
        </w:tc>
      </w:tr>
      <w:tr>
        <w:trPr>
          <w:cantSplit w:val="true"/>
        </w:trPr>
        <w:tc>
          <w:tcPr>
            <w:tcW w:type="dxa" w:w="1800"/>
            <w:vAlign w:val="center"/>
            <w:tcMar>
              <w:top w:w="80" w:type="dxa"/>
              <w:start w:w="120" w:type="dxa"/>
              <w:bottom w:w="80" w:type="dxa"/>
              <w:end w:w="120" w:type="dxa"/>
            </w:tcMar>
            <w:shd w:fill="F8FAFC"/>
          </w:tcPr>
          <w:p>
            <w:pPr>
              <w:spacing w:before="0" w:after="40" w:line="259" w:lineRule="auto"/>
              <w:jc w:val="center"/>
            </w:pPr>
            <w:r>
              <w:rPr>
                <w:rFonts w:ascii="Calibri" w:hAnsi="Calibri" w:eastAsia="Arial Unicode MS"/>
                <w:b/>
                <w:color w:val="1F2937"/>
                <w:sz w:val="16"/>
              </w:rPr>
              <w:t>双项目试点</w:t>
            </w:r>
          </w:p>
        </w:tc>
        <w:tc>
          <w:tcPr>
            <w:tcW w:type="dxa" w:w="120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6"/>
              </w:rPr>
              <w:t>I</w:t>
            </w:r>
          </w:p>
        </w:tc>
        <w:tc>
          <w:tcPr>
            <w:tcW w:type="dxa" w:w="140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6"/>
              </w:rPr>
              <w:t>A</w:t>
            </w:r>
          </w:p>
        </w:tc>
        <w:tc>
          <w:tcPr>
            <w:tcW w:type="dxa" w:w="215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6"/>
              </w:rPr>
              <w:t>R</w:t>
            </w:r>
          </w:p>
        </w:tc>
        <w:tc>
          <w:tcPr>
            <w:tcW w:type="dxa" w:w="145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6"/>
              </w:rPr>
              <w:t>C</w:t>
            </w:r>
          </w:p>
        </w:tc>
        <w:tc>
          <w:tcPr>
            <w:tcW w:type="dxa" w:w="136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6"/>
              </w:rPr>
              <w:t>R</w:t>
            </w:r>
          </w:p>
        </w:tc>
      </w:tr>
      <w:tr>
        <w:trPr>
          <w:cantSplit w:val="true"/>
        </w:trPr>
        <w:tc>
          <w:tcPr>
            <w:tcW w:type="dxa" w:w="1800"/>
            <w:vAlign w:val="center"/>
            <w:tcMar>
              <w:top w:w="80" w:type="dxa"/>
              <w:start w:w="120" w:type="dxa"/>
              <w:bottom w:w="80" w:type="dxa"/>
              <w:end w:w="120" w:type="dxa"/>
            </w:tcMar>
          </w:tcPr>
          <w:p>
            <w:pPr>
              <w:spacing w:before="0" w:after="40" w:line="259" w:lineRule="auto"/>
              <w:jc w:val="center"/>
            </w:pPr>
            <w:r>
              <w:rPr>
                <w:rFonts w:ascii="Calibri" w:hAnsi="Calibri" w:eastAsia="Arial Unicode MS"/>
                <w:b/>
                <w:color w:val="1F2937"/>
                <w:sz w:val="16"/>
              </w:rPr>
              <w:t>全量推广</w:t>
            </w:r>
          </w:p>
        </w:tc>
        <w:tc>
          <w:tcPr>
            <w:tcW w:type="dxa" w:w="120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6"/>
              </w:rPr>
              <w:t>A</w:t>
            </w:r>
          </w:p>
        </w:tc>
        <w:tc>
          <w:tcPr>
            <w:tcW w:type="dxa" w:w="140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6"/>
              </w:rPr>
              <w:t>R</w:t>
            </w:r>
          </w:p>
        </w:tc>
        <w:tc>
          <w:tcPr>
            <w:tcW w:type="dxa" w:w="215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6"/>
              </w:rPr>
              <w:t>R</w:t>
            </w:r>
          </w:p>
        </w:tc>
        <w:tc>
          <w:tcPr>
            <w:tcW w:type="dxa" w:w="145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6"/>
              </w:rPr>
              <w:t>C</w:t>
            </w:r>
          </w:p>
        </w:tc>
        <w:tc>
          <w:tcPr>
            <w:tcW w:type="dxa" w:w="136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6"/>
              </w:rPr>
              <w:t>R</w:t>
            </w:r>
          </w:p>
        </w:tc>
      </w:tr>
      <w:tr>
        <w:trPr>
          <w:cantSplit w:val="true"/>
        </w:trPr>
        <w:tc>
          <w:tcPr>
            <w:tcW w:type="dxa" w:w="1800"/>
            <w:vAlign w:val="center"/>
            <w:tcMar>
              <w:top w:w="80" w:type="dxa"/>
              <w:start w:w="120" w:type="dxa"/>
              <w:bottom w:w="80" w:type="dxa"/>
              <w:end w:w="120" w:type="dxa"/>
            </w:tcMar>
            <w:shd w:fill="F8FAFC"/>
          </w:tcPr>
          <w:p>
            <w:pPr>
              <w:spacing w:before="0" w:after="40" w:line="259" w:lineRule="auto"/>
              <w:jc w:val="center"/>
            </w:pPr>
            <w:r>
              <w:rPr>
                <w:rFonts w:ascii="Calibri" w:hAnsi="Calibri" w:eastAsia="Arial Unicode MS"/>
                <w:b/>
                <w:color w:val="1F2937"/>
                <w:sz w:val="16"/>
              </w:rPr>
              <w:t>最终验收</w:t>
            </w:r>
          </w:p>
        </w:tc>
        <w:tc>
          <w:tcPr>
            <w:tcW w:type="dxa" w:w="120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6"/>
              </w:rPr>
              <w:t>A</w:t>
            </w:r>
          </w:p>
        </w:tc>
        <w:tc>
          <w:tcPr>
            <w:tcW w:type="dxa" w:w="140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6"/>
              </w:rPr>
              <w:t>R</w:t>
            </w:r>
          </w:p>
        </w:tc>
        <w:tc>
          <w:tcPr>
            <w:tcW w:type="dxa" w:w="215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6"/>
              </w:rPr>
              <w:t>C</w:t>
            </w:r>
          </w:p>
        </w:tc>
        <w:tc>
          <w:tcPr>
            <w:tcW w:type="dxa" w:w="145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6"/>
              </w:rPr>
              <w:t>C</w:t>
            </w:r>
          </w:p>
        </w:tc>
        <w:tc>
          <w:tcPr>
            <w:tcW w:type="dxa" w:w="136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6"/>
              </w:rPr>
              <w:t>C</w:t>
            </w:r>
          </w:p>
        </w:tc>
      </w:tr>
    </w:tbl>
    <w:p>
      <w:pPr>
        <w:spacing w:after="40"/>
      </w:pPr>
    </w:p>
    <w:p>
      <w:pPr>
        <w:pStyle w:val="Heading1"/>
        <w:keepNext w:val="1"/>
      </w:pPr>
      <w:r>
        <w:t>附件 E｜迁移与集成详细清单</w:t>
      </w:r>
    </w:p>
    <w:tbl>
      <w:tblPr>
        <w:tblW w:type="dxa" w:w="9360"/>
        <w:jc w:val="left"/>
        <w:tblLayout w:type="fixed"/>
        <w:tblLook w:firstColumn="1" w:firstRow="1" w:lastColumn="0" w:lastRow="0" w:noHBand="0" w:noVBand="1" w:val="04A0"/>
        <w:tblInd w:w="120" w:type="dxa"/>
        <w:tblBorders>
          <w:top w:val="single" w:sz="4" w:color="D7DEE8"/>
          <w:left w:val="single" w:sz="4" w:color="D7DEE8"/>
          <w:bottom w:val="single" w:sz="4" w:color="D7DEE8"/>
          <w:right w:val="single" w:sz="4" w:color="D7DEE8"/>
          <w:insideH w:val="single" w:sz="4" w:color="D7DEE8"/>
          <w:insideV w:val="single" w:sz="4" w:color="D7DEE8"/>
        </w:tblBorders>
      </w:tblPr>
      <w:tblGrid>
        <w:gridCol w:w="1600"/>
        <w:gridCol w:w="3500"/>
        <w:gridCol w:w="1400"/>
        <w:gridCol w:w="2860"/>
      </w:tblGrid>
      <w:tr>
        <w:trPr>
          <w:tblHeader w:val="true"/>
          <w:cantSplit w:val="true"/>
        </w:trPr>
        <w:tc>
          <w:tcPr>
            <w:tcW w:type="dxa" w:w="1600"/>
            <w:vAlign w:val="center"/>
            <w:tcMar>
              <w:top w:w="80" w:type="dxa"/>
              <w:start w:w="120" w:type="dxa"/>
              <w:bottom w:w="80" w:type="dxa"/>
              <w:end w:w="120" w:type="dxa"/>
            </w:tcMar>
            <w:shd w:fill="EEF9F4"/>
          </w:tcPr>
          <w:p>
            <w:pPr>
              <w:spacing w:before="0" w:after="40" w:line="259" w:lineRule="auto"/>
              <w:jc w:val="center"/>
            </w:pPr>
            <w:r>
              <w:rPr>
                <w:rFonts w:ascii="Calibri" w:hAnsi="Calibri" w:eastAsia="Arial Unicode MS"/>
                <w:b/>
                <w:color w:val="0B2545"/>
                <w:sz w:val="17"/>
              </w:rPr>
              <w:t>对象</w:t>
            </w:r>
          </w:p>
        </w:tc>
        <w:tc>
          <w:tcPr>
            <w:tcW w:type="dxa" w:w="3500"/>
            <w:vAlign w:val="center"/>
            <w:tcMar>
              <w:top w:w="80" w:type="dxa"/>
              <w:start w:w="120" w:type="dxa"/>
              <w:bottom w:w="80" w:type="dxa"/>
              <w:end w:w="120" w:type="dxa"/>
            </w:tcMar>
            <w:shd w:fill="EEF9F4"/>
          </w:tcPr>
          <w:p>
            <w:pPr>
              <w:spacing w:before="0" w:after="40" w:line="259" w:lineRule="auto"/>
            </w:pPr>
            <w:r>
              <w:rPr>
                <w:rFonts w:ascii="Calibri" w:hAnsi="Calibri" w:eastAsia="Arial Unicode MS"/>
                <w:b/>
                <w:color w:val="0B2545"/>
                <w:sz w:val="17"/>
              </w:rPr>
              <w:t>范围</w:t>
            </w:r>
          </w:p>
        </w:tc>
        <w:tc>
          <w:tcPr>
            <w:tcW w:type="dxa" w:w="1400"/>
            <w:vAlign w:val="center"/>
            <w:tcMar>
              <w:top w:w="80" w:type="dxa"/>
              <w:start w:w="120" w:type="dxa"/>
              <w:bottom w:w="80" w:type="dxa"/>
              <w:end w:w="120" w:type="dxa"/>
            </w:tcMar>
            <w:shd w:fill="EEF9F4"/>
          </w:tcPr>
          <w:p>
            <w:pPr>
              <w:spacing w:before="0" w:after="40" w:line="259" w:lineRule="auto"/>
            </w:pPr>
            <w:r>
              <w:rPr>
                <w:rFonts w:ascii="Calibri" w:hAnsi="Calibri" w:eastAsia="Arial Unicode MS"/>
                <w:b/>
                <w:color w:val="0B2545"/>
                <w:sz w:val="17"/>
              </w:rPr>
              <w:t>策略</w:t>
            </w:r>
          </w:p>
        </w:tc>
        <w:tc>
          <w:tcPr>
            <w:tcW w:type="dxa" w:w="2860"/>
            <w:vAlign w:val="center"/>
            <w:tcMar>
              <w:top w:w="80" w:type="dxa"/>
              <w:start w:w="120" w:type="dxa"/>
              <w:bottom w:w="80" w:type="dxa"/>
              <w:end w:w="120" w:type="dxa"/>
            </w:tcMar>
            <w:shd w:fill="EEF9F4"/>
          </w:tcPr>
          <w:p>
            <w:pPr>
              <w:spacing w:before="0" w:after="40" w:line="259" w:lineRule="auto"/>
            </w:pPr>
            <w:r>
              <w:rPr>
                <w:rFonts w:ascii="Calibri" w:hAnsi="Calibri" w:eastAsia="Arial Unicode MS"/>
                <w:b/>
                <w:color w:val="0B2545"/>
                <w:sz w:val="17"/>
              </w:rPr>
              <w:t>关键控制</w:t>
            </w:r>
          </w:p>
        </w:tc>
      </w:tr>
      <w:tr>
        <w:trPr>
          <w:cantSplit w:val="true"/>
        </w:trPr>
        <w:tc>
          <w:tcPr>
            <w:tcW w:type="dxa" w:w="1600"/>
            <w:vAlign w:val="center"/>
            <w:tcMar>
              <w:top w:w="80" w:type="dxa"/>
              <w:start w:w="120" w:type="dxa"/>
              <w:bottom w:w="80" w:type="dxa"/>
              <w:end w:w="120" w:type="dxa"/>
            </w:tcMar>
          </w:tcPr>
          <w:p>
            <w:pPr>
              <w:spacing w:before="0" w:after="40" w:line="259" w:lineRule="auto"/>
              <w:jc w:val="center"/>
            </w:pPr>
            <w:r>
              <w:rPr>
                <w:rFonts w:ascii="Calibri" w:hAnsi="Calibri" w:eastAsia="Arial Unicode MS"/>
                <w:b/>
                <w:color w:val="1F2937"/>
                <w:sz w:val="17"/>
              </w:rPr>
              <w:t>基础数据</w:t>
            </w:r>
          </w:p>
        </w:tc>
        <w:tc>
          <w:tcPr>
            <w:tcW w:type="dxa" w:w="350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7"/>
              </w:rPr>
              <w:t>组织、员工、项目角色、模板、工作包、目录</w:t>
            </w:r>
          </w:p>
        </w:tc>
        <w:tc>
          <w:tcPr>
            <w:tcW w:type="dxa" w:w="140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7"/>
              </w:rPr>
              <w:t>全量</w:t>
            </w:r>
          </w:p>
        </w:tc>
        <w:tc>
          <w:tcPr>
            <w:tcW w:type="dxa" w:w="286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7"/>
              </w:rPr>
              <w:t>业务负责人签字、重复/失效清理</w:t>
            </w:r>
          </w:p>
        </w:tc>
      </w:tr>
      <w:tr>
        <w:trPr>
          <w:cantSplit w:val="true"/>
        </w:trPr>
        <w:tc>
          <w:tcPr>
            <w:tcW w:type="dxa" w:w="1600"/>
            <w:vAlign w:val="center"/>
            <w:tcMar>
              <w:top w:w="80" w:type="dxa"/>
              <w:start w:w="120" w:type="dxa"/>
              <w:bottom w:w="80" w:type="dxa"/>
              <w:end w:w="120" w:type="dxa"/>
            </w:tcMar>
            <w:shd w:fill="F8FAFC"/>
          </w:tcPr>
          <w:p>
            <w:pPr>
              <w:spacing w:before="0" w:after="40" w:line="259" w:lineRule="auto"/>
              <w:jc w:val="center"/>
            </w:pPr>
            <w:r>
              <w:rPr>
                <w:rFonts w:ascii="Calibri" w:hAnsi="Calibri" w:eastAsia="Arial Unicode MS"/>
                <w:b/>
                <w:color w:val="1F2937"/>
                <w:sz w:val="17"/>
              </w:rPr>
              <w:t>新商机</w:t>
            </w:r>
          </w:p>
        </w:tc>
        <w:tc>
          <w:tcPr>
            <w:tcW w:type="dxa" w:w="350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7"/>
              </w:rPr>
              <w:t>上线日起全部 A-D 商机</w:t>
            </w:r>
          </w:p>
        </w:tc>
        <w:tc>
          <w:tcPr>
            <w:tcW w:type="dxa" w:w="140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7"/>
              </w:rPr>
              <w:t>全量</w:t>
            </w:r>
          </w:p>
        </w:tc>
        <w:tc>
          <w:tcPr>
            <w:tcW w:type="dxa" w:w="286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7"/>
              </w:rPr>
              <w:t>新系统原生创建</w:t>
            </w:r>
          </w:p>
        </w:tc>
      </w:tr>
      <w:tr>
        <w:trPr>
          <w:cantSplit w:val="true"/>
        </w:trPr>
        <w:tc>
          <w:tcPr>
            <w:tcW w:type="dxa" w:w="1600"/>
            <w:vAlign w:val="center"/>
            <w:tcMar>
              <w:top w:w="80" w:type="dxa"/>
              <w:start w:w="120" w:type="dxa"/>
              <w:bottom w:w="80" w:type="dxa"/>
              <w:end w:w="120" w:type="dxa"/>
            </w:tcMar>
          </w:tcPr>
          <w:p>
            <w:pPr>
              <w:spacing w:before="0" w:after="40" w:line="259" w:lineRule="auto"/>
              <w:jc w:val="center"/>
            </w:pPr>
            <w:r>
              <w:rPr>
                <w:rFonts w:ascii="Calibri" w:hAnsi="Calibri" w:eastAsia="Arial Unicode MS"/>
                <w:b/>
                <w:color w:val="1F2937"/>
                <w:sz w:val="17"/>
              </w:rPr>
              <w:t>在建项目</w:t>
            </w:r>
          </w:p>
        </w:tc>
        <w:tc>
          <w:tcPr>
            <w:tcW w:type="dxa" w:w="350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7"/>
              </w:rPr>
              <w:t>主档、阶段、团队、有效计划、未结事项、有效文件、预算采购</w:t>
            </w:r>
          </w:p>
        </w:tc>
        <w:tc>
          <w:tcPr>
            <w:tcW w:type="dxa" w:w="140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7"/>
              </w:rPr>
              <w:t>最小包</w:t>
            </w:r>
          </w:p>
        </w:tc>
        <w:tc>
          <w:tcPr>
            <w:tcW w:type="dxa" w:w="286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7"/>
              </w:rPr>
              <w:t>两轮演练、项目经理签字</w:t>
            </w:r>
          </w:p>
        </w:tc>
      </w:tr>
      <w:tr>
        <w:trPr>
          <w:cantSplit w:val="true"/>
        </w:trPr>
        <w:tc>
          <w:tcPr>
            <w:tcW w:type="dxa" w:w="1600"/>
            <w:vAlign w:val="center"/>
            <w:tcMar>
              <w:top w:w="80" w:type="dxa"/>
              <w:start w:w="120" w:type="dxa"/>
              <w:bottom w:w="80" w:type="dxa"/>
              <w:end w:w="120" w:type="dxa"/>
            </w:tcMar>
            <w:shd w:fill="F8FAFC"/>
          </w:tcPr>
          <w:p>
            <w:pPr>
              <w:spacing w:before="0" w:after="40" w:line="259" w:lineRule="auto"/>
              <w:jc w:val="center"/>
            </w:pPr>
            <w:r>
              <w:rPr>
                <w:rFonts w:ascii="Calibri" w:hAnsi="Calibri" w:eastAsia="Arial Unicode MS"/>
                <w:b/>
                <w:color w:val="1F2937"/>
                <w:sz w:val="17"/>
              </w:rPr>
              <w:t>关闭项目</w:t>
            </w:r>
          </w:p>
        </w:tc>
        <w:tc>
          <w:tcPr>
            <w:tcW w:type="dxa" w:w="350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7"/>
              </w:rPr>
              <w:t>维护、审计或知识复用所需资料</w:t>
            </w:r>
          </w:p>
        </w:tc>
        <w:tc>
          <w:tcPr>
            <w:tcW w:type="dxa" w:w="140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7"/>
              </w:rPr>
              <w:t>按需</w:t>
            </w:r>
          </w:p>
        </w:tc>
        <w:tc>
          <w:tcPr>
            <w:tcW w:type="dxa" w:w="286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7"/>
              </w:rPr>
              <w:t>默认保留来源索引</w:t>
            </w:r>
          </w:p>
        </w:tc>
      </w:tr>
      <w:tr>
        <w:trPr>
          <w:cantSplit w:val="true"/>
        </w:trPr>
        <w:tc>
          <w:tcPr>
            <w:tcW w:type="dxa" w:w="1600"/>
            <w:vAlign w:val="center"/>
            <w:tcMar>
              <w:top w:w="80" w:type="dxa"/>
              <w:start w:w="120" w:type="dxa"/>
              <w:bottom w:w="80" w:type="dxa"/>
              <w:end w:w="120" w:type="dxa"/>
            </w:tcMar>
          </w:tcPr>
          <w:p>
            <w:pPr>
              <w:spacing w:before="0" w:after="40" w:line="259" w:lineRule="auto"/>
              <w:jc w:val="center"/>
            </w:pPr>
            <w:r>
              <w:rPr>
                <w:rFonts w:ascii="Calibri" w:hAnsi="Calibri" w:eastAsia="Arial Unicode MS"/>
                <w:b/>
                <w:color w:val="1F2937"/>
                <w:sz w:val="17"/>
              </w:rPr>
              <w:t>统一身份</w:t>
            </w:r>
          </w:p>
        </w:tc>
        <w:tc>
          <w:tcPr>
            <w:tcW w:type="dxa" w:w="350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7"/>
              </w:rPr>
              <w:t>组织、账号、MFA、停权</w:t>
            </w:r>
          </w:p>
        </w:tc>
        <w:tc>
          <w:tcPr>
            <w:tcW w:type="dxa" w:w="140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7"/>
              </w:rPr>
              <w:t>双向/按组织方案</w:t>
            </w:r>
          </w:p>
        </w:tc>
        <w:tc>
          <w:tcPr>
            <w:tcW w:type="dxa" w:w="286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7"/>
              </w:rPr>
              <w:t>身份源唯一、权限最小化</w:t>
            </w:r>
          </w:p>
        </w:tc>
      </w:tr>
      <w:tr>
        <w:trPr>
          <w:cantSplit w:val="true"/>
        </w:trPr>
        <w:tc>
          <w:tcPr>
            <w:tcW w:type="dxa" w:w="1600"/>
            <w:vAlign w:val="center"/>
            <w:tcMar>
              <w:top w:w="80" w:type="dxa"/>
              <w:start w:w="120" w:type="dxa"/>
              <w:bottom w:w="80" w:type="dxa"/>
              <w:end w:w="120" w:type="dxa"/>
            </w:tcMar>
            <w:shd w:fill="F8FAFC"/>
          </w:tcPr>
          <w:p>
            <w:pPr>
              <w:spacing w:before="0" w:after="40" w:line="259" w:lineRule="auto"/>
              <w:jc w:val="center"/>
            </w:pPr>
            <w:r>
              <w:rPr>
                <w:rFonts w:ascii="Calibri" w:hAnsi="Calibri" w:eastAsia="Arial Unicode MS"/>
                <w:b/>
                <w:color w:val="1F2937"/>
                <w:sz w:val="17"/>
              </w:rPr>
              <w:t>飞书</w:t>
            </w:r>
          </w:p>
        </w:tc>
        <w:tc>
          <w:tcPr>
            <w:tcW w:type="dxa" w:w="350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7"/>
              </w:rPr>
              <w:t>通知、摘要、行政审批结果、深度链接</w:t>
            </w:r>
          </w:p>
        </w:tc>
        <w:tc>
          <w:tcPr>
            <w:tcW w:type="dxa" w:w="140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7"/>
              </w:rPr>
              <w:t>事件接口</w:t>
            </w:r>
          </w:p>
        </w:tc>
        <w:tc>
          <w:tcPr>
            <w:tcW w:type="dxa" w:w="286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7"/>
              </w:rPr>
              <w:t>幂等、重试、审计</w:t>
            </w:r>
          </w:p>
        </w:tc>
      </w:tr>
      <w:tr>
        <w:trPr>
          <w:cantSplit w:val="true"/>
        </w:trPr>
        <w:tc>
          <w:tcPr>
            <w:tcW w:type="dxa" w:w="1600"/>
            <w:vAlign w:val="center"/>
            <w:tcMar>
              <w:top w:w="80" w:type="dxa"/>
              <w:start w:w="120" w:type="dxa"/>
              <w:bottom w:w="80" w:type="dxa"/>
              <w:end w:w="120" w:type="dxa"/>
            </w:tcMar>
          </w:tcPr>
          <w:p>
            <w:pPr>
              <w:spacing w:before="0" w:after="40" w:line="259" w:lineRule="auto"/>
              <w:jc w:val="center"/>
            </w:pPr>
            <w:r>
              <w:rPr>
                <w:rFonts w:ascii="Calibri" w:hAnsi="Calibri" w:eastAsia="Arial Unicode MS"/>
                <w:b/>
                <w:color w:val="1F2937"/>
                <w:sz w:val="17"/>
              </w:rPr>
              <w:t>财务</w:t>
            </w:r>
          </w:p>
        </w:tc>
        <w:tc>
          <w:tcPr>
            <w:tcW w:type="dxa" w:w="350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7"/>
              </w:rPr>
              <w:t>开票、收款、付款、实际成本</w:t>
            </w:r>
          </w:p>
        </w:tc>
        <w:tc>
          <w:tcPr>
            <w:tcW w:type="dxa" w:w="140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7"/>
              </w:rPr>
              <w:t>定时/事件</w:t>
            </w:r>
          </w:p>
        </w:tc>
        <w:tc>
          <w:tcPr>
            <w:tcW w:type="dxa" w:w="286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7"/>
              </w:rPr>
              <w:t>口径对账、项目编号一致</w:t>
            </w:r>
          </w:p>
        </w:tc>
      </w:tr>
      <w:tr>
        <w:trPr>
          <w:cantSplit w:val="true"/>
        </w:trPr>
        <w:tc>
          <w:tcPr>
            <w:tcW w:type="dxa" w:w="1600"/>
            <w:vAlign w:val="center"/>
            <w:tcMar>
              <w:top w:w="80" w:type="dxa"/>
              <w:start w:w="120" w:type="dxa"/>
              <w:bottom w:w="80" w:type="dxa"/>
              <w:end w:w="120" w:type="dxa"/>
            </w:tcMar>
            <w:shd w:fill="F8FAFC"/>
          </w:tcPr>
          <w:p>
            <w:pPr>
              <w:spacing w:before="0" w:after="40" w:line="259" w:lineRule="auto"/>
              <w:jc w:val="center"/>
            </w:pPr>
            <w:r>
              <w:rPr>
                <w:rFonts w:ascii="Calibri" w:hAnsi="Calibri" w:eastAsia="Arial Unicode MS"/>
                <w:b/>
                <w:color w:val="1F2937"/>
                <w:sz w:val="17"/>
              </w:rPr>
              <w:t>NAS</w:t>
            </w:r>
          </w:p>
        </w:tc>
        <w:tc>
          <w:tcPr>
            <w:tcW w:type="dxa" w:w="350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7"/>
              </w:rPr>
              <w:t>验收归档包与校验清单</w:t>
            </w:r>
          </w:p>
        </w:tc>
        <w:tc>
          <w:tcPr>
            <w:tcW w:type="dxa" w:w="140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7"/>
              </w:rPr>
              <w:t>单向归档</w:t>
            </w:r>
          </w:p>
        </w:tc>
        <w:tc>
          <w:tcPr>
            <w:tcW w:type="dxa" w:w="286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7"/>
              </w:rPr>
              <w:t>只读、校验、失败重传</w:t>
            </w:r>
          </w:p>
        </w:tc>
      </w:tr>
    </w:tbl>
    <w:p>
      <w:pPr>
        <w:spacing w:after="40"/>
      </w:pPr>
    </w:p>
    <w:p>
      <w:pPr>
        <w:pStyle w:val="Heading1"/>
        <w:keepNext w:val="1"/>
      </w:pPr>
      <w:r>
        <w:t>附件 F｜投资测算框架</w:t>
      </w:r>
    </w:p>
    <w:tbl>
      <w:tblPr>
        <w:tblW w:type="dxa" w:w="9360"/>
        <w:jc w:val="left"/>
        <w:tblLayout w:type="fixed"/>
        <w:tblLook w:firstColumn="1" w:firstRow="1" w:lastColumn="0" w:lastRow="0" w:noHBand="0" w:noVBand="1" w:val="04A0"/>
        <w:tblInd w:w="120" w:type="dxa"/>
        <w:tblBorders>
          <w:top w:val="single" w:sz="4" w:color="D7DEE8"/>
          <w:left w:val="single" w:sz="4" w:color="D7DEE8"/>
          <w:bottom w:val="single" w:sz="4" w:color="D7DEE8"/>
          <w:right w:val="single" w:sz="4" w:color="D7DEE8"/>
          <w:insideH w:val="single" w:sz="4" w:color="D7DEE8"/>
          <w:insideV w:val="single" w:sz="4" w:color="D7DEE8"/>
        </w:tblBorders>
      </w:tblPr>
      <w:tblGrid>
        <w:gridCol w:w="1600"/>
        <w:gridCol w:w="1700"/>
        <w:gridCol w:w="3800"/>
        <w:gridCol w:w="2260"/>
      </w:tblGrid>
      <w:tr>
        <w:trPr>
          <w:tblHeader w:val="true"/>
          <w:cantSplit w:val="true"/>
        </w:trPr>
        <w:tc>
          <w:tcPr>
            <w:tcW w:type="dxa" w:w="1600"/>
            <w:vAlign w:val="center"/>
            <w:tcMar>
              <w:top w:w="80" w:type="dxa"/>
              <w:start w:w="120" w:type="dxa"/>
              <w:bottom w:w="80" w:type="dxa"/>
              <w:end w:w="120" w:type="dxa"/>
            </w:tcMar>
            <w:shd w:fill="EEF4FF"/>
          </w:tcPr>
          <w:p>
            <w:pPr>
              <w:spacing w:before="0" w:after="40" w:line="259" w:lineRule="auto"/>
              <w:jc w:val="center"/>
            </w:pPr>
            <w:r>
              <w:rPr>
                <w:rFonts w:ascii="Calibri" w:hAnsi="Calibri" w:eastAsia="Arial Unicode MS"/>
                <w:b/>
                <w:color w:val="0B2545"/>
                <w:sz w:val="17"/>
              </w:rPr>
              <w:t>成本项</w:t>
            </w:r>
          </w:p>
        </w:tc>
        <w:tc>
          <w:tcPr>
            <w:tcW w:type="dxa" w:w="1700"/>
            <w:vAlign w:val="center"/>
            <w:tcMar>
              <w:top w:w="80" w:type="dxa"/>
              <w:start w:w="120" w:type="dxa"/>
              <w:bottom w:w="80" w:type="dxa"/>
              <w:end w:w="120" w:type="dxa"/>
            </w:tcMar>
            <w:shd w:fill="EEF4FF"/>
          </w:tcPr>
          <w:p>
            <w:pPr>
              <w:spacing w:before="0" w:after="40" w:line="259" w:lineRule="auto"/>
            </w:pPr>
            <w:r>
              <w:rPr>
                <w:rFonts w:ascii="Calibri" w:hAnsi="Calibri" w:eastAsia="Arial Unicode MS"/>
                <w:b/>
                <w:color w:val="0B2545"/>
                <w:sz w:val="17"/>
              </w:rPr>
              <w:t>量级/计价</w:t>
            </w:r>
          </w:p>
        </w:tc>
        <w:tc>
          <w:tcPr>
            <w:tcW w:type="dxa" w:w="3800"/>
            <w:vAlign w:val="center"/>
            <w:tcMar>
              <w:top w:w="80" w:type="dxa"/>
              <w:start w:w="120" w:type="dxa"/>
              <w:bottom w:w="80" w:type="dxa"/>
              <w:end w:w="120" w:type="dxa"/>
            </w:tcMar>
            <w:shd w:fill="EEF4FF"/>
          </w:tcPr>
          <w:p>
            <w:pPr>
              <w:spacing w:before="0" w:after="40" w:line="259" w:lineRule="auto"/>
            </w:pPr>
            <w:r>
              <w:rPr>
                <w:rFonts w:ascii="Calibri" w:hAnsi="Calibri" w:eastAsia="Arial Unicode MS"/>
                <w:b/>
                <w:color w:val="0B2545"/>
                <w:sz w:val="17"/>
              </w:rPr>
              <w:t>测算方法</w:t>
            </w:r>
          </w:p>
        </w:tc>
        <w:tc>
          <w:tcPr>
            <w:tcW w:type="dxa" w:w="2260"/>
            <w:vAlign w:val="center"/>
            <w:tcMar>
              <w:top w:w="80" w:type="dxa"/>
              <w:start w:w="120" w:type="dxa"/>
              <w:bottom w:w="80" w:type="dxa"/>
              <w:end w:w="120" w:type="dxa"/>
            </w:tcMar>
            <w:shd w:fill="EEF4FF"/>
          </w:tcPr>
          <w:p>
            <w:pPr>
              <w:spacing w:before="0" w:after="40" w:line="259" w:lineRule="auto"/>
            </w:pPr>
            <w:r>
              <w:rPr>
                <w:rFonts w:ascii="Calibri" w:hAnsi="Calibri" w:eastAsia="Arial Unicode MS"/>
                <w:b/>
                <w:color w:val="0B2545"/>
                <w:sz w:val="17"/>
              </w:rPr>
              <w:t>控制要求</w:t>
            </w:r>
          </w:p>
        </w:tc>
      </w:tr>
      <w:tr>
        <w:trPr>
          <w:cantSplit w:val="true"/>
        </w:trPr>
        <w:tc>
          <w:tcPr>
            <w:tcW w:type="dxa" w:w="1600"/>
            <w:vAlign w:val="center"/>
            <w:tcMar>
              <w:top w:w="80" w:type="dxa"/>
              <w:start w:w="120" w:type="dxa"/>
              <w:bottom w:w="80" w:type="dxa"/>
              <w:end w:w="120" w:type="dxa"/>
            </w:tcMar>
          </w:tcPr>
          <w:p>
            <w:pPr>
              <w:spacing w:before="0" w:after="40" w:line="259" w:lineRule="auto"/>
              <w:jc w:val="center"/>
            </w:pPr>
            <w:r>
              <w:rPr>
                <w:rFonts w:ascii="Calibri" w:hAnsi="Calibri" w:eastAsia="Arial Unicode MS"/>
                <w:b/>
                <w:color w:val="1F2937"/>
                <w:sz w:val="17"/>
              </w:rPr>
              <w:t>建设人力</w:t>
            </w:r>
          </w:p>
        </w:tc>
        <w:tc>
          <w:tcPr>
            <w:tcW w:type="dxa" w:w="170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7"/>
              </w:rPr>
              <w:t>100~160 人月</w:t>
            </w:r>
          </w:p>
        </w:tc>
        <w:tc>
          <w:tcPr>
            <w:tcW w:type="dxa" w:w="380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7"/>
              </w:rPr>
              <w:t>外部人月 × 综合月单价 + 内部专职投入机会成本</w:t>
            </w:r>
          </w:p>
        </w:tc>
        <w:tc>
          <w:tcPr>
            <w:tcW w:type="dxa" w:w="226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7"/>
              </w:rPr>
              <w:t>最大成本项</w:t>
            </w:r>
          </w:p>
        </w:tc>
      </w:tr>
      <w:tr>
        <w:trPr>
          <w:cantSplit w:val="true"/>
        </w:trPr>
        <w:tc>
          <w:tcPr>
            <w:tcW w:type="dxa" w:w="1600"/>
            <w:vAlign w:val="center"/>
            <w:tcMar>
              <w:top w:w="80" w:type="dxa"/>
              <w:start w:w="120" w:type="dxa"/>
              <w:bottom w:w="80" w:type="dxa"/>
              <w:end w:w="120" w:type="dxa"/>
            </w:tcMar>
            <w:shd w:fill="F8FAFC"/>
          </w:tcPr>
          <w:p>
            <w:pPr>
              <w:spacing w:before="0" w:after="40" w:line="259" w:lineRule="auto"/>
              <w:jc w:val="center"/>
            </w:pPr>
            <w:r>
              <w:rPr>
                <w:rFonts w:ascii="Calibri" w:hAnsi="Calibri" w:eastAsia="Arial Unicode MS"/>
                <w:b/>
                <w:color w:val="1F2937"/>
                <w:sz w:val="17"/>
              </w:rPr>
              <w:t>基础设施与许可</w:t>
            </w:r>
          </w:p>
        </w:tc>
        <w:tc>
          <w:tcPr>
            <w:tcW w:type="dxa" w:w="170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7"/>
              </w:rPr>
              <w:t>待技术方案</w:t>
            </w:r>
          </w:p>
        </w:tc>
        <w:tc>
          <w:tcPr>
            <w:tcW w:type="dxa" w:w="380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7"/>
              </w:rPr>
              <w:t>环境、数据库/中间件、存储、备份、监控、安全与证书</w:t>
            </w:r>
          </w:p>
        </w:tc>
        <w:tc>
          <w:tcPr>
            <w:tcW w:type="dxa" w:w="226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7"/>
              </w:rPr>
              <w:t>区分一次性与年度费用</w:t>
            </w:r>
          </w:p>
        </w:tc>
      </w:tr>
      <w:tr>
        <w:trPr>
          <w:cantSplit w:val="true"/>
        </w:trPr>
        <w:tc>
          <w:tcPr>
            <w:tcW w:type="dxa" w:w="1600"/>
            <w:vAlign w:val="center"/>
            <w:tcMar>
              <w:top w:w="80" w:type="dxa"/>
              <w:start w:w="120" w:type="dxa"/>
              <w:bottom w:w="80" w:type="dxa"/>
              <w:end w:w="120" w:type="dxa"/>
            </w:tcMar>
          </w:tcPr>
          <w:p>
            <w:pPr>
              <w:spacing w:before="0" w:after="40" w:line="259" w:lineRule="auto"/>
              <w:jc w:val="center"/>
            </w:pPr>
            <w:r>
              <w:rPr>
                <w:rFonts w:ascii="Calibri" w:hAnsi="Calibri" w:eastAsia="Arial Unicode MS"/>
                <w:b/>
                <w:color w:val="1F2937"/>
                <w:sz w:val="17"/>
              </w:rPr>
              <w:t>接口与迁移</w:t>
            </w:r>
          </w:p>
        </w:tc>
        <w:tc>
          <w:tcPr>
            <w:tcW w:type="dxa" w:w="170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7"/>
              </w:rPr>
              <w:t>按接口/项目批次</w:t>
            </w:r>
          </w:p>
        </w:tc>
        <w:tc>
          <w:tcPr>
            <w:tcW w:type="dxa" w:w="380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7"/>
              </w:rPr>
              <w:t>身份、飞书、财务、NAS + 清洗迁移</w:t>
            </w:r>
          </w:p>
        </w:tc>
        <w:tc>
          <w:tcPr>
            <w:tcW w:type="dxa" w:w="226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7"/>
              </w:rPr>
              <w:t>避免打包成不可拆总价</w:t>
            </w:r>
          </w:p>
        </w:tc>
      </w:tr>
      <w:tr>
        <w:trPr>
          <w:cantSplit w:val="true"/>
        </w:trPr>
        <w:tc>
          <w:tcPr>
            <w:tcW w:type="dxa" w:w="1600"/>
            <w:vAlign w:val="center"/>
            <w:tcMar>
              <w:top w:w="80" w:type="dxa"/>
              <w:start w:w="120" w:type="dxa"/>
              <w:bottom w:w="80" w:type="dxa"/>
              <w:end w:w="120" w:type="dxa"/>
            </w:tcMar>
            <w:shd w:fill="F8FAFC"/>
          </w:tcPr>
          <w:p>
            <w:pPr>
              <w:spacing w:before="0" w:after="40" w:line="259" w:lineRule="auto"/>
              <w:jc w:val="center"/>
            </w:pPr>
            <w:r>
              <w:rPr>
                <w:rFonts w:ascii="Calibri" w:hAnsi="Calibri" w:eastAsia="Arial Unicode MS"/>
                <w:b/>
                <w:color w:val="1F2937"/>
                <w:sz w:val="17"/>
              </w:rPr>
              <w:t>培训推广</w:t>
            </w:r>
          </w:p>
        </w:tc>
        <w:tc>
          <w:tcPr>
            <w:tcW w:type="dxa" w:w="170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7"/>
              </w:rPr>
              <w:t>按角色/批次</w:t>
            </w:r>
          </w:p>
        </w:tc>
        <w:tc>
          <w:tcPr>
            <w:tcW w:type="dxa" w:w="380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7"/>
              </w:rPr>
              <w:t>材料、培训、关键用户、驻场支持、稳定期</w:t>
            </w:r>
          </w:p>
        </w:tc>
        <w:tc>
          <w:tcPr>
            <w:tcW w:type="dxa" w:w="226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7"/>
              </w:rPr>
              <w:t>纳入建设预算</w:t>
            </w:r>
          </w:p>
        </w:tc>
      </w:tr>
      <w:tr>
        <w:trPr>
          <w:cantSplit w:val="true"/>
        </w:trPr>
        <w:tc>
          <w:tcPr>
            <w:tcW w:type="dxa" w:w="1600"/>
            <w:vAlign w:val="center"/>
            <w:tcMar>
              <w:top w:w="80" w:type="dxa"/>
              <w:start w:w="120" w:type="dxa"/>
              <w:bottom w:w="80" w:type="dxa"/>
              <w:end w:w="120" w:type="dxa"/>
            </w:tcMar>
          </w:tcPr>
          <w:p>
            <w:pPr>
              <w:spacing w:before="0" w:after="40" w:line="259" w:lineRule="auto"/>
              <w:jc w:val="center"/>
            </w:pPr>
            <w:r>
              <w:rPr>
                <w:rFonts w:ascii="Calibri" w:hAnsi="Calibri" w:eastAsia="Arial Unicode MS"/>
                <w:b/>
                <w:color w:val="1F2937"/>
                <w:sz w:val="17"/>
              </w:rPr>
              <w:t>运维支持</w:t>
            </w:r>
          </w:p>
        </w:tc>
        <w:tc>
          <w:tcPr>
            <w:tcW w:type="dxa" w:w="170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7"/>
              </w:rPr>
              <w:t>年度</w:t>
            </w:r>
          </w:p>
        </w:tc>
        <w:tc>
          <w:tcPr>
            <w:tcW w:type="dxa" w:w="380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7"/>
              </w:rPr>
              <w:t>缺陷、升级、监控、备份、安全、配置运营</w:t>
            </w:r>
          </w:p>
        </w:tc>
        <w:tc>
          <w:tcPr>
            <w:tcW w:type="dxa" w:w="226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7"/>
              </w:rPr>
              <w:t>明确质保后口径</w:t>
            </w:r>
          </w:p>
        </w:tc>
      </w:tr>
      <w:tr>
        <w:trPr>
          <w:cantSplit w:val="true"/>
        </w:trPr>
        <w:tc>
          <w:tcPr>
            <w:tcW w:type="dxa" w:w="1600"/>
            <w:vAlign w:val="center"/>
            <w:tcMar>
              <w:top w:w="80" w:type="dxa"/>
              <w:start w:w="120" w:type="dxa"/>
              <w:bottom w:w="80" w:type="dxa"/>
              <w:end w:w="120" w:type="dxa"/>
            </w:tcMar>
            <w:shd w:fill="F8FAFC"/>
          </w:tcPr>
          <w:p>
            <w:pPr>
              <w:spacing w:before="0" w:after="40" w:line="259" w:lineRule="auto"/>
              <w:jc w:val="center"/>
            </w:pPr>
            <w:r>
              <w:rPr>
                <w:rFonts w:ascii="Calibri" w:hAnsi="Calibri" w:eastAsia="Arial Unicode MS"/>
                <w:b/>
                <w:color w:val="1F2937"/>
                <w:sz w:val="17"/>
              </w:rPr>
              <w:t>风险预备</w:t>
            </w:r>
          </w:p>
        </w:tc>
        <w:tc>
          <w:tcPr>
            <w:tcW w:type="dxa" w:w="170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7"/>
              </w:rPr>
              <w:t>10%~15%</w:t>
            </w:r>
          </w:p>
        </w:tc>
        <w:tc>
          <w:tcPr>
            <w:tcW w:type="dxa" w:w="380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7"/>
              </w:rPr>
              <w:t>基于上述可控成本计提</w:t>
            </w:r>
          </w:p>
        </w:tc>
        <w:tc>
          <w:tcPr>
            <w:tcW w:type="dxa" w:w="226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7"/>
              </w:rPr>
              <w:t>重大范围变更另行审批</w:t>
            </w:r>
          </w:p>
        </w:tc>
      </w:tr>
    </w:tbl>
    <w:p>
      <w:pPr>
        <w:spacing w:after="40"/>
      </w:pPr>
    </w:p>
    <w:p>
      <w:pPr>
        <w:pStyle w:val="Heading1"/>
        <w:keepNext w:val="1"/>
      </w:pPr>
      <w:r>
        <w:t>附件 G｜风险登记册（V0.1）</w:t>
      </w:r>
    </w:p>
    <w:tbl>
      <w:tblPr>
        <w:tblW w:type="dxa" w:w="9360"/>
        <w:jc w:val="left"/>
        <w:tblLayout w:type="fixed"/>
        <w:tblLook w:firstColumn="1" w:firstRow="1" w:lastColumn="0" w:lastRow="0" w:noHBand="0" w:noVBand="1" w:val="04A0"/>
        <w:tblInd w:w="120" w:type="dxa"/>
        <w:tblBorders>
          <w:top w:val="single" w:sz="4" w:color="D7DEE8"/>
          <w:left w:val="single" w:sz="4" w:color="D7DEE8"/>
          <w:bottom w:val="single" w:sz="4" w:color="D7DEE8"/>
          <w:right w:val="single" w:sz="4" w:color="D7DEE8"/>
          <w:insideH w:val="single" w:sz="4" w:color="D7DEE8"/>
          <w:insideV w:val="single" w:sz="4" w:color="D7DEE8"/>
        </w:tblBorders>
      </w:tblPr>
      <w:tblGrid>
        <w:gridCol w:w="720"/>
        <w:gridCol w:w="2100"/>
        <w:gridCol w:w="720"/>
        <w:gridCol w:w="720"/>
        <w:gridCol w:w="3600"/>
        <w:gridCol w:w="1500"/>
      </w:tblGrid>
      <w:tr>
        <w:trPr>
          <w:tblHeader w:val="true"/>
          <w:cantSplit w:val="true"/>
        </w:trPr>
        <w:tc>
          <w:tcPr>
            <w:tcW w:type="dxa" w:w="720"/>
            <w:vAlign w:val="center"/>
            <w:tcMar>
              <w:top w:w="80" w:type="dxa"/>
              <w:start w:w="120" w:type="dxa"/>
              <w:bottom w:w="80" w:type="dxa"/>
              <w:end w:w="120" w:type="dxa"/>
            </w:tcMar>
            <w:shd w:fill="FFF0ED"/>
          </w:tcPr>
          <w:p>
            <w:pPr>
              <w:spacing w:before="0" w:after="40" w:line="259" w:lineRule="auto"/>
              <w:jc w:val="center"/>
            </w:pPr>
            <w:r>
              <w:rPr>
                <w:rFonts w:ascii="Calibri" w:hAnsi="Calibri" w:eastAsia="Arial Unicode MS"/>
                <w:b/>
                <w:color w:val="0B2545"/>
                <w:sz w:val="16"/>
              </w:rPr>
              <w:t>编号</w:t>
            </w:r>
          </w:p>
        </w:tc>
        <w:tc>
          <w:tcPr>
            <w:tcW w:type="dxa" w:w="2100"/>
            <w:vAlign w:val="center"/>
            <w:tcMar>
              <w:top w:w="80" w:type="dxa"/>
              <w:start w:w="120" w:type="dxa"/>
              <w:bottom w:w="80" w:type="dxa"/>
              <w:end w:w="120" w:type="dxa"/>
            </w:tcMar>
            <w:shd w:fill="FFF0ED"/>
          </w:tcPr>
          <w:p>
            <w:pPr>
              <w:spacing w:before="0" w:after="40" w:line="259" w:lineRule="auto"/>
            </w:pPr>
            <w:r>
              <w:rPr>
                <w:rFonts w:ascii="Calibri" w:hAnsi="Calibri" w:eastAsia="Arial Unicode MS"/>
                <w:b/>
                <w:color w:val="0B2545"/>
                <w:sz w:val="16"/>
              </w:rPr>
              <w:t>风险</w:t>
            </w:r>
          </w:p>
        </w:tc>
        <w:tc>
          <w:tcPr>
            <w:tcW w:type="dxa" w:w="720"/>
            <w:vAlign w:val="center"/>
            <w:tcMar>
              <w:top w:w="80" w:type="dxa"/>
              <w:start w:w="120" w:type="dxa"/>
              <w:bottom w:w="80" w:type="dxa"/>
              <w:end w:w="120" w:type="dxa"/>
            </w:tcMar>
            <w:shd w:fill="FFF0ED"/>
          </w:tcPr>
          <w:p>
            <w:pPr>
              <w:spacing w:before="0" w:after="40" w:line="259" w:lineRule="auto"/>
            </w:pPr>
            <w:r>
              <w:rPr>
                <w:rFonts w:ascii="Calibri" w:hAnsi="Calibri" w:eastAsia="Arial Unicode MS"/>
                <w:b/>
                <w:color w:val="0B2545"/>
                <w:sz w:val="16"/>
              </w:rPr>
              <w:t>概率</w:t>
            </w:r>
          </w:p>
        </w:tc>
        <w:tc>
          <w:tcPr>
            <w:tcW w:type="dxa" w:w="720"/>
            <w:vAlign w:val="center"/>
            <w:tcMar>
              <w:top w:w="80" w:type="dxa"/>
              <w:start w:w="120" w:type="dxa"/>
              <w:bottom w:w="80" w:type="dxa"/>
              <w:end w:w="120" w:type="dxa"/>
            </w:tcMar>
            <w:shd w:fill="FFF0ED"/>
          </w:tcPr>
          <w:p>
            <w:pPr>
              <w:spacing w:before="0" w:after="40" w:line="259" w:lineRule="auto"/>
            </w:pPr>
            <w:r>
              <w:rPr>
                <w:rFonts w:ascii="Calibri" w:hAnsi="Calibri" w:eastAsia="Arial Unicode MS"/>
                <w:b/>
                <w:color w:val="0B2545"/>
                <w:sz w:val="16"/>
              </w:rPr>
              <w:t>影响</w:t>
            </w:r>
          </w:p>
        </w:tc>
        <w:tc>
          <w:tcPr>
            <w:tcW w:type="dxa" w:w="3600"/>
            <w:vAlign w:val="center"/>
            <w:tcMar>
              <w:top w:w="80" w:type="dxa"/>
              <w:start w:w="120" w:type="dxa"/>
              <w:bottom w:w="80" w:type="dxa"/>
              <w:end w:w="120" w:type="dxa"/>
            </w:tcMar>
            <w:shd w:fill="FFF0ED"/>
          </w:tcPr>
          <w:p>
            <w:pPr>
              <w:spacing w:before="0" w:after="40" w:line="259" w:lineRule="auto"/>
            </w:pPr>
            <w:r>
              <w:rPr>
                <w:rFonts w:ascii="Calibri" w:hAnsi="Calibri" w:eastAsia="Arial Unicode MS"/>
                <w:b/>
                <w:color w:val="0B2545"/>
                <w:sz w:val="16"/>
              </w:rPr>
              <w:t>主要措施</w:t>
            </w:r>
          </w:p>
        </w:tc>
        <w:tc>
          <w:tcPr>
            <w:tcW w:type="dxa" w:w="1500"/>
            <w:vAlign w:val="center"/>
            <w:tcMar>
              <w:top w:w="80" w:type="dxa"/>
              <w:start w:w="120" w:type="dxa"/>
              <w:bottom w:w="80" w:type="dxa"/>
              <w:end w:w="120" w:type="dxa"/>
            </w:tcMar>
            <w:shd w:fill="FFF0ED"/>
          </w:tcPr>
          <w:p>
            <w:pPr>
              <w:spacing w:before="0" w:after="40" w:line="259" w:lineRule="auto"/>
            </w:pPr>
            <w:r>
              <w:rPr>
                <w:rFonts w:ascii="Calibri" w:hAnsi="Calibri" w:eastAsia="Arial Unicode MS"/>
                <w:b/>
                <w:color w:val="0B2545"/>
                <w:sz w:val="16"/>
              </w:rPr>
              <w:t>责任角色</w:t>
            </w:r>
          </w:p>
        </w:tc>
      </w:tr>
      <w:tr>
        <w:trPr>
          <w:cantSplit w:val="true"/>
        </w:trPr>
        <w:tc>
          <w:tcPr>
            <w:tcW w:type="dxa" w:w="720"/>
            <w:vAlign w:val="center"/>
            <w:tcMar>
              <w:top w:w="80" w:type="dxa"/>
              <w:start w:w="120" w:type="dxa"/>
              <w:bottom w:w="80" w:type="dxa"/>
              <w:end w:w="120" w:type="dxa"/>
            </w:tcMar>
          </w:tcPr>
          <w:p>
            <w:pPr>
              <w:spacing w:before="0" w:after="40" w:line="259" w:lineRule="auto"/>
              <w:jc w:val="center"/>
            </w:pPr>
            <w:r>
              <w:rPr>
                <w:rFonts w:ascii="Calibri" w:hAnsi="Calibri" w:eastAsia="Arial Unicode MS"/>
                <w:b/>
                <w:color w:val="1F2937"/>
                <w:sz w:val="16"/>
              </w:rPr>
              <w:t>R-01</w:t>
            </w:r>
          </w:p>
        </w:tc>
        <w:tc>
          <w:tcPr>
            <w:tcW w:type="dxa" w:w="210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6"/>
              </w:rPr>
              <w:t>业务决策延迟</w:t>
            </w:r>
          </w:p>
        </w:tc>
        <w:tc>
          <w:tcPr>
            <w:tcW w:type="dxa" w:w="72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6"/>
              </w:rPr>
              <w:t>高</w:t>
            </w:r>
          </w:p>
        </w:tc>
        <w:tc>
          <w:tcPr>
            <w:tcW w:type="dxa" w:w="72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6"/>
              </w:rPr>
              <w:t>高</w:t>
            </w:r>
          </w:p>
        </w:tc>
        <w:tc>
          <w:tcPr>
            <w:tcW w:type="dxa" w:w="360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6"/>
              </w:rPr>
              <w:t>P0 决策工作坊、限期升级</w:t>
            </w:r>
          </w:p>
        </w:tc>
        <w:tc>
          <w:tcPr>
            <w:tcW w:type="dxa" w:w="150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6"/>
              </w:rPr>
              <w:t>业务负责人</w:t>
            </w:r>
          </w:p>
        </w:tc>
      </w:tr>
      <w:tr>
        <w:trPr>
          <w:cantSplit w:val="true"/>
        </w:trPr>
        <w:tc>
          <w:tcPr>
            <w:tcW w:type="dxa" w:w="720"/>
            <w:vAlign w:val="center"/>
            <w:tcMar>
              <w:top w:w="80" w:type="dxa"/>
              <w:start w:w="120" w:type="dxa"/>
              <w:bottom w:w="80" w:type="dxa"/>
              <w:end w:w="120" w:type="dxa"/>
            </w:tcMar>
            <w:shd w:fill="F8FAFC"/>
          </w:tcPr>
          <w:p>
            <w:pPr>
              <w:spacing w:before="0" w:after="40" w:line="259" w:lineRule="auto"/>
              <w:jc w:val="center"/>
            </w:pPr>
            <w:r>
              <w:rPr>
                <w:rFonts w:ascii="Calibri" w:hAnsi="Calibri" w:eastAsia="Arial Unicode MS"/>
                <w:b/>
                <w:color w:val="1F2937"/>
                <w:sz w:val="16"/>
              </w:rPr>
              <w:t>R-02</w:t>
            </w:r>
          </w:p>
        </w:tc>
        <w:tc>
          <w:tcPr>
            <w:tcW w:type="dxa" w:w="210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6"/>
              </w:rPr>
              <w:t>首期范围持续膨胀</w:t>
            </w:r>
          </w:p>
        </w:tc>
        <w:tc>
          <w:tcPr>
            <w:tcW w:type="dxa" w:w="72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6"/>
              </w:rPr>
              <w:t>高</w:t>
            </w:r>
          </w:p>
        </w:tc>
        <w:tc>
          <w:tcPr>
            <w:tcW w:type="dxa" w:w="72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6"/>
              </w:rPr>
              <w:t>高</w:t>
            </w:r>
          </w:p>
        </w:tc>
        <w:tc>
          <w:tcPr>
            <w:tcW w:type="dxa" w:w="360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6"/>
              </w:rPr>
              <w:t>范围门、二期池、变更预算</w:t>
            </w:r>
          </w:p>
        </w:tc>
        <w:tc>
          <w:tcPr>
            <w:tcW w:type="dxa" w:w="150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6"/>
              </w:rPr>
              <w:t>建设办公室</w:t>
            </w:r>
          </w:p>
        </w:tc>
      </w:tr>
      <w:tr>
        <w:trPr>
          <w:cantSplit w:val="true"/>
        </w:trPr>
        <w:tc>
          <w:tcPr>
            <w:tcW w:type="dxa" w:w="720"/>
            <w:vAlign w:val="center"/>
            <w:tcMar>
              <w:top w:w="80" w:type="dxa"/>
              <w:start w:w="120" w:type="dxa"/>
              <w:bottom w:w="80" w:type="dxa"/>
              <w:end w:w="120" w:type="dxa"/>
            </w:tcMar>
          </w:tcPr>
          <w:p>
            <w:pPr>
              <w:spacing w:before="0" w:after="40" w:line="259" w:lineRule="auto"/>
              <w:jc w:val="center"/>
            </w:pPr>
            <w:r>
              <w:rPr>
                <w:rFonts w:ascii="Calibri" w:hAnsi="Calibri" w:eastAsia="Arial Unicode MS"/>
                <w:b/>
                <w:color w:val="1F2937"/>
                <w:sz w:val="16"/>
              </w:rPr>
              <w:t>R-03</w:t>
            </w:r>
          </w:p>
        </w:tc>
        <w:tc>
          <w:tcPr>
            <w:tcW w:type="dxa" w:w="210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6"/>
              </w:rPr>
              <w:t>跨部门参与不足</w:t>
            </w:r>
          </w:p>
        </w:tc>
        <w:tc>
          <w:tcPr>
            <w:tcW w:type="dxa" w:w="72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6"/>
              </w:rPr>
              <w:t>中</w:t>
            </w:r>
          </w:p>
        </w:tc>
        <w:tc>
          <w:tcPr>
            <w:tcW w:type="dxa" w:w="72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6"/>
              </w:rPr>
              <w:t>高</w:t>
            </w:r>
          </w:p>
        </w:tc>
        <w:tc>
          <w:tcPr>
            <w:tcW w:type="dxa" w:w="360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6"/>
              </w:rPr>
              <w:t>域负责人实名、里程碑验收</w:t>
            </w:r>
          </w:p>
        </w:tc>
        <w:tc>
          <w:tcPr>
            <w:tcW w:type="dxa" w:w="150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6"/>
              </w:rPr>
              <w:t>项目发起人</w:t>
            </w:r>
          </w:p>
        </w:tc>
      </w:tr>
      <w:tr>
        <w:trPr>
          <w:cantSplit w:val="true"/>
        </w:trPr>
        <w:tc>
          <w:tcPr>
            <w:tcW w:type="dxa" w:w="720"/>
            <w:vAlign w:val="center"/>
            <w:tcMar>
              <w:top w:w="80" w:type="dxa"/>
              <w:start w:w="120" w:type="dxa"/>
              <w:bottom w:w="80" w:type="dxa"/>
              <w:end w:w="120" w:type="dxa"/>
            </w:tcMar>
            <w:shd w:fill="F8FAFC"/>
          </w:tcPr>
          <w:p>
            <w:pPr>
              <w:spacing w:before="0" w:after="40" w:line="259" w:lineRule="auto"/>
              <w:jc w:val="center"/>
            </w:pPr>
            <w:r>
              <w:rPr>
                <w:rFonts w:ascii="Calibri" w:hAnsi="Calibri" w:eastAsia="Arial Unicode MS"/>
                <w:b/>
                <w:color w:val="1F2937"/>
                <w:sz w:val="16"/>
              </w:rPr>
              <w:t>R-04</w:t>
            </w:r>
          </w:p>
        </w:tc>
        <w:tc>
          <w:tcPr>
            <w:tcW w:type="dxa" w:w="210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6"/>
              </w:rPr>
              <w:t>试点项目周期与窗口错配</w:t>
            </w:r>
          </w:p>
        </w:tc>
        <w:tc>
          <w:tcPr>
            <w:tcW w:type="dxa" w:w="72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6"/>
              </w:rPr>
              <w:t>高</w:t>
            </w:r>
          </w:p>
        </w:tc>
        <w:tc>
          <w:tcPr>
            <w:tcW w:type="dxa" w:w="72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6"/>
              </w:rPr>
              <w:t>中</w:t>
            </w:r>
          </w:p>
        </w:tc>
        <w:tc>
          <w:tcPr>
            <w:tcW w:type="dxa" w:w="360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6"/>
              </w:rPr>
              <w:t>真实运行 + 回放 + 演练</w:t>
            </w:r>
          </w:p>
        </w:tc>
        <w:tc>
          <w:tcPr>
            <w:tcW w:type="dxa" w:w="150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6"/>
              </w:rPr>
              <w:t>建设办公室</w:t>
            </w:r>
          </w:p>
        </w:tc>
      </w:tr>
      <w:tr>
        <w:trPr>
          <w:cantSplit w:val="true"/>
        </w:trPr>
        <w:tc>
          <w:tcPr>
            <w:tcW w:type="dxa" w:w="720"/>
            <w:vAlign w:val="center"/>
            <w:tcMar>
              <w:top w:w="80" w:type="dxa"/>
              <w:start w:w="120" w:type="dxa"/>
              <w:bottom w:w="80" w:type="dxa"/>
              <w:end w:w="120" w:type="dxa"/>
            </w:tcMar>
          </w:tcPr>
          <w:p>
            <w:pPr>
              <w:spacing w:before="0" w:after="40" w:line="259" w:lineRule="auto"/>
              <w:jc w:val="center"/>
            </w:pPr>
            <w:r>
              <w:rPr>
                <w:rFonts w:ascii="Calibri" w:hAnsi="Calibri" w:eastAsia="Arial Unicode MS"/>
                <w:b/>
                <w:color w:val="1F2937"/>
                <w:sz w:val="16"/>
              </w:rPr>
              <w:t>R-05</w:t>
            </w:r>
          </w:p>
        </w:tc>
        <w:tc>
          <w:tcPr>
            <w:tcW w:type="dxa" w:w="210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6"/>
              </w:rPr>
              <w:t>历史数据质量差</w:t>
            </w:r>
          </w:p>
        </w:tc>
        <w:tc>
          <w:tcPr>
            <w:tcW w:type="dxa" w:w="72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6"/>
              </w:rPr>
              <w:t>高</w:t>
            </w:r>
          </w:p>
        </w:tc>
        <w:tc>
          <w:tcPr>
            <w:tcW w:type="dxa" w:w="72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6"/>
              </w:rPr>
              <w:t>高</w:t>
            </w:r>
          </w:p>
        </w:tc>
        <w:tc>
          <w:tcPr>
            <w:tcW w:type="dxa" w:w="360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6"/>
              </w:rPr>
              <w:t>最小迁移包、清洗、两轮演练</w:t>
            </w:r>
          </w:p>
        </w:tc>
        <w:tc>
          <w:tcPr>
            <w:tcW w:type="dxa" w:w="150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6"/>
              </w:rPr>
              <w:t>项目经理/数据组</w:t>
            </w:r>
          </w:p>
        </w:tc>
      </w:tr>
      <w:tr>
        <w:trPr>
          <w:cantSplit w:val="true"/>
        </w:trPr>
        <w:tc>
          <w:tcPr>
            <w:tcW w:type="dxa" w:w="720"/>
            <w:vAlign w:val="center"/>
            <w:tcMar>
              <w:top w:w="80" w:type="dxa"/>
              <w:start w:w="120" w:type="dxa"/>
              <w:bottom w:w="80" w:type="dxa"/>
              <w:end w:w="120" w:type="dxa"/>
            </w:tcMar>
            <w:shd w:fill="F8FAFC"/>
          </w:tcPr>
          <w:p>
            <w:pPr>
              <w:spacing w:before="0" w:after="40" w:line="259" w:lineRule="auto"/>
              <w:jc w:val="center"/>
            </w:pPr>
            <w:r>
              <w:rPr>
                <w:rFonts w:ascii="Calibri" w:hAnsi="Calibri" w:eastAsia="Arial Unicode MS"/>
                <w:b/>
                <w:color w:val="1F2937"/>
                <w:sz w:val="16"/>
              </w:rPr>
              <w:t>R-06</w:t>
            </w:r>
          </w:p>
        </w:tc>
        <w:tc>
          <w:tcPr>
            <w:tcW w:type="dxa" w:w="210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6"/>
              </w:rPr>
              <w:t>财务/飞书/NAS 接口延期</w:t>
            </w:r>
          </w:p>
        </w:tc>
        <w:tc>
          <w:tcPr>
            <w:tcW w:type="dxa" w:w="72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6"/>
              </w:rPr>
              <w:t>中</w:t>
            </w:r>
          </w:p>
        </w:tc>
        <w:tc>
          <w:tcPr>
            <w:tcW w:type="dxa" w:w="72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6"/>
              </w:rPr>
              <w:t>高</w:t>
            </w:r>
          </w:p>
        </w:tc>
        <w:tc>
          <w:tcPr>
            <w:tcW w:type="dxa" w:w="360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6"/>
              </w:rPr>
              <w:t>P1 定界、模拟接口、解耦发布</w:t>
            </w:r>
          </w:p>
        </w:tc>
        <w:tc>
          <w:tcPr>
            <w:tcW w:type="dxa" w:w="150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6"/>
              </w:rPr>
              <w:t>技术负责人</w:t>
            </w:r>
          </w:p>
        </w:tc>
      </w:tr>
      <w:tr>
        <w:trPr>
          <w:cantSplit w:val="true"/>
        </w:trPr>
        <w:tc>
          <w:tcPr>
            <w:tcW w:type="dxa" w:w="720"/>
            <w:vAlign w:val="center"/>
            <w:tcMar>
              <w:top w:w="80" w:type="dxa"/>
              <w:start w:w="120" w:type="dxa"/>
              <w:bottom w:w="80" w:type="dxa"/>
              <w:end w:w="120" w:type="dxa"/>
            </w:tcMar>
          </w:tcPr>
          <w:p>
            <w:pPr>
              <w:spacing w:before="0" w:after="40" w:line="259" w:lineRule="auto"/>
              <w:jc w:val="center"/>
            </w:pPr>
            <w:r>
              <w:rPr>
                <w:rFonts w:ascii="Calibri" w:hAnsi="Calibri" w:eastAsia="Arial Unicode MS"/>
                <w:b/>
                <w:color w:val="1F2937"/>
                <w:sz w:val="16"/>
              </w:rPr>
              <w:t>R-07</w:t>
            </w:r>
          </w:p>
        </w:tc>
        <w:tc>
          <w:tcPr>
            <w:tcW w:type="dxa" w:w="210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6"/>
              </w:rPr>
              <w:t>移动端现场使用不足</w:t>
            </w:r>
          </w:p>
        </w:tc>
        <w:tc>
          <w:tcPr>
            <w:tcW w:type="dxa" w:w="72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6"/>
              </w:rPr>
              <w:t>中</w:t>
            </w:r>
          </w:p>
        </w:tc>
        <w:tc>
          <w:tcPr>
            <w:tcW w:type="dxa" w:w="72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6"/>
              </w:rPr>
              <w:t>高</w:t>
            </w:r>
          </w:p>
        </w:tc>
        <w:tc>
          <w:tcPr>
            <w:tcW w:type="dxa" w:w="360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6"/>
              </w:rPr>
              <w:t>轻交互、关键用户、现场回访</w:t>
            </w:r>
          </w:p>
        </w:tc>
        <w:tc>
          <w:tcPr>
            <w:tcW w:type="dxa" w:w="150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6"/>
              </w:rPr>
              <w:t>产品负责人</w:t>
            </w:r>
          </w:p>
        </w:tc>
      </w:tr>
      <w:tr>
        <w:trPr>
          <w:cantSplit w:val="true"/>
        </w:trPr>
        <w:tc>
          <w:tcPr>
            <w:tcW w:type="dxa" w:w="720"/>
            <w:vAlign w:val="center"/>
            <w:tcMar>
              <w:top w:w="80" w:type="dxa"/>
              <w:start w:w="120" w:type="dxa"/>
              <w:bottom w:w="80" w:type="dxa"/>
              <w:end w:w="120" w:type="dxa"/>
            </w:tcMar>
            <w:shd w:fill="F8FAFC"/>
          </w:tcPr>
          <w:p>
            <w:pPr>
              <w:spacing w:before="0" w:after="40" w:line="259" w:lineRule="auto"/>
              <w:jc w:val="center"/>
            </w:pPr>
            <w:r>
              <w:rPr>
                <w:rFonts w:ascii="Calibri" w:hAnsi="Calibri" w:eastAsia="Arial Unicode MS"/>
                <w:b/>
                <w:color w:val="1F2937"/>
                <w:sz w:val="16"/>
              </w:rPr>
              <w:t>R-08</w:t>
            </w:r>
          </w:p>
        </w:tc>
        <w:tc>
          <w:tcPr>
            <w:tcW w:type="dxa" w:w="210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6"/>
              </w:rPr>
              <w:t>上线后 Excel 双账</w:t>
            </w:r>
          </w:p>
        </w:tc>
        <w:tc>
          <w:tcPr>
            <w:tcW w:type="dxa" w:w="72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6"/>
              </w:rPr>
              <w:t>高</w:t>
            </w:r>
          </w:p>
        </w:tc>
        <w:tc>
          <w:tcPr>
            <w:tcW w:type="dxa" w:w="72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6"/>
              </w:rPr>
              <w:t>高</w:t>
            </w:r>
          </w:p>
        </w:tc>
        <w:tc>
          <w:tcPr>
            <w:tcW w:type="dxa" w:w="360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6"/>
              </w:rPr>
              <w:t>切换日、退出日、例外审批</w:t>
            </w:r>
          </w:p>
        </w:tc>
        <w:tc>
          <w:tcPr>
            <w:tcW w:type="dxa" w:w="150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6"/>
              </w:rPr>
              <w:t>业务负责人</w:t>
            </w:r>
          </w:p>
        </w:tc>
      </w:tr>
      <w:tr>
        <w:trPr>
          <w:cantSplit w:val="true"/>
        </w:trPr>
        <w:tc>
          <w:tcPr>
            <w:tcW w:type="dxa" w:w="720"/>
            <w:vAlign w:val="center"/>
            <w:tcMar>
              <w:top w:w="80" w:type="dxa"/>
              <w:start w:w="120" w:type="dxa"/>
              <w:bottom w:w="80" w:type="dxa"/>
              <w:end w:w="120" w:type="dxa"/>
            </w:tcMar>
          </w:tcPr>
          <w:p>
            <w:pPr>
              <w:spacing w:before="0" w:after="40" w:line="259" w:lineRule="auto"/>
              <w:jc w:val="center"/>
            </w:pPr>
            <w:r>
              <w:rPr>
                <w:rFonts w:ascii="Calibri" w:hAnsi="Calibri" w:eastAsia="Arial Unicode MS"/>
                <w:b/>
                <w:color w:val="1F2937"/>
                <w:sz w:val="16"/>
              </w:rPr>
              <w:t>R-09</w:t>
            </w:r>
          </w:p>
        </w:tc>
        <w:tc>
          <w:tcPr>
            <w:tcW w:type="dxa" w:w="210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6"/>
              </w:rPr>
              <w:t>权限配置过宽或过窄</w:t>
            </w:r>
          </w:p>
        </w:tc>
        <w:tc>
          <w:tcPr>
            <w:tcW w:type="dxa" w:w="72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6"/>
              </w:rPr>
              <w:t>中</w:t>
            </w:r>
          </w:p>
        </w:tc>
        <w:tc>
          <w:tcPr>
            <w:tcW w:type="dxa" w:w="72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6"/>
              </w:rPr>
              <w:t>高</w:t>
            </w:r>
          </w:p>
        </w:tc>
        <w:tc>
          <w:tcPr>
            <w:tcW w:type="dxa" w:w="360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6"/>
              </w:rPr>
              <w:t>角色矩阵、试点验证、审计复核</w:t>
            </w:r>
          </w:p>
        </w:tc>
        <w:tc>
          <w:tcPr>
            <w:tcW w:type="dxa" w:w="150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6"/>
              </w:rPr>
              <w:t>安全/业务负责人</w:t>
            </w:r>
          </w:p>
        </w:tc>
      </w:tr>
      <w:tr>
        <w:trPr>
          <w:cantSplit w:val="true"/>
        </w:trPr>
        <w:tc>
          <w:tcPr>
            <w:tcW w:type="dxa" w:w="720"/>
            <w:vAlign w:val="center"/>
            <w:tcMar>
              <w:top w:w="80" w:type="dxa"/>
              <w:start w:w="120" w:type="dxa"/>
              <w:bottom w:w="80" w:type="dxa"/>
              <w:end w:w="120" w:type="dxa"/>
            </w:tcMar>
            <w:shd w:fill="F8FAFC"/>
          </w:tcPr>
          <w:p>
            <w:pPr>
              <w:spacing w:before="0" w:after="40" w:line="259" w:lineRule="auto"/>
              <w:jc w:val="center"/>
            </w:pPr>
            <w:r>
              <w:rPr>
                <w:rFonts w:ascii="Calibri" w:hAnsi="Calibri" w:eastAsia="Arial Unicode MS"/>
                <w:b/>
                <w:color w:val="1F2937"/>
                <w:sz w:val="16"/>
              </w:rPr>
              <w:t>R-10</w:t>
            </w:r>
          </w:p>
        </w:tc>
        <w:tc>
          <w:tcPr>
            <w:tcW w:type="dxa" w:w="210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6"/>
              </w:rPr>
              <w:t>供应商形成技术锁定</w:t>
            </w:r>
          </w:p>
        </w:tc>
        <w:tc>
          <w:tcPr>
            <w:tcW w:type="dxa" w:w="72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6"/>
              </w:rPr>
              <w:t>中</w:t>
            </w:r>
          </w:p>
        </w:tc>
        <w:tc>
          <w:tcPr>
            <w:tcW w:type="dxa" w:w="72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6"/>
              </w:rPr>
              <w:t>中</w:t>
            </w:r>
          </w:p>
        </w:tc>
        <w:tc>
          <w:tcPr>
            <w:tcW w:type="dxa" w:w="360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6"/>
              </w:rPr>
              <w:t>源码/数据/接口/文档/退出条款</w:t>
            </w:r>
          </w:p>
        </w:tc>
        <w:tc>
          <w:tcPr>
            <w:tcW w:type="dxa" w:w="150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6"/>
              </w:rPr>
              <w:t>采购/技术负责人</w:t>
            </w:r>
          </w:p>
        </w:tc>
      </w:tr>
    </w:tbl>
    <w:p>
      <w:pPr>
        <w:spacing w:after="40"/>
      </w:pPr>
    </w:p>
    <w:p>
      <w:pPr>
        <w:pStyle w:val="Heading1"/>
        <w:keepNext w:val="1"/>
      </w:pPr>
      <w:r>
        <w:t>附件 H｜PRD 前决策与基线同步清单</w:t>
      </w:r>
    </w:p>
    <w:tbl>
      <w:tblPr>
        <w:tblW w:type="dxa" w:w="9360"/>
        <w:jc w:val="left"/>
        <w:tblLayout w:type="fixed"/>
        <w:tblLook w:firstColumn="1" w:firstRow="1" w:lastColumn="0" w:lastRow="0" w:noHBand="0" w:noVBand="1" w:val="04A0"/>
        <w:tblInd w:w="120" w:type="dxa"/>
        <w:tblBorders>
          <w:top w:val="single" w:sz="4" w:color="D7DEE8"/>
          <w:left w:val="single" w:sz="4" w:color="D7DEE8"/>
          <w:bottom w:val="single" w:sz="4" w:color="D7DEE8"/>
          <w:right w:val="single" w:sz="4" w:color="D7DEE8"/>
          <w:insideH w:val="single" w:sz="4" w:color="D7DEE8"/>
          <w:insideV w:val="single" w:sz="4" w:color="D7DEE8"/>
        </w:tblBorders>
      </w:tblPr>
      <w:tblGrid>
        <w:gridCol w:w="620"/>
        <w:gridCol w:w="620"/>
        <w:gridCol w:w="780"/>
        <w:gridCol w:w="1400"/>
        <w:gridCol w:w="2860"/>
        <w:gridCol w:w="1300"/>
        <w:gridCol w:w="1780"/>
      </w:tblGrid>
      <w:tr>
        <w:trPr>
          <w:tblHeader w:val="true"/>
          <w:cantSplit w:val="true"/>
        </w:trPr>
        <w:tc>
          <w:tcPr>
            <w:tcW w:type="dxa" w:w="620"/>
            <w:vAlign w:val="center"/>
            <w:tcMar>
              <w:top w:w="80" w:type="dxa"/>
              <w:start w:w="120" w:type="dxa"/>
              <w:bottom w:w="80" w:type="dxa"/>
              <w:end w:w="120" w:type="dxa"/>
            </w:tcMar>
            <w:shd w:fill="FFF8E8"/>
          </w:tcPr>
          <w:p>
            <w:pPr>
              <w:spacing w:before="0" w:after="40" w:line="259" w:lineRule="auto"/>
              <w:jc w:val="center"/>
            </w:pPr>
            <w:r>
              <w:rPr>
                <w:rFonts w:ascii="Calibri" w:hAnsi="Calibri" w:eastAsia="Arial Unicode MS"/>
                <w:b/>
                <w:color w:val="0B2545"/>
                <w:sz w:val="15"/>
              </w:rPr>
              <w:t>编号</w:t>
            </w:r>
          </w:p>
        </w:tc>
        <w:tc>
          <w:tcPr>
            <w:tcW w:type="dxa" w:w="620"/>
            <w:vAlign w:val="center"/>
            <w:tcMar>
              <w:top w:w="80" w:type="dxa"/>
              <w:start w:w="120" w:type="dxa"/>
              <w:bottom w:w="80" w:type="dxa"/>
              <w:end w:w="120" w:type="dxa"/>
            </w:tcMar>
            <w:shd w:fill="FFF8E8"/>
          </w:tcPr>
          <w:p>
            <w:pPr>
              <w:spacing w:before="0" w:after="40" w:line="259" w:lineRule="auto"/>
            </w:pPr>
            <w:r>
              <w:rPr>
                <w:rFonts w:ascii="Calibri" w:hAnsi="Calibri" w:eastAsia="Arial Unicode MS"/>
                <w:b/>
                <w:color w:val="0B2545"/>
                <w:sz w:val="15"/>
              </w:rPr>
              <w:t>优先级</w:t>
            </w:r>
          </w:p>
        </w:tc>
        <w:tc>
          <w:tcPr>
            <w:tcW w:type="dxa" w:w="780"/>
            <w:vAlign w:val="center"/>
            <w:tcMar>
              <w:top w:w="80" w:type="dxa"/>
              <w:start w:w="120" w:type="dxa"/>
              <w:bottom w:w="80" w:type="dxa"/>
              <w:end w:w="120" w:type="dxa"/>
            </w:tcMar>
            <w:shd w:fill="FFF8E8"/>
          </w:tcPr>
          <w:p>
            <w:pPr>
              <w:spacing w:before="0" w:after="40" w:line="259" w:lineRule="auto"/>
            </w:pPr>
            <w:r>
              <w:rPr>
                <w:rFonts w:ascii="Calibri" w:hAnsi="Calibri" w:eastAsia="Arial Unicode MS"/>
                <w:b/>
                <w:color w:val="0B2545"/>
                <w:sz w:val="15"/>
              </w:rPr>
              <w:t>单元</w:t>
            </w:r>
          </w:p>
        </w:tc>
        <w:tc>
          <w:tcPr>
            <w:tcW w:type="dxa" w:w="1400"/>
            <w:vAlign w:val="center"/>
            <w:tcMar>
              <w:top w:w="80" w:type="dxa"/>
              <w:start w:w="120" w:type="dxa"/>
              <w:bottom w:w="80" w:type="dxa"/>
              <w:end w:w="120" w:type="dxa"/>
            </w:tcMar>
            <w:shd w:fill="FFF8E8"/>
          </w:tcPr>
          <w:p>
            <w:pPr>
              <w:spacing w:before="0" w:after="40" w:line="259" w:lineRule="auto"/>
            </w:pPr>
            <w:r>
              <w:rPr>
                <w:rFonts w:ascii="Calibri" w:hAnsi="Calibri" w:eastAsia="Arial Unicode MS"/>
                <w:b/>
                <w:color w:val="0B2545"/>
                <w:sz w:val="15"/>
              </w:rPr>
              <w:t>主题</w:t>
            </w:r>
          </w:p>
        </w:tc>
        <w:tc>
          <w:tcPr>
            <w:tcW w:type="dxa" w:w="2860"/>
            <w:vAlign w:val="center"/>
            <w:tcMar>
              <w:top w:w="80" w:type="dxa"/>
              <w:start w:w="120" w:type="dxa"/>
              <w:bottom w:w="80" w:type="dxa"/>
              <w:end w:w="120" w:type="dxa"/>
            </w:tcMar>
            <w:shd w:fill="FFF8E8"/>
          </w:tcPr>
          <w:p>
            <w:pPr>
              <w:spacing w:before="0" w:after="40" w:line="259" w:lineRule="auto"/>
            </w:pPr>
            <w:r>
              <w:rPr>
                <w:rFonts w:ascii="Calibri" w:hAnsi="Calibri" w:eastAsia="Arial Unicode MS"/>
                <w:b/>
                <w:color w:val="0B2545"/>
                <w:sz w:val="15"/>
              </w:rPr>
              <w:t>待确认事项</w:t>
            </w:r>
          </w:p>
        </w:tc>
        <w:tc>
          <w:tcPr>
            <w:tcW w:type="dxa" w:w="1300"/>
            <w:vAlign w:val="center"/>
            <w:tcMar>
              <w:top w:w="80" w:type="dxa"/>
              <w:start w:w="120" w:type="dxa"/>
              <w:bottom w:w="80" w:type="dxa"/>
              <w:end w:w="120" w:type="dxa"/>
            </w:tcMar>
            <w:shd w:fill="FFF8E8"/>
          </w:tcPr>
          <w:p>
            <w:pPr>
              <w:spacing w:before="0" w:after="40" w:line="259" w:lineRule="auto"/>
            </w:pPr>
            <w:r>
              <w:rPr>
                <w:rFonts w:ascii="Calibri" w:hAnsi="Calibri" w:eastAsia="Arial Unicode MS"/>
                <w:b/>
                <w:color w:val="0B2545"/>
                <w:sz w:val="15"/>
              </w:rPr>
              <w:t>当前口径</w:t>
            </w:r>
          </w:p>
        </w:tc>
        <w:tc>
          <w:tcPr>
            <w:tcW w:type="dxa" w:w="1780"/>
            <w:vAlign w:val="center"/>
            <w:tcMar>
              <w:top w:w="80" w:type="dxa"/>
              <w:start w:w="120" w:type="dxa"/>
              <w:bottom w:w="80" w:type="dxa"/>
              <w:end w:w="120" w:type="dxa"/>
            </w:tcMar>
            <w:shd w:fill="FFF8E8"/>
          </w:tcPr>
          <w:p>
            <w:pPr>
              <w:spacing w:before="0" w:after="40" w:line="259" w:lineRule="auto"/>
            </w:pPr>
            <w:r>
              <w:rPr>
                <w:rFonts w:ascii="Calibri" w:hAnsi="Calibri" w:eastAsia="Arial Unicode MS"/>
                <w:b/>
                <w:color w:val="0B2545"/>
                <w:sz w:val="15"/>
              </w:rPr>
              <w:t>本方案建议</w:t>
            </w:r>
          </w:p>
        </w:tc>
      </w:tr>
      <w:tr>
        <w:trPr>
          <w:cantSplit w:val="true"/>
        </w:trPr>
        <w:tc>
          <w:tcPr>
            <w:tcW w:type="dxa" w:w="620"/>
            <w:vAlign w:val="center"/>
            <w:tcMar>
              <w:top w:w="80" w:type="dxa"/>
              <w:start w:w="120" w:type="dxa"/>
              <w:bottom w:w="80" w:type="dxa"/>
              <w:end w:w="120" w:type="dxa"/>
            </w:tcMar>
          </w:tcPr>
          <w:p>
            <w:pPr>
              <w:spacing w:before="0" w:after="40" w:line="259" w:lineRule="auto"/>
              <w:jc w:val="center"/>
            </w:pPr>
            <w:r>
              <w:rPr>
                <w:rFonts w:ascii="Calibri" w:hAnsi="Calibri" w:eastAsia="Arial Unicode MS"/>
                <w:b/>
                <w:color w:val="1F2937"/>
                <w:sz w:val="15"/>
              </w:rPr>
              <w:t>C-01</w:t>
            </w:r>
          </w:p>
        </w:tc>
        <w:tc>
          <w:tcPr>
            <w:tcW w:type="dxa" w:w="62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5"/>
              </w:rPr>
              <w:t>高</w:t>
            </w:r>
          </w:p>
        </w:tc>
        <w:tc>
          <w:tcPr>
            <w:tcW w:type="dxa" w:w="78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5"/>
              </w:rPr>
              <w:t>SU-02</w:t>
            </w:r>
          </w:p>
        </w:tc>
        <w:tc>
          <w:tcPr>
            <w:tcW w:type="dxa" w:w="140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5"/>
              </w:rPr>
              <w:t>销售立项与售前投入审批</w:t>
            </w:r>
          </w:p>
        </w:tc>
        <w:tc>
          <w:tcPr>
            <w:tcW w:type="dxa" w:w="286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5"/>
              </w:rPr>
              <w:t>明确A-D等级与销售立项阈值、投入金额/工时分级及审批链</w:t>
            </w:r>
          </w:p>
        </w:tc>
        <w:tc>
          <w:tcPr>
            <w:tcW w:type="dxa" w:w="130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5"/>
              </w:rPr>
              <w:t>待确认</w:t>
            </w:r>
          </w:p>
        </w:tc>
        <w:tc>
          <w:tcPr>
            <w:tcW w:type="dxa" w:w="178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5"/>
              </w:rPr>
              <w:t>P0 明确 A-D 与投入阈值、审批链</w:t>
            </w:r>
          </w:p>
        </w:tc>
      </w:tr>
      <w:tr>
        <w:trPr>
          <w:cantSplit w:val="true"/>
        </w:trPr>
        <w:tc>
          <w:tcPr>
            <w:tcW w:type="dxa" w:w="620"/>
            <w:vAlign w:val="center"/>
            <w:tcMar>
              <w:top w:w="80" w:type="dxa"/>
              <w:start w:w="120" w:type="dxa"/>
              <w:bottom w:w="80" w:type="dxa"/>
              <w:end w:w="120" w:type="dxa"/>
            </w:tcMar>
            <w:shd w:fill="F8FAFC"/>
          </w:tcPr>
          <w:p>
            <w:pPr>
              <w:spacing w:before="0" w:after="40" w:line="259" w:lineRule="auto"/>
              <w:jc w:val="center"/>
            </w:pPr>
            <w:r>
              <w:rPr>
                <w:rFonts w:ascii="Calibri" w:hAnsi="Calibri" w:eastAsia="Arial Unicode MS"/>
                <w:b/>
                <w:color w:val="1F2937"/>
                <w:sz w:val="15"/>
              </w:rPr>
              <w:t>C-02</w:t>
            </w:r>
          </w:p>
        </w:tc>
        <w:tc>
          <w:tcPr>
            <w:tcW w:type="dxa" w:w="62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5"/>
              </w:rPr>
              <w:t>高</w:t>
            </w:r>
          </w:p>
        </w:tc>
        <w:tc>
          <w:tcPr>
            <w:tcW w:type="dxa" w:w="78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5"/>
              </w:rPr>
              <w:t>SU-03</w:t>
            </w:r>
          </w:p>
        </w:tc>
        <w:tc>
          <w:tcPr>
            <w:tcW w:type="dxa" w:w="140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5"/>
              </w:rPr>
              <w:t>售前成本评估与投标协同</w:t>
            </w:r>
          </w:p>
        </w:tc>
        <w:tc>
          <w:tcPr>
            <w:tcW w:type="dxa" w:w="286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5"/>
              </w:rPr>
              <w:t>明确PMO在投标前是评审参与方、资源输出方还是仅接收交底</w:t>
            </w:r>
          </w:p>
        </w:tc>
        <w:tc>
          <w:tcPr>
            <w:tcW w:type="dxa" w:w="130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5"/>
              </w:rPr>
              <w:t>待确认</w:t>
            </w:r>
          </w:p>
        </w:tc>
        <w:tc>
          <w:tcPr>
            <w:tcW w:type="dxa" w:w="178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5"/>
              </w:rPr>
              <w:t>P0 明确 PMO 投标前参与角色</w:t>
            </w:r>
          </w:p>
        </w:tc>
      </w:tr>
      <w:tr>
        <w:trPr>
          <w:cantSplit w:val="true"/>
        </w:trPr>
        <w:tc>
          <w:tcPr>
            <w:tcW w:type="dxa" w:w="620"/>
            <w:vAlign w:val="center"/>
            <w:tcMar>
              <w:top w:w="80" w:type="dxa"/>
              <w:start w:w="120" w:type="dxa"/>
              <w:bottom w:w="80" w:type="dxa"/>
              <w:end w:w="120" w:type="dxa"/>
            </w:tcMar>
          </w:tcPr>
          <w:p>
            <w:pPr>
              <w:spacing w:before="0" w:after="40" w:line="259" w:lineRule="auto"/>
              <w:jc w:val="center"/>
            </w:pPr>
            <w:r>
              <w:rPr>
                <w:rFonts w:ascii="Calibri" w:hAnsi="Calibri" w:eastAsia="Arial Unicode MS"/>
                <w:b/>
                <w:color w:val="1F2937"/>
                <w:sz w:val="15"/>
              </w:rPr>
              <w:t>C-03</w:t>
            </w:r>
          </w:p>
        </w:tc>
        <w:tc>
          <w:tcPr>
            <w:tcW w:type="dxa" w:w="62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5"/>
              </w:rPr>
              <w:t>高</w:t>
            </w:r>
          </w:p>
        </w:tc>
        <w:tc>
          <w:tcPr>
            <w:tcW w:type="dxa" w:w="78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5"/>
              </w:rPr>
              <w:t>SU-05</w:t>
            </w:r>
          </w:p>
        </w:tc>
        <w:tc>
          <w:tcPr>
            <w:tcW w:type="dxa" w:w="140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5"/>
              </w:rPr>
              <w:t>提前开工例外管理</w:t>
            </w:r>
          </w:p>
        </w:tc>
        <w:tc>
          <w:tcPr>
            <w:tcW w:type="dxa" w:w="286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5"/>
              </w:rPr>
              <w:t>明确授权人、预算上限、有效期、停止条件及到期未转正处置</w:t>
            </w:r>
          </w:p>
        </w:tc>
        <w:tc>
          <w:tcPr>
            <w:tcW w:type="dxa" w:w="130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5"/>
              </w:rPr>
              <w:t>待确认</w:t>
            </w:r>
          </w:p>
        </w:tc>
        <w:tc>
          <w:tcPr>
            <w:tcW w:type="dxa" w:w="178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5"/>
              </w:rPr>
              <w:t>P0 明确授权人、预算、期限与停止条件</w:t>
            </w:r>
          </w:p>
        </w:tc>
      </w:tr>
      <w:tr>
        <w:trPr>
          <w:cantSplit w:val="true"/>
        </w:trPr>
        <w:tc>
          <w:tcPr>
            <w:tcW w:type="dxa" w:w="620"/>
            <w:vAlign w:val="center"/>
            <w:tcMar>
              <w:top w:w="80" w:type="dxa"/>
              <w:start w:w="120" w:type="dxa"/>
              <w:bottom w:w="80" w:type="dxa"/>
              <w:end w:w="120" w:type="dxa"/>
            </w:tcMar>
            <w:shd w:fill="F8FAFC"/>
          </w:tcPr>
          <w:p>
            <w:pPr>
              <w:spacing w:before="0" w:after="40" w:line="259" w:lineRule="auto"/>
              <w:jc w:val="center"/>
            </w:pPr>
            <w:r>
              <w:rPr>
                <w:rFonts w:ascii="Calibri" w:hAnsi="Calibri" w:eastAsia="Arial Unicode MS"/>
                <w:b/>
                <w:color w:val="1F2937"/>
                <w:sz w:val="15"/>
              </w:rPr>
              <w:t>C-04</w:t>
            </w:r>
          </w:p>
        </w:tc>
        <w:tc>
          <w:tcPr>
            <w:tcW w:type="dxa" w:w="62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5"/>
              </w:rPr>
              <w:t>中</w:t>
            </w:r>
          </w:p>
        </w:tc>
        <w:tc>
          <w:tcPr>
            <w:tcW w:type="dxa" w:w="78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5"/>
              </w:rPr>
              <w:t>SU-06</w:t>
            </w:r>
          </w:p>
        </w:tc>
        <w:tc>
          <w:tcPr>
            <w:tcW w:type="dxa" w:w="140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5"/>
              </w:rPr>
              <w:t>项目结构与工作包配置</w:t>
            </w:r>
          </w:p>
        </w:tc>
        <w:tc>
          <w:tcPr>
            <w:tcW w:type="dxa" w:w="286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5"/>
              </w:rPr>
              <w:t>明确多现场、多设备情况下的交付对象，以及专业工作包启用和关闭条件</w:t>
            </w:r>
          </w:p>
        </w:tc>
        <w:tc>
          <w:tcPr>
            <w:tcW w:type="dxa" w:w="130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5"/>
              </w:rPr>
              <w:t>部分已明确</w:t>
            </w:r>
          </w:p>
        </w:tc>
        <w:tc>
          <w:tcPr>
            <w:tcW w:type="dxa" w:w="178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5"/>
              </w:rPr>
              <w:t>沿用交付单元/无批次口径；补充启停规则</w:t>
            </w:r>
          </w:p>
        </w:tc>
      </w:tr>
      <w:tr>
        <w:trPr>
          <w:cantSplit w:val="true"/>
        </w:trPr>
        <w:tc>
          <w:tcPr>
            <w:tcW w:type="dxa" w:w="620"/>
            <w:vAlign w:val="center"/>
            <w:tcMar>
              <w:top w:w="80" w:type="dxa"/>
              <w:start w:w="120" w:type="dxa"/>
              <w:bottom w:w="80" w:type="dxa"/>
              <w:end w:w="120" w:type="dxa"/>
            </w:tcMar>
          </w:tcPr>
          <w:p>
            <w:pPr>
              <w:spacing w:before="0" w:after="40" w:line="259" w:lineRule="auto"/>
              <w:jc w:val="center"/>
            </w:pPr>
            <w:r>
              <w:rPr>
                <w:rFonts w:ascii="Calibri" w:hAnsi="Calibri" w:eastAsia="Arial Unicode MS"/>
                <w:b/>
                <w:color w:val="1F2937"/>
                <w:sz w:val="15"/>
              </w:rPr>
              <w:t>C-05</w:t>
            </w:r>
          </w:p>
        </w:tc>
        <w:tc>
          <w:tcPr>
            <w:tcW w:type="dxa" w:w="62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5"/>
              </w:rPr>
              <w:t>高</w:t>
            </w:r>
          </w:p>
        </w:tc>
        <w:tc>
          <w:tcPr>
            <w:tcW w:type="dxa" w:w="78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5"/>
              </w:rPr>
              <w:t>SU-10</w:t>
            </w:r>
          </w:p>
        </w:tc>
        <w:tc>
          <w:tcPr>
            <w:tcW w:type="dxa" w:w="140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5"/>
              </w:rPr>
              <w:t>实施预算基线与审批</w:t>
            </w:r>
          </w:p>
        </w:tc>
        <w:tc>
          <w:tcPr>
            <w:tcW w:type="dxa" w:w="286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5"/>
              </w:rPr>
              <w:t>统一预算表单、编制责任、审批链，并定义首台套/海外项目延迟基线</w:t>
            </w:r>
          </w:p>
        </w:tc>
        <w:tc>
          <w:tcPr>
            <w:tcW w:type="dxa" w:w="130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5"/>
              </w:rPr>
              <w:t>待确认</w:t>
            </w:r>
          </w:p>
        </w:tc>
        <w:tc>
          <w:tcPr>
            <w:tcW w:type="dxa" w:w="178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5"/>
              </w:rPr>
              <w:t>统一预算模板、责任、审批和特殊项目规则</w:t>
            </w:r>
          </w:p>
        </w:tc>
      </w:tr>
      <w:tr>
        <w:trPr>
          <w:cantSplit w:val="true"/>
        </w:trPr>
        <w:tc>
          <w:tcPr>
            <w:tcW w:type="dxa" w:w="620"/>
            <w:vAlign w:val="center"/>
            <w:tcMar>
              <w:top w:w="80" w:type="dxa"/>
              <w:start w:w="120" w:type="dxa"/>
              <w:bottom w:w="80" w:type="dxa"/>
              <w:end w:w="120" w:type="dxa"/>
            </w:tcMar>
            <w:shd w:fill="F8FAFC"/>
          </w:tcPr>
          <w:p>
            <w:pPr>
              <w:spacing w:before="0" w:after="40" w:line="259" w:lineRule="auto"/>
              <w:jc w:val="center"/>
            </w:pPr>
            <w:r>
              <w:rPr>
                <w:rFonts w:ascii="Calibri" w:hAnsi="Calibri" w:eastAsia="Arial Unicode MS"/>
                <w:b/>
                <w:color w:val="1F2937"/>
                <w:sz w:val="15"/>
              </w:rPr>
              <w:t>C-06</w:t>
            </w:r>
          </w:p>
        </w:tc>
        <w:tc>
          <w:tcPr>
            <w:tcW w:type="dxa" w:w="62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5"/>
              </w:rPr>
              <w:t>高</w:t>
            </w:r>
          </w:p>
        </w:tc>
        <w:tc>
          <w:tcPr>
            <w:tcW w:type="dxa" w:w="78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5"/>
              </w:rPr>
              <w:t>SU-12</w:t>
            </w:r>
          </w:p>
        </w:tc>
        <w:tc>
          <w:tcPr>
            <w:tcW w:type="dxa" w:w="140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5"/>
              </w:rPr>
              <w:t>专业设计与设计评审</w:t>
            </w:r>
          </w:p>
        </w:tc>
        <w:tc>
          <w:tcPr>
            <w:tcW w:type="dxa" w:w="286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5"/>
              </w:rPr>
              <w:t>确认机械/电气/软件设计分类、评审委员会角色、外部确认和设计返工规则</w:t>
            </w:r>
          </w:p>
        </w:tc>
        <w:tc>
          <w:tcPr>
            <w:tcW w:type="dxa" w:w="130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5"/>
              </w:rPr>
              <w:t>待确认</w:t>
            </w:r>
          </w:p>
        </w:tc>
        <w:tc>
          <w:tcPr>
            <w:tcW w:type="dxa" w:w="178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5"/>
              </w:rPr>
              <w:t>按设计基线口径明确分类、评审和返工规则</w:t>
            </w:r>
          </w:p>
        </w:tc>
      </w:tr>
      <w:tr>
        <w:trPr>
          <w:cantSplit w:val="true"/>
        </w:trPr>
        <w:tc>
          <w:tcPr>
            <w:tcW w:type="dxa" w:w="620"/>
            <w:vAlign w:val="center"/>
            <w:tcMar>
              <w:top w:w="80" w:type="dxa"/>
              <w:start w:w="120" w:type="dxa"/>
              <w:bottom w:w="80" w:type="dxa"/>
              <w:end w:w="120" w:type="dxa"/>
            </w:tcMar>
          </w:tcPr>
          <w:p>
            <w:pPr>
              <w:spacing w:before="0" w:after="40" w:line="259" w:lineRule="auto"/>
              <w:jc w:val="center"/>
            </w:pPr>
            <w:r>
              <w:rPr>
                <w:rFonts w:ascii="Calibri" w:hAnsi="Calibri" w:eastAsia="Arial Unicode MS"/>
                <w:b/>
                <w:color w:val="1F2937"/>
                <w:sz w:val="15"/>
              </w:rPr>
              <w:t>C-07</w:t>
            </w:r>
          </w:p>
        </w:tc>
        <w:tc>
          <w:tcPr>
            <w:tcW w:type="dxa" w:w="62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5"/>
              </w:rPr>
              <w:t>中</w:t>
            </w:r>
          </w:p>
        </w:tc>
        <w:tc>
          <w:tcPr>
            <w:tcW w:type="dxa" w:w="78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5"/>
              </w:rPr>
              <w:t>SU-17</w:t>
            </w:r>
          </w:p>
        </w:tc>
        <w:tc>
          <w:tcPr>
            <w:tcW w:type="dxa" w:w="140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5"/>
              </w:rPr>
              <w:t>分级调试与验证</w:t>
            </w:r>
          </w:p>
        </w:tc>
        <w:tc>
          <w:tcPr>
            <w:tcW w:type="dxa" w:w="286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5"/>
              </w:rPr>
              <w:t>明确远程手动、半自动、自动、全流程ECS的启用/跳过条件及安全培训有效期</w:t>
            </w:r>
          </w:p>
        </w:tc>
        <w:tc>
          <w:tcPr>
            <w:tcW w:type="dxa" w:w="130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5"/>
              </w:rPr>
              <w:t>待确认</w:t>
            </w:r>
          </w:p>
        </w:tc>
        <w:tc>
          <w:tcPr>
            <w:tcW w:type="dxa" w:w="178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5"/>
              </w:rPr>
              <w:t>明确调试等级启用/跳过与培训有效期</w:t>
            </w:r>
          </w:p>
        </w:tc>
      </w:tr>
      <w:tr>
        <w:trPr>
          <w:cantSplit w:val="true"/>
        </w:trPr>
        <w:tc>
          <w:tcPr>
            <w:tcW w:type="dxa" w:w="620"/>
            <w:vAlign w:val="center"/>
            <w:tcMar>
              <w:top w:w="80" w:type="dxa"/>
              <w:start w:w="120" w:type="dxa"/>
              <w:bottom w:w="80" w:type="dxa"/>
              <w:end w:w="120" w:type="dxa"/>
            </w:tcMar>
            <w:shd w:fill="F8FAFC"/>
          </w:tcPr>
          <w:p>
            <w:pPr>
              <w:spacing w:before="0" w:after="40" w:line="259" w:lineRule="auto"/>
              <w:jc w:val="center"/>
            </w:pPr>
            <w:r>
              <w:rPr>
                <w:rFonts w:ascii="Calibri" w:hAnsi="Calibri" w:eastAsia="Arial Unicode MS"/>
                <w:b/>
                <w:color w:val="1F2937"/>
                <w:sz w:val="15"/>
              </w:rPr>
              <w:t>C-08</w:t>
            </w:r>
          </w:p>
        </w:tc>
        <w:tc>
          <w:tcPr>
            <w:tcW w:type="dxa" w:w="62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5"/>
              </w:rPr>
              <w:t>高</w:t>
            </w:r>
          </w:p>
        </w:tc>
        <w:tc>
          <w:tcPr>
            <w:tcW w:type="dxa" w:w="78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5"/>
              </w:rPr>
              <w:t>SU-22</w:t>
            </w:r>
          </w:p>
        </w:tc>
        <w:tc>
          <w:tcPr>
            <w:tcW w:type="dxa" w:w="140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5"/>
              </w:rPr>
              <w:t>项目日报与周报</w:t>
            </w:r>
          </w:p>
        </w:tc>
        <w:tc>
          <w:tcPr>
            <w:tcW w:type="dxa" w:w="286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5"/>
              </w:rPr>
              <w:t>按现状修订：项目经理形成日报汇总，成员通过任务反馈/周报提供数据</w:t>
            </w:r>
          </w:p>
        </w:tc>
        <w:tc>
          <w:tcPr>
            <w:tcW w:type="dxa" w:w="130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5"/>
              </w:rPr>
              <w:t>BRD V0.2 已明确</w:t>
            </w:r>
          </w:p>
        </w:tc>
        <w:tc>
          <w:tcPr>
            <w:tcW w:type="dxa" w:w="178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5"/>
              </w:rPr>
              <w:t>按项目经理日报、成员任务反馈/周度确认落地</w:t>
            </w:r>
          </w:p>
        </w:tc>
      </w:tr>
      <w:tr>
        <w:trPr>
          <w:cantSplit w:val="true"/>
        </w:trPr>
        <w:tc>
          <w:tcPr>
            <w:tcW w:type="dxa" w:w="620"/>
            <w:vAlign w:val="center"/>
            <w:tcMar>
              <w:top w:w="80" w:type="dxa"/>
              <w:start w:w="120" w:type="dxa"/>
              <w:bottom w:w="80" w:type="dxa"/>
              <w:end w:w="120" w:type="dxa"/>
            </w:tcMar>
          </w:tcPr>
          <w:p>
            <w:pPr>
              <w:spacing w:before="0" w:after="40" w:line="259" w:lineRule="auto"/>
              <w:jc w:val="center"/>
            </w:pPr>
            <w:r>
              <w:rPr>
                <w:rFonts w:ascii="Calibri" w:hAnsi="Calibri" w:eastAsia="Arial Unicode MS"/>
                <w:b/>
                <w:color w:val="1F2937"/>
                <w:sz w:val="15"/>
              </w:rPr>
              <w:t>C-09</w:t>
            </w:r>
          </w:p>
        </w:tc>
        <w:tc>
          <w:tcPr>
            <w:tcW w:type="dxa" w:w="62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5"/>
              </w:rPr>
              <w:t>中</w:t>
            </w:r>
          </w:p>
        </w:tc>
        <w:tc>
          <w:tcPr>
            <w:tcW w:type="dxa" w:w="78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5"/>
              </w:rPr>
              <w:t>SU-23</w:t>
            </w:r>
          </w:p>
        </w:tc>
        <w:tc>
          <w:tcPr>
            <w:tcW w:type="dxa" w:w="140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5"/>
              </w:rPr>
              <w:t>事项闭环中心</w:t>
            </w:r>
          </w:p>
        </w:tc>
        <w:tc>
          <w:tcPr>
            <w:tcW w:type="dxa" w:w="286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5"/>
              </w:rPr>
              <w:t>统一问题、风险、变更、安全的基础字段，同时明确各自权限、审批和关闭标准</w:t>
            </w:r>
          </w:p>
        </w:tc>
        <w:tc>
          <w:tcPr>
            <w:tcW w:type="dxa" w:w="130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5"/>
              </w:rPr>
              <w:t>待确认</w:t>
            </w:r>
          </w:p>
        </w:tc>
        <w:tc>
          <w:tcPr>
            <w:tcW w:type="dxa" w:w="178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5"/>
              </w:rPr>
              <w:t>统一闭环引擎，分别配置权限与关闭标准</w:t>
            </w:r>
          </w:p>
        </w:tc>
      </w:tr>
      <w:tr>
        <w:trPr>
          <w:cantSplit w:val="true"/>
        </w:trPr>
        <w:tc>
          <w:tcPr>
            <w:tcW w:type="dxa" w:w="620"/>
            <w:vAlign w:val="center"/>
            <w:tcMar>
              <w:top w:w="80" w:type="dxa"/>
              <w:start w:w="120" w:type="dxa"/>
              <w:bottom w:w="80" w:type="dxa"/>
              <w:end w:w="120" w:type="dxa"/>
            </w:tcMar>
            <w:shd w:fill="F8FAFC"/>
          </w:tcPr>
          <w:p>
            <w:pPr>
              <w:spacing w:before="0" w:after="40" w:line="259" w:lineRule="auto"/>
              <w:jc w:val="center"/>
            </w:pPr>
            <w:r>
              <w:rPr>
                <w:rFonts w:ascii="Calibri" w:hAnsi="Calibri" w:eastAsia="Arial Unicode MS"/>
                <w:b/>
                <w:color w:val="1F2937"/>
                <w:sz w:val="15"/>
              </w:rPr>
              <w:t>C-10</w:t>
            </w:r>
          </w:p>
        </w:tc>
        <w:tc>
          <w:tcPr>
            <w:tcW w:type="dxa" w:w="62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5"/>
              </w:rPr>
              <w:t>中</w:t>
            </w:r>
          </w:p>
        </w:tc>
        <w:tc>
          <w:tcPr>
            <w:tcW w:type="dxa" w:w="78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5"/>
              </w:rPr>
              <w:t>SU-26</w:t>
            </w:r>
          </w:p>
        </w:tc>
        <w:tc>
          <w:tcPr>
            <w:tcW w:type="dxa" w:w="140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5"/>
              </w:rPr>
              <w:t>绩效证据快照</w:t>
            </w:r>
          </w:p>
        </w:tc>
        <w:tc>
          <w:tcPr>
            <w:tcW w:type="dxa" w:w="286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5"/>
              </w:rPr>
              <w:t>明确KPI与OKR适用角色、评价周期、人工调整权限；系统先提供证据而非自动评分</w:t>
            </w:r>
          </w:p>
        </w:tc>
        <w:tc>
          <w:tcPr>
            <w:tcW w:type="dxa" w:w="130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5"/>
              </w:rPr>
              <w:t>待确认</w:t>
            </w:r>
          </w:p>
        </w:tc>
        <w:tc>
          <w:tcPr>
            <w:tcW w:type="dxa" w:w="178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5"/>
              </w:rPr>
              <w:t>先做证据快照，不做自动评分</w:t>
            </w:r>
          </w:p>
        </w:tc>
      </w:tr>
    </w:tbl>
    <w:p>
      <w:pPr>
        <w:spacing w:after="40"/>
      </w:pPr>
    </w:p>
    <w:p>
      <w:pPr>
        <w:pStyle w:val="Heading1"/>
        <w:keepNext w:val="1"/>
      </w:pPr>
      <w:r>
        <w:t>附件 I｜来源优先级与结构化附件</w:t>
      </w:r>
    </w:p>
    <w:tbl>
      <w:tblPr>
        <w:tblW w:type="dxa" w:w="9360"/>
        <w:jc w:val="left"/>
        <w:tblLayout w:type="fixed"/>
        <w:tblLook w:firstColumn="1" w:firstRow="1" w:lastColumn="0" w:lastRow="0" w:noHBand="0" w:noVBand="1" w:val="04A0"/>
        <w:tblInd w:w="120" w:type="dxa"/>
        <w:tblBorders>
          <w:top w:val="single" w:sz="4" w:color="D7DEE8"/>
          <w:left w:val="single" w:sz="4" w:color="D7DEE8"/>
          <w:bottom w:val="single" w:sz="4" w:color="D7DEE8"/>
          <w:right w:val="single" w:sz="4" w:color="D7DEE8"/>
          <w:insideH w:val="single" w:sz="4" w:color="D7DEE8"/>
          <w:insideV w:val="single" w:sz="4" w:color="D7DEE8"/>
        </w:tblBorders>
      </w:tblPr>
      <w:tblGrid>
        <w:gridCol w:w="750"/>
        <w:gridCol w:w="3500"/>
        <w:gridCol w:w="1800"/>
        <w:gridCol w:w="3310"/>
      </w:tblGrid>
      <w:tr>
        <w:trPr>
          <w:tblHeader w:val="true"/>
          <w:cantSplit w:val="true"/>
        </w:trPr>
        <w:tc>
          <w:tcPr>
            <w:tcW w:type="dxa" w:w="750"/>
            <w:vAlign w:val="center"/>
            <w:tcMar>
              <w:top w:w="80" w:type="dxa"/>
              <w:start w:w="120" w:type="dxa"/>
              <w:bottom w:w="80" w:type="dxa"/>
              <w:end w:w="120" w:type="dxa"/>
            </w:tcMar>
            <w:shd w:fill="EEF4FF"/>
          </w:tcPr>
          <w:p>
            <w:pPr>
              <w:spacing w:before="0" w:after="40" w:line="259" w:lineRule="auto"/>
              <w:jc w:val="center"/>
            </w:pPr>
            <w:r>
              <w:rPr>
                <w:rFonts w:ascii="Calibri" w:hAnsi="Calibri" w:eastAsia="Arial Unicode MS"/>
                <w:b/>
                <w:color w:val="0B2545"/>
                <w:sz w:val="17"/>
              </w:rPr>
              <w:t>优先级</w:t>
            </w:r>
          </w:p>
        </w:tc>
        <w:tc>
          <w:tcPr>
            <w:tcW w:type="dxa" w:w="3500"/>
            <w:vAlign w:val="center"/>
            <w:tcMar>
              <w:top w:w="80" w:type="dxa"/>
              <w:start w:w="120" w:type="dxa"/>
              <w:bottom w:w="80" w:type="dxa"/>
              <w:end w:w="120" w:type="dxa"/>
            </w:tcMar>
            <w:shd w:fill="EEF4FF"/>
          </w:tcPr>
          <w:p>
            <w:pPr>
              <w:spacing w:before="0" w:after="40" w:line="259" w:lineRule="auto"/>
            </w:pPr>
            <w:r>
              <w:rPr>
                <w:rFonts w:ascii="Calibri" w:hAnsi="Calibri" w:eastAsia="Arial Unicode MS"/>
                <w:b/>
                <w:color w:val="0B2545"/>
                <w:sz w:val="17"/>
              </w:rPr>
              <w:t>资料</w:t>
            </w:r>
          </w:p>
        </w:tc>
        <w:tc>
          <w:tcPr>
            <w:tcW w:type="dxa" w:w="1800"/>
            <w:vAlign w:val="center"/>
            <w:tcMar>
              <w:top w:w="80" w:type="dxa"/>
              <w:start w:w="120" w:type="dxa"/>
              <w:bottom w:w="80" w:type="dxa"/>
              <w:end w:w="120" w:type="dxa"/>
            </w:tcMar>
            <w:shd w:fill="EEF4FF"/>
          </w:tcPr>
          <w:p>
            <w:pPr>
              <w:spacing w:before="0" w:after="40" w:line="259" w:lineRule="auto"/>
            </w:pPr>
            <w:r>
              <w:rPr>
                <w:rFonts w:ascii="Calibri" w:hAnsi="Calibri" w:eastAsia="Arial Unicode MS"/>
                <w:b/>
                <w:color w:val="0B2545"/>
                <w:sz w:val="17"/>
              </w:rPr>
              <w:t>职责</w:t>
            </w:r>
          </w:p>
        </w:tc>
        <w:tc>
          <w:tcPr>
            <w:tcW w:type="dxa" w:w="3310"/>
            <w:vAlign w:val="center"/>
            <w:tcMar>
              <w:top w:w="80" w:type="dxa"/>
              <w:start w:w="120" w:type="dxa"/>
              <w:bottom w:w="80" w:type="dxa"/>
              <w:end w:w="120" w:type="dxa"/>
            </w:tcMar>
            <w:shd w:fill="EEF4FF"/>
          </w:tcPr>
          <w:p>
            <w:pPr>
              <w:spacing w:before="0" w:after="40" w:line="259" w:lineRule="auto"/>
            </w:pPr>
            <w:r>
              <w:rPr>
                <w:rFonts w:ascii="Calibri" w:hAnsi="Calibri" w:eastAsia="Arial Unicode MS"/>
                <w:b/>
                <w:color w:val="0B2545"/>
                <w:sz w:val="17"/>
              </w:rPr>
              <w:t>主要内容</w:t>
            </w:r>
          </w:p>
        </w:tc>
      </w:tr>
      <w:tr>
        <w:trPr>
          <w:cantSplit w:val="true"/>
        </w:trPr>
        <w:tc>
          <w:tcPr>
            <w:tcW w:type="dxa" w:w="750"/>
            <w:vAlign w:val="center"/>
            <w:tcMar>
              <w:top w:w="80" w:type="dxa"/>
              <w:start w:w="120" w:type="dxa"/>
              <w:bottom w:w="80" w:type="dxa"/>
              <w:end w:w="120" w:type="dxa"/>
            </w:tcMar>
          </w:tcPr>
          <w:p>
            <w:pPr>
              <w:spacing w:before="0" w:after="40" w:line="259" w:lineRule="auto"/>
              <w:jc w:val="center"/>
            </w:pPr>
            <w:r>
              <w:rPr>
                <w:rFonts w:ascii="Calibri" w:hAnsi="Calibri" w:eastAsia="Arial Unicode MS"/>
                <w:b/>
                <w:color w:val="1F2937"/>
                <w:sz w:val="17"/>
              </w:rPr>
              <w:t>1</w:t>
            </w:r>
          </w:p>
        </w:tc>
        <w:tc>
          <w:tcPr>
            <w:tcW w:type="dxa" w:w="350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7"/>
              </w:rPr>
              <w:t>BRD V0.2 + 图形化业务需求蓝图</w:t>
            </w:r>
          </w:p>
        </w:tc>
        <w:tc>
          <w:tcPr>
            <w:tcW w:type="dxa" w:w="180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7"/>
              </w:rPr>
              <w:t>最高业务事实</w:t>
            </w:r>
          </w:p>
        </w:tc>
        <w:tc>
          <w:tcPr>
            <w:tcW w:type="dxa" w:w="331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7"/>
              </w:rPr>
              <w:t>对象、流程、权责、边界、MVP 与验收</w:t>
            </w:r>
          </w:p>
        </w:tc>
      </w:tr>
      <w:tr>
        <w:trPr>
          <w:cantSplit w:val="true"/>
        </w:trPr>
        <w:tc>
          <w:tcPr>
            <w:tcW w:type="dxa" w:w="750"/>
            <w:vAlign w:val="center"/>
            <w:tcMar>
              <w:top w:w="80" w:type="dxa"/>
              <w:start w:w="120" w:type="dxa"/>
              <w:bottom w:w="80" w:type="dxa"/>
              <w:end w:w="120" w:type="dxa"/>
            </w:tcMar>
            <w:shd w:fill="F8FAFC"/>
          </w:tcPr>
          <w:p>
            <w:pPr>
              <w:spacing w:before="0" w:after="40" w:line="259" w:lineRule="auto"/>
              <w:jc w:val="center"/>
            </w:pPr>
            <w:r>
              <w:rPr>
                <w:rFonts w:ascii="Calibri" w:hAnsi="Calibri" w:eastAsia="Arial Unicode MS"/>
                <w:b/>
                <w:color w:val="1F2937"/>
                <w:sz w:val="17"/>
              </w:rPr>
              <w:t>2</w:t>
            </w:r>
          </w:p>
        </w:tc>
        <w:tc>
          <w:tcPr>
            <w:tcW w:type="dxa" w:w="350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7"/>
              </w:rPr>
              <w:t>规定动作与成果物主清单 V0.2（读者版）</w:t>
            </w:r>
          </w:p>
        </w:tc>
        <w:tc>
          <w:tcPr>
            <w:tcW w:type="dxa" w:w="180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7"/>
              </w:rPr>
              <w:t>控制点事实</w:t>
            </w:r>
          </w:p>
        </w:tc>
        <w:tc>
          <w:tcPr>
            <w:tcW w:type="dxa" w:w="331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7"/>
              </w:rPr>
              <w:t>100 项动作、成果、责任、模板适用与制度状态</w:t>
            </w:r>
          </w:p>
        </w:tc>
      </w:tr>
      <w:tr>
        <w:trPr>
          <w:cantSplit w:val="true"/>
        </w:trPr>
        <w:tc>
          <w:tcPr>
            <w:tcW w:type="dxa" w:w="750"/>
            <w:vAlign w:val="center"/>
            <w:tcMar>
              <w:top w:w="80" w:type="dxa"/>
              <w:start w:w="120" w:type="dxa"/>
              <w:bottom w:w="80" w:type="dxa"/>
              <w:end w:w="120" w:type="dxa"/>
            </w:tcMar>
          </w:tcPr>
          <w:p>
            <w:pPr>
              <w:spacing w:before="0" w:after="40" w:line="259" w:lineRule="auto"/>
              <w:jc w:val="center"/>
            </w:pPr>
            <w:r>
              <w:rPr>
                <w:rFonts w:ascii="Calibri" w:hAnsi="Calibri" w:eastAsia="Arial Unicode MS"/>
                <w:b/>
                <w:color w:val="1F2937"/>
                <w:sz w:val="17"/>
              </w:rPr>
              <w:t>3</w:t>
            </w:r>
          </w:p>
        </w:tc>
        <w:tc>
          <w:tcPr>
            <w:tcW w:type="dxa" w:w="350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7"/>
              </w:rPr>
              <w:t>规定动作系统归并映射 V0.1</w:t>
            </w:r>
          </w:p>
        </w:tc>
        <w:tc>
          <w:tcPr>
            <w:tcW w:type="dxa" w:w="180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7"/>
              </w:rPr>
              <w:t>系统范围与追溯</w:t>
            </w:r>
          </w:p>
        </w:tc>
        <w:tc>
          <w:tcPr>
            <w:tcW w:type="dxa" w:w="331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7"/>
              </w:rPr>
              <w:t>26 个系统单元、逐项映射、归并规则与待确认事项</w:t>
            </w:r>
          </w:p>
        </w:tc>
      </w:tr>
      <w:tr>
        <w:trPr>
          <w:cantSplit w:val="true"/>
        </w:trPr>
        <w:tc>
          <w:tcPr>
            <w:tcW w:type="dxa" w:w="750"/>
            <w:vAlign w:val="center"/>
            <w:tcMar>
              <w:top w:w="80" w:type="dxa"/>
              <w:start w:w="120" w:type="dxa"/>
              <w:bottom w:w="80" w:type="dxa"/>
              <w:end w:w="120" w:type="dxa"/>
            </w:tcMar>
            <w:shd w:fill="F8FAFC"/>
          </w:tcPr>
          <w:p>
            <w:pPr>
              <w:spacing w:before="0" w:after="40" w:line="259" w:lineRule="auto"/>
              <w:jc w:val="center"/>
            </w:pPr>
            <w:r>
              <w:rPr>
                <w:rFonts w:ascii="Calibri" w:hAnsi="Calibri" w:eastAsia="Arial Unicode MS"/>
                <w:b/>
                <w:color w:val="1F2937"/>
                <w:sz w:val="17"/>
              </w:rPr>
              <w:t>4</w:t>
            </w:r>
          </w:p>
        </w:tc>
        <w:tc>
          <w:tcPr>
            <w:tcW w:type="dxa" w:w="350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7"/>
              </w:rPr>
              <w:t>本建设方案 V0.1</w:t>
            </w:r>
          </w:p>
        </w:tc>
        <w:tc>
          <w:tcPr>
            <w:tcW w:type="dxa" w:w="180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7"/>
              </w:rPr>
              <w:t>建设执行基线</w:t>
            </w:r>
          </w:p>
        </w:tc>
        <w:tc>
          <w:tcPr>
            <w:tcW w:type="dxa" w:w="3310"/>
            <w:vAlign w:val="center"/>
            <w:tcMar>
              <w:top w:w="80" w:type="dxa"/>
              <w:start w:w="120" w:type="dxa"/>
              <w:bottom w:w="80" w:type="dxa"/>
              <w:end w:w="120" w:type="dxa"/>
            </w:tcMar>
            <w:shd w:fill="F8FAFC"/>
          </w:tcPr>
          <w:p>
            <w:pPr>
              <w:spacing w:before="0" w:after="40" w:line="259" w:lineRule="auto"/>
            </w:pPr>
            <w:r>
              <w:rPr>
                <w:rFonts w:ascii="Calibri" w:hAnsi="Calibri" w:eastAsia="Arial Unicode MS"/>
                <w:b w:val="0"/>
                <w:color w:val="1F2937"/>
                <w:sz w:val="17"/>
              </w:rPr>
              <w:t>范围、路线、组织、投入、迁移、试点与验收</w:t>
            </w:r>
          </w:p>
        </w:tc>
      </w:tr>
      <w:tr>
        <w:trPr>
          <w:cantSplit w:val="true"/>
        </w:trPr>
        <w:tc>
          <w:tcPr>
            <w:tcW w:type="dxa" w:w="750"/>
            <w:vAlign w:val="center"/>
            <w:tcMar>
              <w:top w:w="80" w:type="dxa"/>
              <w:start w:w="120" w:type="dxa"/>
              <w:bottom w:w="80" w:type="dxa"/>
              <w:end w:w="120" w:type="dxa"/>
            </w:tcMar>
          </w:tcPr>
          <w:p>
            <w:pPr>
              <w:spacing w:before="0" w:after="40" w:line="259" w:lineRule="auto"/>
              <w:jc w:val="center"/>
            </w:pPr>
            <w:r>
              <w:rPr>
                <w:rFonts w:ascii="Calibri" w:hAnsi="Calibri" w:eastAsia="Arial Unicode MS"/>
                <w:b/>
                <w:color w:val="1F2937"/>
                <w:sz w:val="17"/>
              </w:rPr>
              <w:t>5</w:t>
            </w:r>
          </w:p>
        </w:tc>
        <w:tc>
          <w:tcPr>
            <w:tcW w:type="dxa" w:w="350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7"/>
              </w:rPr>
              <w:t>后续项目级 PRD / 技术方案</w:t>
            </w:r>
          </w:p>
        </w:tc>
        <w:tc>
          <w:tcPr>
            <w:tcW w:type="dxa" w:w="180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7"/>
              </w:rPr>
              <w:t>详细设计基线</w:t>
            </w:r>
          </w:p>
        </w:tc>
        <w:tc>
          <w:tcPr>
            <w:tcW w:type="dxa" w:w="3310"/>
            <w:vAlign w:val="center"/>
            <w:tcMar>
              <w:top w:w="80" w:type="dxa"/>
              <w:start w:w="120" w:type="dxa"/>
              <w:bottom w:w="80" w:type="dxa"/>
              <w:end w:w="120" w:type="dxa"/>
            </w:tcMar>
          </w:tcPr>
          <w:p>
            <w:pPr>
              <w:spacing w:before="0" w:after="40" w:line="259" w:lineRule="auto"/>
            </w:pPr>
            <w:r>
              <w:rPr>
                <w:rFonts w:ascii="Calibri" w:hAnsi="Calibri" w:eastAsia="Arial Unicode MS"/>
                <w:b w:val="0"/>
                <w:color w:val="1F2937"/>
                <w:sz w:val="17"/>
              </w:rPr>
              <w:t>页面、字段、状态、交互、接口、技术与非功能指标</w:t>
            </w:r>
          </w:p>
        </w:tc>
      </w:tr>
    </w:tbl>
    <w:p>
      <w:pPr>
        <w:spacing w:after="40"/>
      </w:pPr>
    </w:p>
    <w:p>
      <w:pPr>
        <w:pStyle w:val="LeadCallout"/>
        <w:spacing w:before="120" w:after="200"/>
        <w:ind w:left="200" w:right="200"/>
        <w:shd w:fill="FFF8E8"/>
        <w:pBdr>
          <w:left w:val="single" w:sz="18" w:space="8" w:color="D19A32"/>
        </w:pBdr>
        <w:keepLines w:val="1"/>
      </w:pPr>
      <w:r>
        <w:rPr>
          <w:rFonts w:ascii="Calibri" w:hAnsi="Calibri" w:eastAsia="Arial Unicode MS"/>
          <w:b/>
          <w:color w:val="D19A32"/>
          <w:sz w:val="21"/>
        </w:rPr>
        <w:t xml:space="preserve">同步要求  </w:t>
      </w:r>
      <w:r>
        <w:rPr>
          <w:rFonts w:ascii="Calibri" w:hAnsi="Calibri" w:eastAsia="Arial Unicode MS"/>
          <w:color w:val="1F2937"/>
          <w:sz w:val="21"/>
        </w:rPr>
        <w:t>PRD 启动前应将 V0.2 主清单/归并映射中的旧称统一为：交付单元、DG-02 交付立项与项目基线、DG-03 深化需求基线、DG-04 设计基线与采购/开发放行，并回写 C-08 已确认的日报/周度确认口径。</w:t>
      </w:r>
    </w:p>
    <w:sectPr w:rsidR="00FC693F" w:rsidRPr="0006063C" w:rsidSect="00034616">
      <w:headerReference w:type="default" r:id="rId9"/>
      <w:footerReference w:type="default" r:id="rId10"/>
      <w:headerReference w:type="first" r:id="rId11"/>
      <w:footerReference w:type="first" r:id="rId12"/>
      <w:pgSz w:w="11906" w:h="16838"/>
      <w:pgMar w:top="1247" w:right="1273" w:bottom="1134" w:left="1273"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spacing w:after="0"/>
      <w:jc w:val="left"/>
    </w:pPr>
    <w:r>
      <w:rPr>
        <w:rFonts w:ascii="Calibri" w:hAnsi="Calibri" w:eastAsia="Arial Unicode MS"/>
        <w:color w:val="64748B"/>
        <w:sz w:val="17"/>
      </w:rPr>
      <w:t>内部评审稿  |  2026年7月</w:t>
    </w:r>
    <w:r>
      <w:rPr>
        <w:rFonts w:ascii="Calibri" w:hAnsi="Calibri" w:eastAsia="Arial Unicode MS"/>
        <w:color w:val="64748B"/>
        <w:sz w:val="17"/>
      </w:rPr>
      <w:tab/>
      <w:t xml:space="preserve">第 </w:t>
    </w:r>
    <w:r>
      <w:rPr>
        <w:rFonts w:ascii="Calibri" w:hAnsi="Calibri" w:eastAsia="Arial Unicode MS"/>
        <w:color w:val="64748B"/>
        <w:sz w:val="17"/>
      </w:rPr>
      <w:fldChar w:fldCharType="begin"/>
      <w:instrText xml:space="preserve">PAGE</w:instrText>
      <w:fldChar w:fldCharType="separate"/>
      <w:t>1</w:t>
      <w:fldChar w:fldCharType="end"/>
    </w:r>
    <w:r>
      <w:rPr>
        <w:rFonts w:ascii="Calibri" w:hAnsi="Calibri" w:eastAsia="Arial Unicode MS"/>
        <w:color w:val="64748B"/>
        <w:sz w:val="17"/>
      </w:rPr>
      <w:t xml:space="preserve"> 页 / 共 </w:t>
    </w:r>
    <w:r>
      <w:rPr>
        <w:rFonts w:ascii="Calibri" w:hAnsi="Calibri" w:eastAsia="Arial Unicode MS"/>
        <w:color w:val="64748B"/>
        <w:sz w:val="17"/>
      </w:rPr>
      <w:fldChar w:fldCharType="begin"/>
      <w:instrText xml:space="preserve">NUMPAGES</w:instrText>
      <w:fldChar w:fldCharType="separate"/>
      <w:t>1</w:t>
      <w:fldChar w:fldCharType="end"/>
    </w:r>
    <w:r>
      <w:rPr>
        <w:rFonts w:ascii="Calibri" w:hAnsi="Calibri" w:eastAsia="Arial Unicode MS"/>
        <w:color w:val="64748B"/>
        <w:sz w:val="17"/>
      </w:rPr>
      <w:t xml:space="preserve"> 页</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Arial Unicode MS"/>
        <w:color w:val="64748B"/>
        <w:sz w:val="17"/>
      </w:rPr>
      <w:t>内部评审稿  |  项目全生命周期管理系统建设方案 V0.1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Arial Unicode MS"/>
        <w:color w:val="64748B"/>
        <w:sz w:val="17"/>
      </w:rPr>
      <w:t>项目全生命周期管理系统建设方案  V0.1</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spacing w:after="160" w:line="280" w:lineRule="auto"/>
      </w:pPr>
      <w:rPr>
        <w:rFonts w:ascii="Calibri" w:hAnsi="Calibri" w:eastAsia="Arial Unicode MS"/>
      </w:rPr>
    </w:lvl>
  </w:abstractNum>
  <w:abstractNum w:abstractNumId="10">
    <w:multiLevelType w:val="singleLevel"/>
    <w:lvl w:ilvl="0">
      <w:start w:val="1"/>
      <w:numFmt w:val="decimal"/>
      <w:lvlText w:val="%1."/>
      <w:lvlJc w:val="left"/>
      <w:pPr>
        <w:tabs>
          <w:tab w:val="num" w:pos="720"/>
        </w:tabs>
        <w:ind w:left="720" w:hanging="360"/>
        <w:spacing w:after="160" w:line="280" w:lineRule="auto"/>
      </w:pPr>
      <w:rPr>
        <w:rFonts w:ascii="Calibri" w:hAnsi="Calibri" w:eastAsia="Arial Unicode MS"/>
      </w:rPr>
    </w:lvl>
  </w:abstractNum>
  <w:num w:numId="10">
    <w:abstractNumId w:val="9"/>
  </w:num>
  <w:num w:numId="11">
    <w:abstractNumId w:val="10"/>
  </w:num>
  <w:abstractNum w:abstractNumId="11">
    <w:multiLevelType w:val="singleLevel"/>
    <w:lvl w:ilvl="0">
      <w:start w:val="1"/>
      <w:numFmt w:val="bullet"/>
      <w:lvlText w:val="•"/>
      <w:lvlJc w:val="left"/>
      <w:pPr>
        <w:tabs>
          <w:tab w:val="num" w:pos="720"/>
        </w:tabs>
        <w:ind w:left="720" w:hanging="360"/>
        <w:spacing w:after="160" w:line="280" w:lineRule="auto"/>
      </w:pPr>
      <w:rPr>
        <w:rFonts w:ascii="Calibri" w:hAnsi="Calibri" w:eastAsia="Arial Unicode MS"/>
      </w:rPr>
    </w:lvl>
  </w:abstractNum>
  <w:abstractNum w:abstractNumId="12">
    <w:multiLevelType w:val="singleLevel"/>
    <w:lvl w:ilvl="0">
      <w:start w:val="1"/>
      <w:numFmt w:val="decimal"/>
      <w:lvlText w:val="%1."/>
      <w:lvlJc w:val="left"/>
      <w:pPr>
        <w:tabs>
          <w:tab w:val="num" w:pos="720"/>
        </w:tabs>
        <w:ind w:left="720" w:hanging="360"/>
        <w:spacing w:after="160" w:line="280" w:lineRule="auto"/>
      </w:pPr>
      <w:rPr>
        <w:rFonts w:ascii="Calibri" w:hAnsi="Calibri" w:eastAsia="Arial Unicode MS"/>
      </w:rPr>
    </w:lvl>
  </w:abstract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eastAsia="Arial Unicode MS"/>
      <w:b w:val="0"/>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40" w:lineRule="auto"/>
      <w:outlineLvl w:val="0"/>
    </w:pPr>
    <w:rPr>
      <w:rFonts w:asciiTheme="majorHAnsi" w:eastAsiaTheme="majorEastAsia" w:hAnsiTheme="majorHAnsi" w:cstheme="majorBidi" w:ascii="Calibri" w:hAnsi="Calibri" w:eastAsia="Arial Unicode MS"/>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Calibri" w:hAnsi="Calibri" w:eastAsia="Arial Unicode MS"/>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Calibri" w:hAnsi="Calibri" w:eastAsia="Arial Unicode MS"/>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eastAsia="Arial Unicode MS"/>
      <w:b/>
      <w:color w:val="0B2545"/>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60" w:line="264" w:lineRule="auto"/>
    </w:pPr>
    <w:rPr>
      <w:rFonts w:asciiTheme="majorHAnsi" w:eastAsiaTheme="majorEastAsia" w:hAnsiTheme="majorHAnsi" w:cstheme="majorBidi" w:ascii="Calibri" w:hAnsi="Calibri" w:eastAsia="Arial Unicode MS"/>
      <w:b w:val="0"/>
      <w:i/>
      <w:iCs/>
      <w:color w:val="1F4D7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180"/>
    </w:pPr>
    <w:rPr>
      <w:rFonts w:ascii="Calibri" w:hAnsi="Calibri" w:eastAsia="Arial Unicode MS"/>
      <w:b w:val="0"/>
      <w:bCs/>
      <w:color w:val="64748B"/>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Callout">
    <w:name w:val="Lead Callout"/>
    <w:pPr>
      <w:spacing w:before="120" w:after="200" w:line="276" w:lineRule="auto"/>
    </w:pPr>
    <w:rPr>
      <w:rFonts w:ascii="Calibri" w:hAnsi="Calibri" w:eastAsia="Arial Unicode MS"/>
      <w:b w:val="0"/>
      <w:color w:val="1F2937"/>
      <w:sz w:val="21"/>
    </w:rPr>
  </w:style>
  <w:style w:type="paragraph" w:customStyle="1" w:styleId="TableText">
    <w:name w:val="Table Text"/>
    <w:pPr>
      <w:spacing w:before="0" w:after="40" w:line="259" w:lineRule="auto"/>
    </w:pPr>
    <w:rPr>
      <w:rFonts w:ascii="Calibri" w:hAnsi="Calibri" w:eastAsia="Arial Unicode MS"/>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项目全生命周期管理系统建设方案 V0.1</dc:title>
  <dc:subject>项目建设范围、总体路线、组织治理、实施里程碑、投资框架、迁移推广与验收机制</dc:subject>
  <dc:creator>项目建设方案编制组</dc:creator>
  <cp:keywords>项目全生命周期, 建设方案, MVP, 阶段门, 系统归并</cp:keywords>
  <dc:description>standard_business_brief preset with CN_A4_formal_override</dc:description>
  <cp:lastModifiedBy/>
  <cp:revision>1</cp:revision>
  <dcterms:created xsi:type="dcterms:W3CDTF">2026-07-15T00:00:00Z</dcterms:created>
  <dcterms:modified xsi:type="dcterms:W3CDTF">2013-12-23T23:15:00Z</dcterms:modified>
  <cp:category/>
</cp:coreProperties>
</file>