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pPr>
      <w:r>
        <w:rPr>
          <w:rFonts w:ascii="Calibri" w:hAnsi="Calibri"/>
          <w:b/>
          <w:color w:val="183B56"/>
          <w:sz w:val="50"/>
        </w:rPr>
        <w:t>Planul cercetării</w:t>
      </w:r>
    </w:p>
    <w:p>
      <w:pPr>
        <w:spacing w:after="520"/>
      </w:pPr>
      <w:r>
        <w:rPr>
          <w:rFonts w:ascii="Calibri" w:hAnsi="Calibri"/>
          <w:color w:val="69727A"/>
          <w:sz w:val="27"/>
        </w:rPr>
        <w:t>Definirea temei, obiectivelor și contribuției științifice</w:t>
      </w:r>
    </w:p>
    <w:tbl>
      <w:tblPr>
        <w:tblStyle w:val="TableGrid"/>
        <w:tblW w:type="dxa" w:w="9072"/>
        <w:jc w:val="left"/>
        <w:tblLayout w:type="fixed"/>
        <w:tblLook w:firstColumn="1" w:firstRow="1" w:lastColumn="0" w:lastRow="0" w:noHBand="0" w:noVBand="1" w:val="04A0"/>
        <w:tblInd w:w="120" w:type="dxa"/>
      </w:tblPr>
      <w:tblGrid>
        <w:gridCol w:w="2100"/>
        <w:gridCol w:w="6972"/>
      </w:tblGrid>
      <w:tr>
        <w:trPr>
          <w:tblHeader w:val="true"/>
          <w:cantSplit/>
        </w:trPr>
        <w:tc>
          <w:tcPr>
            <w:tcW w:type="dxa" w:w="2100"/>
            <w:shd w:fill="EAF2F7"/>
            <w:tcMar>
              <w:top w:w="80" w:type="dxa"/>
              <w:start w:w="120" w:type="dxa"/>
              <w:bottom w:w="80" w:type="dxa"/>
              <w:end w:w="120" w:type="dxa"/>
            </w:tcMar>
            <w:vAlign w:val="center"/>
          </w:tcPr>
          <w:p>
            <w:pPr>
              <w:spacing w:after="0"/>
            </w:pPr>
            <w:r>
              <w:rPr>
                <w:rFonts w:ascii="Calibri" w:hAnsi="Calibri"/>
                <w:b/>
                <w:color w:val="183B56"/>
                <w:sz w:val="18"/>
              </w:rPr>
              <w:t>Câmp</w:t>
            </w:r>
          </w:p>
        </w:tc>
        <w:tc>
          <w:tcPr>
            <w:tcW w:type="dxa" w:w="6972"/>
            <w:shd w:fill="EAF2F7"/>
            <w:tcMar>
              <w:top w:w="80" w:type="dxa"/>
              <w:start w:w="120" w:type="dxa"/>
              <w:bottom w:w="80" w:type="dxa"/>
              <w:end w:w="120" w:type="dxa"/>
            </w:tcMar>
            <w:vAlign w:val="center"/>
          </w:tcPr>
          <w:p>
            <w:pPr>
              <w:spacing w:after="0"/>
            </w:pPr>
            <w:r>
              <w:rPr>
                <w:rFonts w:ascii="Calibri" w:hAnsi="Calibri"/>
                <w:b/>
                <w:color w:val="183B56"/>
                <w:sz w:val="18"/>
              </w:rPr>
              <w:t>Valoare</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Tema</w:t>
            </w:r>
          </w:p>
        </w:tc>
        <w:tc>
          <w:tcPr>
            <w:tcW w:type="dxa" w:w="6972"/>
            <w:tcMar>
              <w:top w:w="80" w:type="dxa"/>
              <w:start w:w="120" w:type="dxa"/>
              <w:bottom w:w="80" w:type="dxa"/>
              <w:end w:w="120" w:type="dxa"/>
            </w:tcMar>
            <w:vAlign w:val="center"/>
          </w:tcPr>
          <w:p>
            <w:pPr>
              <w:spacing w:after="0"/>
            </w:pPr>
            <w:r>
              <w:rPr>
                <w:rFonts w:ascii="Calibri" w:hAnsi="Calibri"/>
                <w:sz w:val="18"/>
              </w:rPr>
              <w:t>Evaluarea accesibilității interfețelor web responsive folosind inteligența artificială</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Autor</w:t>
            </w:r>
          </w:p>
        </w:tc>
        <w:tc>
          <w:tcPr>
            <w:tcW w:type="dxa" w:w="6972"/>
            <w:tcMar>
              <w:top w:w="80" w:type="dxa"/>
              <w:start w:w="120" w:type="dxa"/>
              <w:bottom w:w="80" w:type="dxa"/>
              <w:end w:w="120" w:type="dxa"/>
            </w:tcMar>
            <w:vAlign w:val="center"/>
          </w:tcPr>
          <w:p>
            <w:pPr>
              <w:spacing w:after="0"/>
            </w:pPr>
            <w:r>
              <w:rPr>
                <w:rFonts w:ascii="Calibri" w:hAnsi="Calibri"/>
                <w:sz w:val="18"/>
              </w:rPr>
              <w:t>Silviu Vasilică Luța</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Versiune</w:t>
            </w:r>
          </w:p>
        </w:tc>
        <w:tc>
          <w:tcPr>
            <w:tcW w:type="dxa" w:w="6972"/>
            <w:tcMar>
              <w:top w:w="80" w:type="dxa"/>
              <w:start w:w="120" w:type="dxa"/>
              <w:bottom w:w="80" w:type="dxa"/>
              <w:end w:w="120" w:type="dxa"/>
            </w:tcMar>
            <w:vAlign w:val="center"/>
          </w:tcPr>
          <w:p>
            <w:r>
              <w:t>1.0</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Stare</w:t>
            </w:r>
          </w:p>
        </w:tc>
        <w:tc>
          <w:tcPr>
            <w:tcW w:type="dxa" w:w="6972"/>
            <w:tcMar>
              <w:top w:w="80" w:type="dxa"/>
              <w:start w:w="120" w:type="dxa"/>
              <w:bottom w:w="80" w:type="dxa"/>
              <w:end w:w="120" w:type="dxa"/>
            </w:tcMar>
            <w:vAlign w:val="center"/>
          </w:tcPr>
          <w:p>
            <w:r>
              <w:t>Specificație înghețată pentru implementare</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Data</w:t>
            </w:r>
          </w:p>
        </w:tc>
        <w:tc>
          <w:tcPr>
            <w:tcW w:type="dxa" w:w="6972"/>
            <w:tcMar>
              <w:top w:w="80" w:type="dxa"/>
              <w:start w:w="120" w:type="dxa"/>
              <w:bottom w:w="80" w:type="dxa"/>
              <w:end w:w="120" w:type="dxa"/>
            </w:tcMar>
            <w:vAlign w:val="center"/>
          </w:tcPr>
          <w:p>
            <w:r>
              <w:t>1 septembrie 2026</w:t>
            </w:r>
          </w:p>
        </w:tc>
      </w:tr>
      <w:tr>
        <w:trPr>
          <w:cantSplit/>
        </w:trPr>
        <w:tc>
          <w:tcPr>
            <w:tcW w:type="dxa" w:w="2100"/>
            <w:tcMar>
              <w:top w:w="80" w:type="dxa"/>
              <w:start w:w="120" w:type="dxa"/>
              <w:bottom w:w="80" w:type="dxa"/>
              <w:end w:w="120" w:type="dxa"/>
            </w:tcMar>
            <w:vAlign w:val="center"/>
          </w:tcPr>
          <w:p>
            <w:pPr>
              <w:spacing w:after="0"/>
            </w:pPr>
            <w:r>
              <w:rPr>
                <w:rFonts w:ascii="Calibri" w:hAnsi="Calibri"/>
                <w:sz w:val="18"/>
              </w:rPr>
              <w:t>Coordonator / program</w:t>
            </w:r>
          </w:p>
        </w:tc>
        <w:tc>
          <w:tcPr>
            <w:tcW w:type="dxa" w:w="6972"/>
            <w:tcMar>
              <w:top w:w="80" w:type="dxa"/>
              <w:start w:w="120" w:type="dxa"/>
              <w:bottom w:w="80" w:type="dxa"/>
              <w:end w:w="120" w:type="dxa"/>
            </w:tcMar>
            <w:vAlign w:val="center"/>
          </w:tcPr>
          <w:p>
            <w:pPr>
              <w:spacing w:after="0"/>
            </w:pPr>
            <w:r>
              <w:rPr>
                <w:rFonts w:ascii="Calibri" w:hAnsi="Calibri"/>
                <w:sz w:val="18"/>
              </w:rPr>
              <w:t>De completat în versiunea formală</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rPr>
        <w:tc>
          <w:tcPr>
            <w:tcW w:type="dxa" w:w="9072"/>
            <w:shd w:fill="EAF2F7"/>
            <w:tcMar>
              <w:top w:w="80" w:type="dxa"/>
              <w:start w:w="120" w:type="dxa"/>
              <w:bottom w:w="80" w:type="dxa"/>
              <w:end w:w="120" w:type="dxa"/>
            </w:tcMar>
            <w:vAlign w:val="center"/>
          </w:tcPr>
          <w:p>
            <w:r>
              <w:t>Statutul versiunii: Specificația 1.0 este completă și înghețată pentru implementare. Valorile administrative și configurația efectivă a pilotului se consemnează factual, fără redefinirea retrospectivă a designului.</w:t>
            </w:r>
          </w:p>
        </w:tc>
      </w:tr>
    </w:tbl>
    <w:p>
      <w:pPr>
        <w:spacing w:after="0"/>
      </w:pPr>
    </w:p>
    <w:p>
      <w:r>
        <w:br w:type="page"/>
      </w:r>
    </w:p>
    <w:p>
      <w:pPr>
        <w:pStyle w:val="Heading1"/>
      </w:pPr>
      <w:r>
        <w:t>1. Rezumat executiv</w:t>
      </w:r>
    </w:p>
    <w:p>
      <w:r>
        <w:rPr>
          <w:rFonts w:ascii="Calibri" w:hAnsi="Calibri"/>
          <w:i w:val="0"/>
        </w:rPr>
        <w:t>Cercetarea urmărește proiectarea și evaluarea unui sistem care analizează accesibilitatea paginilor și aplicațiilor web responsive în modurile desktop și mobil. Sistemul combină verificări bazate pe reguli, realizate cu axe-core, cu analiza unui model de inteligență artificială capabil să utilizeze informații structurale și vizuale. Accentul cercetării este pus pe detectare, explicare și comparare, nu pe certificarea completă sau repararea automată a paginilor.</w:t>
      </w:r>
    </w:p>
    <w:tbl>
      <w:tblPr>
        <w:tblW w:type="dxa" w:w="9072"/>
        <w:jc w:val="left"/>
        <w:tblLayout w:type="fixed"/>
        <w:tblLook w:firstColumn="1" w:firstRow="1" w:lastColumn="0" w:lastRow="0" w:noHBand="0" w:noVBand="1" w:val="04A0"/>
        <w:tblInd w:w="120" w:type="dxa"/>
      </w:tblPr>
      <w:tblGrid>
        <w:gridCol w:w="9072"/>
      </w:tblGrid>
      <w:tr>
        <w:trPr>
          <w:cantSplit/>
        </w:trPr>
        <w:tc>
          <w:tcPr>
            <w:tcW w:type="dxa" w:w="9072"/>
            <w:shd w:fill="F2F4F7"/>
            <w:tcMar>
              <w:top w:w="80" w:type="dxa"/>
              <w:start w:w="120" w:type="dxa"/>
              <w:bottom w:w="80" w:type="dxa"/>
              <w:end w:w="120" w:type="dxa"/>
            </w:tcMar>
            <w:vAlign w:val="center"/>
          </w:tcPr>
          <w:p>
            <w:pPr>
              <w:spacing w:after="40"/>
            </w:pPr>
            <w:r>
              <w:rPr>
                <w:rFonts w:ascii="Calibri" w:hAnsi="Calibri"/>
                <w:b/>
                <w:color w:val="183B56"/>
              </w:rPr>
              <w:t xml:space="preserve">Decizie aprobată: </w:t>
            </w:r>
            <w:r>
              <w:t>Prin «interfețe mobile» se înțeleg site-uri și aplicații web responsive afișate într-un viewport mobil. Aplicațiile native Android și iOS sunt în afara domeniului cercetării.</w:t>
            </w:r>
          </w:p>
        </w:tc>
      </w:tr>
    </w:tbl>
    <w:p>
      <w:pPr>
        <w:spacing w:after="0"/>
      </w:pPr>
    </w:p>
    <w:p>
      <w:pPr>
        <w:pStyle w:val="Heading1"/>
      </w:pPr>
      <w:r>
        <w:t>2. Context și motivație</w:t>
      </w:r>
    </w:p>
    <w:p>
      <w:r>
        <w:rPr>
          <w:rFonts w:ascii="Calibri" w:hAnsi="Calibri"/>
          <w:i w:val="0"/>
        </w:rPr>
        <w:t>Instrumentele automate de accesibilitate pot identifica rapid încălcări care corespund unor reguli tehnice, însă nu acoperă toate problemele de context, sens, interacțiune sau prezentare vizuală. Evaluarea manuală rămâne necesară, dar este costisitoare și dificil de aplicat repetat. Modelele AI pot completa analiza prin explicații și interpretare contextuală, însă răspunsurile lor pot fi greșite, instabile sau dificil de reprodus.</w:t>
      </w:r>
    </w:p>
    <w:p>
      <w:r>
        <w:rPr>
          <w:rFonts w:ascii="Calibri" w:hAnsi="Calibri"/>
          <w:i w:val="0"/>
        </w:rPr>
        <w:t>Problema de cercetare este dacă o abordare hibridă, care păstrează rezultatele deterministe ale unui instrument consacrat și adaugă analiza AI, poate oferi o evaluare mai utilă pentru interfețe web responsive fără a ascunde incertitudinea modelului.</w:t>
      </w:r>
    </w:p>
    <w:p>
      <w:pPr>
        <w:pStyle w:val="Heading1"/>
      </w:pPr>
      <w:r>
        <w:t>3. Tema și domeniul cercetării</w:t>
      </w:r>
    </w:p>
    <w:p>
      <w:r>
        <w:rPr>
          <w:rFonts w:ascii="Calibri" w:hAnsi="Calibri"/>
          <w:i w:val="0"/>
        </w:rPr>
        <w:t>Titlu de lucru: Evaluarea accesibilității interfețelor web responsive folosind inteligența artificială</w:t>
      </w:r>
    </w:p>
    <w:p>
      <w:r>
        <w:rPr>
          <w:rFonts w:ascii="Calibri" w:hAnsi="Calibri"/>
          <w:i w:val="0"/>
        </w:rPr>
        <w:t>Obiectul evaluării este o singură pagină web publică, accesibilă prin URL, analizată într-un browser automat la rezoluții controlate.</w:t>
      </w:r>
    </w:p>
    <w:p>
      <w:pPr>
        <w:pStyle w:val="Heading2"/>
      </w:pPr>
      <w:r>
        <w:t>3.1 În domeniu</w:t>
      </w:r>
    </w:p>
    <w:p>
      <w:pPr>
        <w:spacing w:after="80"/>
        <w:numPr>
          <w:ilvl w:val="0"/>
          <w:numId w:val="10"/>
        </w:numPr>
      </w:pPr>
      <w:r>
        <w:t>pagini și aplicații web publice, fără autentificare;</w:t>
      </w:r>
    </w:p>
    <w:p>
      <w:pPr>
        <w:spacing w:after="80"/>
        <w:numPr>
          <w:ilvl w:val="0"/>
          <w:numId w:val="10"/>
        </w:numPr>
      </w:pPr>
      <w:r>
        <w:t>afișare desktop și responsive mobilă;</w:t>
      </w:r>
    </w:p>
    <w:p>
      <w:pPr>
        <w:spacing w:after="80"/>
        <w:numPr>
          <w:ilvl w:val="0"/>
          <w:numId w:val="10"/>
        </w:numPr>
      </w:pPr>
      <w:r>
        <w:t>analiză axe-core, analiză AI și combinația acestora;</w:t>
      </w:r>
    </w:p>
    <w:p>
      <w:pPr>
        <w:spacing w:after="80"/>
        <w:numPr>
          <w:ilvl w:val="0"/>
          <w:numId w:val="10"/>
        </w:numPr>
      </w:pPr>
      <w:r>
        <w:t>capturi de ecran și informații structurale despre pagină;</w:t>
      </w:r>
    </w:p>
    <w:p>
      <w:pPr>
        <w:spacing w:after="80"/>
        <w:numPr>
          <w:ilvl w:val="0"/>
          <w:numId w:val="10"/>
        </w:numPr>
      </w:pPr>
      <w:r>
        <w:t>raportare, comparație, cost, timp și reproductibilitate;</w:t>
      </w:r>
    </w:p>
    <w:p>
      <w:pPr>
        <w:spacing w:after="80"/>
        <w:numPr>
          <w:ilvl w:val="0"/>
          <w:numId w:val="10"/>
        </w:numPr>
      </w:pPr>
      <w:r>
        <w:t>scenarii controlate raportate la WCAG 2.2, nivelurile A și AA.</w:t>
      </w:r>
    </w:p>
    <w:p>
      <w:pPr>
        <w:pStyle w:val="Heading2"/>
      </w:pPr>
      <w:r>
        <w:t>3.2 În afara domeniului</w:t>
      </w:r>
    </w:p>
    <w:p>
      <w:pPr>
        <w:spacing w:after="80"/>
        <w:numPr>
          <w:ilvl w:val="0"/>
          <w:numId w:val="10"/>
        </w:numPr>
      </w:pPr>
      <w:r>
        <w:t>aplicații native Android sau iOS;</w:t>
      </w:r>
    </w:p>
    <w:p>
      <w:pPr>
        <w:spacing w:after="80"/>
        <w:numPr>
          <w:ilvl w:val="0"/>
          <w:numId w:val="10"/>
        </w:numPr>
      </w:pPr>
      <w:r>
        <w:t>scanarea automată a întregului site;</w:t>
      </w:r>
    </w:p>
    <w:p>
      <w:pPr>
        <w:spacing w:after="80"/>
        <w:numPr>
          <w:ilvl w:val="0"/>
          <w:numId w:val="10"/>
        </w:numPr>
      </w:pPr>
      <w:r>
        <w:t>pagini care necesită cont, parolă sau date personale;</w:t>
      </w:r>
    </w:p>
    <w:p>
      <w:pPr>
        <w:spacing w:after="80"/>
        <w:numPr>
          <w:ilvl w:val="0"/>
          <w:numId w:val="10"/>
        </w:numPr>
      </w:pPr>
      <w:r>
        <w:t>repararea automată a codului sursă;</w:t>
      </w:r>
    </w:p>
    <w:p>
      <w:pPr>
        <w:spacing w:after="80"/>
        <w:numPr>
          <w:ilvl w:val="0"/>
          <w:numId w:val="10"/>
        </w:numPr>
      </w:pPr>
      <w:r>
        <w:t>certificarea oficială de conformitate WCAG;</w:t>
      </w:r>
    </w:p>
    <w:p>
      <w:pPr>
        <w:spacing w:after="80"/>
        <w:numPr>
          <w:ilvl w:val="0"/>
          <w:numId w:val="10"/>
        </w:numPr>
      </w:pPr>
      <w:r>
        <w:t>înlocuirea evaluării realizate de specialiști sau utilizatori cu dizabilități.</w:t>
      </w:r>
    </w:p>
    <w:p>
      <w:pPr>
        <w:pStyle w:val="Heading1"/>
      </w:pPr>
      <w:r>
        <w:t>4. Baza științifică și poziționarea</w:t>
      </w:r>
    </w:p>
    <w:p>
      <w:r>
        <w:rPr>
          <w:rFonts w:ascii="Calibri" w:hAnsi="Calibri"/>
          <w:i w:val="0"/>
        </w:rPr>
        <w:t>Studiul de referință «LLM Based Web Accessibility Repair: An Empirical Study of Detection, Remediation, and Cost» compară un model lingvistic cu o abordare bazată pe reguli pentru detectarea și remedierea problemelor de accesibilitate. Rezultatele raportate arată performanțe apropiate pentru detectare, rezultate mai bune pentru probleme semantice și limite importante pentru probleme de sintaxă și aspect. Autorii susțin utilizarea unor abordări hibride.</w:t>
      </w:r>
    </w:p>
    <w:tbl>
      <w:tblPr>
        <w:tblStyle w:val="TableGrid"/>
        <w:tblW w:type="dxa" w:w="9072"/>
        <w:jc w:val="left"/>
        <w:tblLayout w:type="fixed"/>
        <w:tblLook w:firstColumn="1" w:firstRow="1" w:lastColumn="0" w:lastRow="0" w:noHBand="0" w:noVBand="1" w:val="04A0"/>
        <w:tblInd w:w="120" w:type="dxa"/>
      </w:tblPr>
      <w:tblGrid>
        <w:gridCol w:w="4536"/>
        <w:gridCol w:w="4536"/>
      </w:tblGrid>
      <w:tr>
        <w:trPr>
          <w:tblHeader w:val="true"/>
          <w:cantSplit/>
        </w:trPr>
        <w:tc>
          <w:tcPr>
            <w:tcW w:type="dxa" w:w="4536"/>
            <w:shd w:fill="EAF2F7"/>
            <w:tcMar>
              <w:top w:w="80" w:type="dxa"/>
              <w:start w:w="120" w:type="dxa"/>
              <w:bottom w:w="80" w:type="dxa"/>
              <w:end w:w="120" w:type="dxa"/>
            </w:tcMar>
            <w:vAlign w:val="center"/>
          </w:tcPr>
          <w:p>
            <w:pPr>
              <w:spacing w:after="0"/>
            </w:pPr>
            <w:r>
              <w:rPr>
                <w:rFonts w:ascii="Calibri" w:hAnsi="Calibri"/>
                <w:b/>
                <w:color w:val="183B56"/>
                <w:sz w:val="18"/>
              </w:rPr>
              <w:t>Studiul de referință</w:t>
            </w:r>
          </w:p>
        </w:tc>
        <w:tc>
          <w:tcPr>
            <w:tcW w:type="dxa" w:w="4536"/>
            <w:shd w:fill="EAF2F7"/>
            <w:tcMar>
              <w:top w:w="80" w:type="dxa"/>
              <w:start w:w="120" w:type="dxa"/>
              <w:bottom w:w="80" w:type="dxa"/>
              <w:end w:w="120" w:type="dxa"/>
            </w:tcMar>
            <w:vAlign w:val="center"/>
          </w:tcPr>
          <w:p>
            <w:pPr>
              <w:spacing w:after="0"/>
            </w:pPr>
            <w:r>
              <w:rPr>
                <w:rFonts w:ascii="Calibri" w:hAnsi="Calibri"/>
                <w:b/>
                <w:color w:val="183B56"/>
                <w:sz w:val="18"/>
              </w:rPr>
              <w:t>Extinderea propusă</w:t>
            </w:r>
          </w:p>
        </w:tc>
      </w:tr>
      <w:tr>
        <w:trPr>
          <w:cantSplit/>
        </w:trPr>
        <w:tc>
          <w:tcPr>
            <w:tcW w:type="dxa" w:w="4536"/>
            <w:tcMar>
              <w:top w:w="80" w:type="dxa"/>
              <w:start w:w="120" w:type="dxa"/>
              <w:bottom w:w="80" w:type="dxa"/>
              <w:end w:w="120" w:type="dxa"/>
            </w:tcMar>
            <w:vAlign w:val="center"/>
          </w:tcPr>
          <w:p>
            <w:pPr>
              <w:spacing w:after="0"/>
            </w:pPr>
            <w:r>
              <w:rPr>
                <w:rFonts w:ascii="Calibri" w:hAnsi="Calibri"/>
                <w:sz w:val="18"/>
              </w:rPr>
              <w:t>Pagini HTML statice</w:t>
            </w:r>
          </w:p>
        </w:tc>
        <w:tc>
          <w:tcPr>
            <w:tcW w:type="dxa" w:w="4536"/>
            <w:tcMar>
              <w:top w:w="80" w:type="dxa"/>
              <w:start w:w="120" w:type="dxa"/>
              <w:bottom w:w="80" w:type="dxa"/>
              <w:end w:w="120" w:type="dxa"/>
            </w:tcMar>
            <w:vAlign w:val="center"/>
          </w:tcPr>
          <w:p>
            <w:pPr>
              <w:spacing w:after="0"/>
            </w:pPr>
            <w:r>
              <w:rPr>
                <w:rFonts w:ascii="Calibri" w:hAnsi="Calibri"/>
                <w:sz w:val="18"/>
              </w:rPr>
              <w:t>Pagini redate într-un browser controlat</w:t>
            </w:r>
          </w:p>
        </w:tc>
      </w:tr>
      <w:tr>
        <w:trPr>
          <w:cantSplit/>
        </w:trPr>
        <w:tc>
          <w:tcPr>
            <w:tcW w:type="dxa" w:w="4536"/>
            <w:tcMar>
              <w:top w:w="80" w:type="dxa"/>
              <w:start w:w="120" w:type="dxa"/>
              <w:bottom w:w="80" w:type="dxa"/>
              <w:end w:w="120" w:type="dxa"/>
            </w:tcMar>
            <w:vAlign w:val="center"/>
          </w:tcPr>
          <w:p>
            <w:pPr>
              <w:spacing w:after="0"/>
            </w:pPr>
            <w:r>
              <w:rPr>
                <w:rFonts w:ascii="Calibri" w:hAnsi="Calibri"/>
                <w:sz w:val="18"/>
              </w:rPr>
              <w:t>Intrare predominant textuală</w:t>
            </w:r>
          </w:p>
        </w:tc>
        <w:tc>
          <w:tcPr>
            <w:tcW w:type="dxa" w:w="4536"/>
            <w:tcMar>
              <w:top w:w="80" w:type="dxa"/>
              <w:start w:w="120" w:type="dxa"/>
              <w:bottom w:w="80" w:type="dxa"/>
              <w:end w:w="120" w:type="dxa"/>
            </w:tcMar>
            <w:vAlign w:val="center"/>
          </w:tcPr>
          <w:p>
            <w:pPr>
              <w:spacing w:after="0"/>
            </w:pPr>
            <w:r>
              <w:rPr>
                <w:rFonts w:ascii="Calibri" w:hAnsi="Calibri"/>
                <w:sz w:val="18"/>
              </w:rPr>
              <w:t>Structură de pagină și captură de ecran</w:t>
            </w:r>
          </w:p>
        </w:tc>
      </w:tr>
      <w:tr>
        <w:trPr>
          <w:cantSplit/>
        </w:trPr>
        <w:tc>
          <w:tcPr>
            <w:tcW w:type="dxa" w:w="4536"/>
            <w:tcMar>
              <w:top w:w="80" w:type="dxa"/>
              <w:start w:w="120" w:type="dxa"/>
              <w:bottom w:w="80" w:type="dxa"/>
              <w:end w:w="120" w:type="dxa"/>
            </w:tcMar>
            <w:vAlign w:val="center"/>
          </w:tcPr>
          <w:p>
            <w:pPr>
              <w:spacing w:after="0"/>
            </w:pPr>
            <w:r>
              <w:rPr>
                <w:rFonts w:ascii="Calibri" w:hAnsi="Calibri"/>
                <w:sz w:val="18"/>
              </w:rPr>
              <w:t>Un singur model AI</w:t>
            </w:r>
          </w:p>
        </w:tc>
        <w:tc>
          <w:tcPr>
            <w:tcW w:type="dxa" w:w="4536"/>
            <w:tcMar>
              <w:top w:w="80" w:type="dxa"/>
              <w:start w:w="120" w:type="dxa"/>
              <w:bottom w:w="80" w:type="dxa"/>
              <w:end w:w="120" w:type="dxa"/>
            </w:tcMar>
            <w:vAlign w:val="center"/>
          </w:tcPr>
          <w:p>
            <w:pPr>
              <w:spacing w:after="0"/>
            </w:pPr>
            <w:r>
              <w:rPr>
                <w:rFonts w:ascii="Calibri" w:hAnsi="Calibri"/>
                <w:sz w:val="18"/>
              </w:rPr>
              <w:t>Comparație între două modele mici</w:t>
            </w:r>
          </w:p>
        </w:tc>
      </w:tr>
      <w:tr>
        <w:trPr>
          <w:cantSplit/>
        </w:trPr>
        <w:tc>
          <w:tcPr>
            <w:tcW w:type="dxa" w:w="4536"/>
            <w:tcMar>
              <w:top w:w="80" w:type="dxa"/>
              <w:start w:w="120" w:type="dxa"/>
              <w:bottom w:w="80" w:type="dxa"/>
              <w:end w:w="120" w:type="dxa"/>
            </w:tcMar>
            <w:vAlign w:val="center"/>
          </w:tcPr>
          <w:p>
            <w:pPr>
              <w:spacing w:after="0"/>
            </w:pPr>
            <w:r>
              <w:rPr>
                <w:rFonts w:ascii="Calibri" w:hAnsi="Calibri"/>
                <w:sz w:val="18"/>
              </w:rPr>
              <w:t>Fără comparație desktop-mobil</w:t>
            </w:r>
          </w:p>
        </w:tc>
        <w:tc>
          <w:tcPr>
            <w:tcW w:type="dxa" w:w="4536"/>
            <w:tcMar>
              <w:top w:w="80" w:type="dxa"/>
              <w:start w:w="120" w:type="dxa"/>
              <w:bottom w:w="80" w:type="dxa"/>
              <w:end w:w="120" w:type="dxa"/>
            </w:tcMar>
            <w:vAlign w:val="center"/>
          </w:tcPr>
          <w:p>
            <w:pPr>
              <w:spacing w:after="0"/>
            </w:pPr>
            <w:r>
              <w:rPr>
                <w:rFonts w:ascii="Calibri" w:hAnsi="Calibri"/>
                <w:sz w:val="18"/>
              </w:rPr>
              <w:t>Analiză explicită a celor două viewporturi</w:t>
            </w:r>
          </w:p>
        </w:tc>
      </w:tr>
      <w:tr>
        <w:trPr>
          <w:cantSplit/>
        </w:trPr>
        <w:tc>
          <w:tcPr>
            <w:tcW w:type="dxa" w:w="4536"/>
            <w:tcMar>
              <w:top w:w="80" w:type="dxa"/>
              <w:start w:w="120" w:type="dxa"/>
              <w:bottom w:w="80" w:type="dxa"/>
              <w:end w:w="120" w:type="dxa"/>
            </w:tcMar>
            <w:vAlign w:val="center"/>
          </w:tcPr>
          <w:p>
            <w:pPr>
              <w:spacing w:after="0"/>
            </w:pPr>
            <w:r>
              <w:rPr>
                <w:rFonts w:ascii="Calibri" w:hAnsi="Calibri"/>
                <w:sz w:val="18"/>
              </w:rPr>
              <w:t>Detectare și reparare</w:t>
            </w:r>
          </w:p>
        </w:tc>
        <w:tc>
          <w:tcPr>
            <w:tcW w:type="dxa" w:w="4536"/>
            <w:tcMar>
              <w:top w:w="80" w:type="dxa"/>
              <w:start w:w="120" w:type="dxa"/>
              <w:bottom w:w="80" w:type="dxa"/>
              <w:end w:w="120" w:type="dxa"/>
            </w:tcMar>
            <w:vAlign w:val="center"/>
          </w:tcPr>
          <w:p>
            <w:pPr>
              <w:spacing w:after="0"/>
            </w:pPr>
            <w:r>
              <w:rPr>
                <w:rFonts w:ascii="Calibri" w:hAnsi="Calibri"/>
                <w:sz w:val="18"/>
              </w:rPr>
              <w:t>Detectare, explicare, cost și consistență</w:t>
            </w:r>
          </w:p>
        </w:tc>
      </w:tr>
    </w:tbl>
    <w:p>
      <w:pPr>
        <w:spacing w:after="0"/>
      </w:pPr>
    </w:p>
    <w:p>
      <w:r>
        <w:rPr>
          <w:rFonts w:ascii="Calibri" w:hAnsi="Calibri"/>
          <w:i w:val="0"/>
        </w:rPr>
        <w:t>Cercetarea este o replicare parțială și o extindere. Nu presupune că noua abordare este mai bună; verifică experimental dacă diferențele sunt măsurabile.</w:t>
      </w:r>
    </w:p>
    <w:p>
      <w:pPr>
        <w:pStyle w:val="Heading1"/>
      </w:pPr>
      <w:r>
        <w:t>5. Obiective</w:t>
      </w:r>
    </w:p>
    <w:p>
      <w:pPr>
        <w:pStyle w:val="Heading2"/>
      </w:pPr>
      <w:r>
        <w:t>5.1 Obiectiv general</w:t>
      </w:r>
    </w:p>
    <w:p>
      <w:r>
        <w:rPr>
          <w:rFonts w:ascii="Calibri" w:hAnsi="Calibri"/>
          <w:i w:val="0"/>
        </w:rPr>
        <w:t>Proiectarea și evaluarea unui sistem bazat pe Java care analizează accesibilitatea site-urilor responsive în modurile desktop și mobil, combinând rezultatele axe-core cu analiza unui model AI.</w:t>
      </w:r>
    </w:p>
    <w:p>
      <w:pPr>
        <w:pStyle w:val="Heading2"/>
      </w:pPr>
      <w:r>
        <w:t>5.2 Obiective secundare</w:t>
      </w:r>
    </w:p>
    <w:tbl>
      <w:tblPr>
        <w:tblStyle w:val="TableGrid"/>
        <w:tblW w:type="dxa" w:w="9072"/>
        <w:jc w:val="left"/>
        <w:tblLayout w:type="fixed"/>
        <w:tblLook w:firstColumn="1" w:firstRow="1" w:lastColumn="0" w:lastRow="0" w:noHBand="0" w:noVBand="1" w:val="04A0"/>
        <w:tblInd w:w="120" w:type="dxa"/>
      </w:tblPr>
      <w:tblGrid>
        <w:gridCol w:w="950"/>
        <w:gridCol w:w="8122"/>
      </w:tblGrid>
      <w:tr>
        <w:trPr>
          <w:tblHeader w:val="true"/>
          <w:cantSplit/>
        </w:trPr>
        <w:tc>
          <w:tcPr>
            <w:tcW w:type="dxa" w:w="950"/>
            <w:shd w:fill="EAF2F7"/>
            <w:tcMar>
              <w:top w:w="80" w:type="dxa"/>
              <w:start w:w="120" w:type="dxa"/>
              <w:bottom w:w="80" w:type="dxa"/>
              <w:end w:w="120" w:type="dxa"/>
            </w:tcMar>
            <w:vAlign w:val="center"/>
          </w:tcPr>
          <w:p>
            <w:pPr>
              <w:spacing w:after="0"/>
            </w:pPr>
            <w:r>
              <w:rPr>
                <w:rFonts w:ascii="Calibri" w:hAnsi="Calibri"/>
                <w:b/>
                <w:color w:val="183B56"/>
                <w:sz w:val="18"/>
              </w:rPr>
              <w:t>ID</w:t>
            </w:r>
          </w:p>
        </w:tc>
        <w:tc>
          <w:tcPr>
            <w:tcW w:type="dxa" w:w="8122"/>
            <w:shd w:fill="EAF2F7"/>
            <w:tcMar>
              <w:top w:w="80" w:type="dxa"/>
              <w:start w:w="120" w:type="dxa"/>
              <w:bottom w:w="80" w:type="dxa"/>
              <w:end w:w="120" w:type="dxa"/>
            </w:tcMar>
            <w:vAlign w:val="center"/>
          </w:tcPr>
          <w:p>
            <w:pPr>
              <w:spacing w:after="0"/>
            </w:pPr>
            <w:r>
              <w:rPr>
                <w:rFonts w:ascii="Calibri" w:hAnsi="Calibri"/>
                <w:b/>
                <w:color w:val="183B56"/>
                <w:sz w:val="18"/>
              </w:rPr>
              <w:t>Obiectiv</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OS1</w:t>
            </w:r>
          </w:p>
        </w:tc>
        <w:tc>
          <w:tcPr>
            <w:tcW w:type="dxa" w:w="8122"/>
            <w:tcMar>
              <w:top w:w="80" w:type="dxa"/>
              <w:start w:w="120" w:type="dxa"/>
              <w:bottom w:w="80" w:type="dxa"/>
              <w:end w:w="120" w:type="dxa"/>
            </w:tcMar>
            <w:vAlign w:val="center"/>
          </w:tcPr>
          <w:p>
            <w:pPr>
              <w:spacing w:after="0"/>
            </w:pPr>
            <w:r>
              <w:rPr>
                <w:rFonts w:ascii="Calibri" w:hAnsi="Calibri"/>
                <w:sz w:val="18"/>
              </w:rPr>
              <w:t>Definirea unui proces reproductibil pentru capturarea și analizarea unei pagini web în viewporturi controlate.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OS2</w:t>
            </w:r>
          </w:p>
        </w:tc>
        <w:tc>
          <w:tcPr>
            <w:tcW w:type="dxa" w:w="8122"/>
            <w:tcMar>
              <w:top w:w="80" w:type="dxa"/>
              <w:start w:w="120" w:type="dxa"/>
              <w:bottom w:w="80" w:type="dxa"/>
              <w:end w:w="120" w:type="dxa"/>
            </w:tcMar>
            <w:vAlign w:val="center"/>
          </w:tcPr>
          <w:p>
            <w:pPr>
              <w:spacing w:after="0"/>
            </w:pPr>
            <w:r>
              <w:rPr>
                <w:rFonts w:ascii="Calibri" w:hAnsi="Calibri"/>
                <w:sz w:val="18"/>
              </w:rPr>
              <w:t>Integrarea și păstrarea separată a rezultatelor axe-core și AI.</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OS3</w:t>
            </w:r>
          </w:p>
        </w:tc>
        <w:tc>
          <w:tcPr>
            <w:tcW w:type="dxa" w:w="8122"/>
            <w:tcMar>
              <w:top w:w="80" w:type="dxa"/>
              <w:start w:w="120" w:type="dxa"/>
              <w:bottom w:w="80" w:type="dxa"/>
              <w:end w:w="120" w:type="dxa"/>
            </w:tcMar>
            <w:vAlign w:val="center"/>
          </w:tcPr>
          <w:p>
            <w:pPr>
              <w:spacing w:after="0"/>
            </w:pPr>
            <w:r>
              <w:rPr>
                <w:rFonts w:ascii="Calibri" w:hAnsi="Calibri"/>
                <w:sz w:val="18"/>
              </w:rPr>
              <w:t>Evaluarea influenței capturii de ecran asupra detectării AI.</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OS4</w:t>
            </w:r>
          </w:p>
        </w:tc>
        <w:tc>
          <w:tcPr>
            <w:tcW w:type="dxa" w:w="8122"/>
            <w:tcMar>
              <w:top w:w="80" w:type="dxa"/>
              <w:start w:w="120" w:type="dxa"/>
              <w:bottom w:w="80" w:type="dxa"/>
              <w:end w:w="120" w:type="dxa"/>
            </w:tcMar>
            <w:vAlign w:val="center"/>
          </w:tcPr>
          <w:p>
            <w:pPr>
              <w:spacing w:after="0"/>
            </w:pPr>
            <w:r>
              <w:rPr>
                <w:rFonts w:ascii="Calibri" w:hAnsi="Calibri"/>
                <w:sz w:val="18"/>
              </w:rPr>
              <w:t>Compararea rezultatelor desktop și mobil pentru aceeași pagină.</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OS5</w:t>
            </w:r>
          </w:p>
        </w:tc>
        <w:tc>
          <w:tcPr>
            <w:tcW w:type="dxa" w:w="8122"/>
            <w:tcMar>
              <w:top w:w="80" w:type="dxa"/>
              <w:start w:w="120" w:type="dxa"/>
              <w:bottom w:w="80" w:type="dxa"/>
              <w:end w:w="120" w:type="dxa"/>
            </w:tcMar>
            <w:vAlign w:val="center"/>
          </w:tcPr>
          <w:p>
            <w:pPr>
              <w:spacing w:after="0"/>
            </w:pPr>
            <w:r>
              <w:rPr>
                <w:rFonts w:ascii="Calibri" w:hAnsi="Calibri"/>
                <w:sz w:val="18"/>
              </w:rPr>
              <w:t>Compararea a două modele AI mici după corectitudine, explicații, cost, timp și consistență.</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OS6</w:t>
            </w:r>
          </w:p>
        </w:tc>
        <w:tc>
          <w:tcPr>
            <w:tcW w:type="dxa" w:w="8122"/>
            <w:tcMar>
              <w:top w:w="80" w:type="dxa"/>
              <w:start w:w="120" w:type="dxa"/>
              <w:bottom w:w="80" w:type="dxa"/>
              <w:end w:w="120" w:type="dxa"/>
            </w:tcMar>
            <w:vAlign w:val="center"/>
          </w:tcPr>
          <w:p>
            <w:pPr>
              <w:spacing w:after="0"/>
            </w:pPr>
            <w:r>
              <w:rPr>
                <w:rFonts w:ascii="Calibri" w:hAnsi="Calibri"/>
                <w:sz w:val="18"/>
              </w:rPr>
              <w:t>Construirea unui set controlat de scenarii WCAG cu variante problematice și corectate.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OS7</w:t>
            </w:r>
          </w:p>
        </w:tc>
        <w:tc>
          <w:tcPr>
            <w:tcW w:type="dxa" w:w="8122"/>
            <w:tcMar>
              <w:top w:w="80" w:type="dxa"/>
              <w:start w:w="120" w:type="dxa"/>
              <w:bottom w:w="80" w:type="dxa"/>
              <w:end w:w="120" w:type="dxa"/>
            </w:tcMar>
            <w:vAlign w:val="center"/>
          </w:tcPr>
          <w:p>
            <w:pPr>
              <w:spacing w:after="0"/>
            </w:pPr>
            <w:r>
              <w:rPr>
                <w:rFonts w:ascii="Calibri" w:hAnsi="Calibri"/>
                <w:sz w:val="18"/>
              </w:rPr>
              <w:t>Documentarea limitelor și a situațiilor în care verificarea umană rămâne necesară.</w:t>
            </w:r>
          </w:p>
        </w:tc>
      </w:tr>
    </w:tbl>
    <w:p>
      <w:pPr>
        <w:spacing w:after="0"/>
      </w:pPr>
    </w:p>
    <w:p>
      <w:pPr>
        <w:pStyle w:val="Heading1"/>
      </w:pPr>
      <w:r>
        <w:t>6. Întrebări de cercetare</w:t>
      </w:r>
    </w:p>
    <w:tbl>
      <w:tblPr>
        <w:tblStyle w:val="TableGrid"/>
        <w:tblW w:type="dxa" w:w="9072"/>
        <w:jc w:val="left"/>
        <w:tblLayout w:type="fixed"/>
        <w:tblLook w:firstColumn="1" w:firstRow="1" w:lastColumn="0" w:lastRow="0" w:noHBand="0" w:noVBand="1" w:val="04A0"/>
        <w:tblInd w:w="120" w:type="dxa"/>
      </w:tblPr>
      <w:tblGrid>
        <w:gridCol w:w="950"/>
        <w:gridCol w:w="8122"/>
      </w:tblGrid>
      <w:tr>
        <w:trPr>
          <w:tblHeader w:val="true"/>
          <w:cantSplit/>
        </w:trPr>
        <w:tc>
          <w:tcPr>
            <w:tcW w:type="dxa" w:w="950"/>
            <w:shd w:fill="EAF2F7"/>
            <w:tcMar>
              <w:top w:w="80" w:type="dxa"/>
              <w:start w:w="120" w:type="dxa"/>
              <w:bottom w:w="80" w:type="dxa"/>
              <w:end w:w="120" w:type="dxa"/>
            </w:tcMar>
            <w:vAlign w:val="center"/>
          </w:tcPr>
          <w:p>
            <w:pPr>
              <w:spacing w:after="0"/>
            </w:pPr>
            <w:r>
              <w:rPr>
                <w:rFonts w:ascii="Calibri" w:hAnsi="Calibri"/>
                <w:b/>
                <w:color w:val="183B56"/>
                <w:sz w:val="18"/>
              </w:rPr>
              <w:t>ID</w:t>
            </w:r>
          </w:p>
        </w:tc>
        <w:tc>
          <w:tcPr>
            <w:tcW w:type="dxa" w:w="8122"/>
            <w:shd w:fill="EAF2F7"/>
            <w:tcMar>
              <w:top w:w="80" w:type="dxa"/>
              <w:start w:w="120" w:type="dxa"/>
              <w:bottom w:w="80" w:type="dxa"/>
              <w:end w:w="120" w:type="dxa"/>
            </w:tcMar>
            <w:vAlign w:val="center"/>
          </w:tcPr>
          <w:p>
            <w:pPr>
              <w:spacing w:after="0"/>
            </w:pPr>
            <w:r>
              <w:rPr>
                <w:rFonts w:ascii="Calibri" w:hAnsi="Calibri"/>
                <w:b/>
                <w:color w:val="183B56"/>
                <w:sz w:val="18"/>
              </w:rPr>
              <w:t>Întrebare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RQ1</w:t>
            </w:r>
          </w:p>
        </w:tc>
        <w:tc>
          <w:tcPr>
            <w:tcW w:type="dxa" w:w="8122"/>
            <w:tcMar>
              <w:top w:w="80" w:type="dxa"/>
              <w:start w:w="120" w:type="dxa"/>
              <w:bottom w:w="80" w:type="dxa"/>
              <w:end w:w="120" w:type="dxa"/>
            </w:tcMar>
            <w:vAlign w:val="center"/>
          </w:tcPr>
          <w:p>
            <w:pPr>
              <w:spacing w:after="0"/>
            </w:pPr>
            <w:r>
              <w:rPr>
                <w:rFonts w:ascii="Calibri" w:hAnsi="Calibri"/>
                <w:sz w:val="18"/>
              </w:rPr>
              <w:t>În ce măsură combinarea analizei automate bazate pe reguli cu analiza realizată de un model AI îmbunătățește identificarea problemelor de accesibilitate în interfețele web responsive?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RQ2</w:t>
            </w:r>
          </w:p>
        </w:tc>
        <w:tc>
          <w:tcPr>
            <w:tcW w:type="dxa" w:w="8122"/>
            <w:tcMar>
              <w:top w:w="80" w:type="dxa"/>
              <w:start w:w="120" w:type="dxa"/>
              <w:bottom w:w="80" w:type="dxa"/>
              <w:end w:w="120" w:type="dxa"/>
            </w:tcMar>
            <w:vAlign w:val="center"/>
          </w:tcPr>
          <w:p>
            <w:pPr>
              <w:spacing w:after="0"/>
            </w:pPr>
            <w:r>
              <w:rPr>
                <w:rFonts w:ascii="Calibri" w:hAnsi="Calibri"/>
                <w:sz w:val="18"/>
              </w:rPr>
              <w:t>Care este influența contextului vizual, furnizat prin capturi de ecran, asupra capacității modelului AI de a identifica probleme de accesibilitate?</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RQ3</w:t>
            </w:r>
          </w:p>
        </w:tc>
        <w:tc>
          <w:tcPr>
            <w:tcW w:type="dxa" w:w="8122"/>
            <w:tcMar>
              <w:top w:w="80" w:type="dxa"/>
              <w:start w:w="120" w:type="dxa"/>
              <w:bottom w:w="80" w:type="dxa"/>
              <w:end w:w="120" w:type="dxa"/>
            </w:tcMar>
            <w:vAlign w:val="center"/>
          </w:tcPr>
          <w:p>
            <w:pPr>
              <w:spacing w:after="0"/>
            </w:pPr>
            <w:r>
              <w:rPr>
                <w:rFonts w:ascii="Calibri" w:hAnsi="Calibri"/>
                <w:sz w:val="18"/>
              </w:rPr>
              <w:t>Ce diferențe pot fi observate între rezultatele evaluării unei interfețe web în modurile desktop și mobil?</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RQ4</w:t>
            </w:r>
          </w:p>
        </w:tc>
        <w:tc>
          <w:tcPr>
            <w:tcW w:type="dxa" w:w="8122"/>
            <w:tcMar>
              <w:top w:w="80" w:type="dxa"/>
              <w:start w:w="120" w:type="dxa"/>
              <w:bottom w:w="80" w:type="dxa"/>
              <w:end w:w="120" w:type="dxa"/>
            </w:tcMar>
            <w:vAlign w:val="center"/>
          </w:tcPr>
          <w:p>
            <w:pPr>
              <w:spacing w:after="0"/>
            </w:pPr>
            <w:r>
              <w:rPr>
                <w:rFonts w:ascii="Calibri" w:hAnsi="Calibri"/>
                <w:sz w:val="18"/>
              </w:rPr>
              <w:t>Cum se compară modelele AI selectate în privința acurateței, calității explicațiilor, consistenței, timpului de răspuns și costului?</w:t>
            </w:r>
          </w:p>
        </w:tc>
      </w:tr>
    </w:tbl>
    <w:p>
      <w:pPr>
        <w:spacing w:after="0"/>
      </w:pPr>
    </w:p>
    <w:p>
      <w:pPr>
        <w:pStyle w:val="Heading1"/>
      </w:pPr>
      <w:r>
        <w:t>7. Ipoteze</w:t>
      </w:r>
    </w:p>
    <w:tbl>
      <w:tblPr>
        <w:tblStyle w:val="TableGrid"/>
        <w:tblW w:type="dxa" w:w="9072"/>
        <w:jc w:val="left"/>
        <w:tblLayout w:type="fixed"/>
        <w:tblLook w:firstColumn="1" w:firstRow="1" w:lastColumn="0" w:lastRow="0" w:noHBand="0" w:noVBand="1" w:val="04A0"/>
        <w:tblInd w:w="120" w:type="dxa"/>
      </w:tblPr>
      <w:tblGrid>
        <w:gridCol w:w="950"/>
        <w:gridCol w:w="8122"/>
      </w:tblGrid>
      <w:tr>
        <w:trPr>
          <w:tblHeader w:val="true"/>
          <w:cantSplit/>
        </w:trPr>
        <w:tc>
          <w:tcPr>
            <w:tcW w:type="dxa" w:w="950"/>
            <w:shd w:fill="EAF2F7"/>
            <w:tcMar>
              <w:top w:w="80" w:type="dxa"/>
              <w:start w:w="120" w:type="dxa"/>
              <w:bottom w:w="80" w:type="dxa"/>
              <w:end w:w="120" w:type="dxa"/>
            </w:tcMar>
            <w:vAlign w:val="center"/>
          </w:tcPr>
          <w:p>
            <w:pPr>
              <w:spacing w:after="0"/>
            </w:pPr>
            <w:r>
              <w:rPr>
                <w:rFonts w:ascii="Calibri" w:hAnsi="Calibri"/>
                <w:b/>
                <w:color w:val="183B56"/>
                <w:sz w:val="18"/>
              </w:rPr>
              <w:t>ID</w:t>
            </w:r>
          </w:p>
        </w:tc>
        <w:tc>
          <w:tcPr>
            <w:tcW w:type="dxa" w:w="8122"/>
            <w:shd w:fill="EAF2F7"/>
            <w:tcMar>
              <w:top w:w="80" w:type="dxa"/>
              <w:start w:w="120" w:type="dxa"/>
              <w:bottom w:w="80" w:type="dxa"/>
              <w:end w:w="120" w:type="dxa"/>
            </w:tcMar>
            <w:vAlign w:val="center"/>
          </w:tcPr>
          <w:p>
            <w:pPr>
              <w:spacing w:after="0"/>
            </w:pPr>
            <w:r>
              <w:rPr>
                <w:rFonts w:ascii="Calibri" w:hAnsi="Calibri"/>
                <w:b/>
                <w:color w:val="183B56"/>
                <w:sz w:val="18"/>
              </w:rPr>
              <w:t>Ipoteză</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H1</w:t>
            </w:r>
          </w:p>
        </w:tc>
        <w:tc>
          <w:tcPr>
            <w:tcW w:type="dxa" w:w="8122"/>
            <w:tcMar>
              <w:top w:w="80" w:type="dxa"/>
              <w:start w:w="120" w:type="dxa"/>
              <w:bottom w:w="80" w:type="dxa"/>
              <w:end w:w="120" w:type="dxa"/>
            </w:tcMar>
            <w:vAlign w:val="center"/>
          </w:tcPr>
          <w:p>
            <w:pPr>
              <w:spacing w:after="0"/>
            </w:pPr>
            <w:r>
              <w:rPr>
                <w:rFonts w:ascii="Calibri" w:hAnsi="Calibri"/>
                <w:sz w:val="18"/>
              </w:rPr>
              <w:t>Abordarea hibridă axe-core + AI va identifica mai multe probleme reale decât fiecare metodă utilizată separat.</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H2</w:t>
            </w:r>
          </w:p>
        </w:tc>
        <w:tc>
          <w:tcPr>
            <w:tcW w:type="dxa" w:w="8122"/>
            <w:tcMar>
              <w:top w:w="80" w:type="dxa"/>
              <w:start w:w="120" w:type="dxa"/>
              <w:bottom w:w="80" w:type="dxa"/>
              <w:end w:w="120" w:type="dxa"/>
            </w:tcMar>
            <w:vAlign w:val="center"/>
          </w:tcPr>
          <w:p>
            <w:pPr>
              <w:spacing w:after="0"/>
            </w:pPr>
            <w:r>
              <w:rPr>
                <w:rFonts w:ascii="Calibri" w:hAnsi="Calibri"/>
                <w:sz w:val="18"/>
              </w:rPr>
              <w:t>Furnizarea unei capturi de ecran va îmbunătăți detectarea problemelor vizuale, precum contrastul, suprapunerile, dimensiunea elementelor și conținutul tăiat.</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H3</w:t>
            </w:r>
          </w:p>
        </w:tc>
        <w:tc>
          <w:tcPr>
            <w:tcW w:type="dxa" w:w="8122"/>
            <w:tcMar>
              <w:top w:w="80" w:type="dxa"/>
              <w:start w:w="120" w:type="dxa"/>
              <w:bottom w:w="80" w:type="dxa"/>
              <w:end w:w="120" w:type="dxa"/>
            </w:tcMar>
            <w:vAlign w:val="center"/>
          </w:tcPr>
          <w:p>
            <w:pPr>
              <w:spacing w:after="0"/>
            </w:pPr>
            <w:r>
              <w:rPr>
                <w:rFonts w:ascii="Calibri" w:hAnsi="Calibri"/>
                <w:sz w:val="18"/>
              </w:rPr>
              <w:t>Analiza în modul mobil va identifica probleme care nu sunt prezente sau vizibile în modul desktop.</w:t>
            </w:r>
          </w:p>
        </w:tc>
      </w:tr>
      <w:tr>
        <w:trPr>
          <w:cantSplit/>
        </w:trPr>
        <w:tc>
          <w:tcPr>
            <w:tcW w:type="dxa" w:w="950"/>
            <w:tcMar>
              <w:top w:w="80" w:type="dxa"/>
              <w:start w:w="120" w:type="dxa"/>
              <w:bottom w:w="80" w:type="dxa"/>
              <w:end w:w="120" w:type="dxa"/>
            </w:tcMar>
            <w:vAlign w:val="center"/>
          </w:tcPr>
          <w:p>
            <w:pPr>
              <w:spacing w:after="0"/>
            </w:pPr>
            <w:r>
              <w:rPr>
                <w:rFonts w:ascii="Calibri" w:hAnsi="Calibri"/>
                <w:sz w:val="18"/>
              </w:rPr>
              <w:t>H4</w:t>
            </w:r>
          </w:p>
        </w:tc>
        <w:tc>
          <w:tcPr>
            <w:tcW w:type="dxa" w:w="8122"/>
            <w:tcMar>
              <w:top w:w="80" w:type="dxa"/>
              <w:start w:w="120" w:type="dxa"/>
              <w:bottom w:w="80" w:type="dxa"/>
              <w:end w:w="120" w:type="dxa"/>
            </w:tcMar>
            <w:vAlign w:val="center"/>
          </w:tcPr>
          <w:p>
            <w:pPr>
              <w:spacing w:after="0"/>
            </w:pPr>
            <w:r>
              <w:rPr>
                <w:rFonts w:ascii="Calibri" w:hAnsi="Calibri"/>
                <w:sz w:val="18"/>
              </w:rPr>
              <w:t>Modelele AI mici vor putea genera rezultate utile la cost redus, dar vor exista diferențe privind acuratețea, explicațiile, consistența și timpul de răspuns.</w:t>
            </w:r>
          </w:p>
        </w:tc>
      </w:tr>
    </w:tbl>
    <w:p>
      <w:pPr>
        <w:spacing w:after="0"/>
      </w:pPr>
    </w:p>
    <w:tbl>
      <w:tblPr>
        <w:tblW w:type="dxa" w:w="9072"/>
        <w:jc w:val="left"/>
        <w:tblLayout w:type="fixed"/>
        <w:tblLook w:firstColumn="1" w:firstRow="1" w:lastColumn="0" w:lastRow="0" w:noHBand="0" w:noVBand="1" w:val="04A0"/>
        <w:tblInd w:w="120" w:type="dxa"/>
      </w:tblPr>
      <w:tblGrid>
        <w:gridCol w:w="9072"/>
      </w:tblGrid>
      <w:tr>
        <w:trPr>
          <w:cantSplit/>
        </w:trPr>
        <w:tc>
          <w:tcPr>
            <w:tcW w:type="dxa" w:w="9072"/>
            <w:shd w:fill="F2F4F7"/>
            <w:tcMar>
              <w:top w:w="80" w:type="dxa"/>
              <w:start w:w="120" w:type="dxa"/>
              <w:bottom w:w="80" w:type="dxa"/>
              <w:end w:w="120" w:type="dxa"/>
            </w:tcMar>
            <w:vAlign w:val="center"/>
          </w:tcPr>
          <w:p>
            <w:pPr>
              <w:spacing w:after="40"/>
            </w:pPr>
            <w:r>
              <w:rPr>
                <w:rFonts w:ascii="Calibri" w:hAnsi="Calibri"/>
                <w:b/>
                <w:color w:val="183B56"/>
              </w:rPr>
              <w:t xml:space="preserve">Principiu metodologic: </w:t>
            </w:r>
            <w:r>
              <w:t>Ipotezele vor fi testate, nu confirmate prin selecția convenabilă a rezultatelor. Un rezultat care infirmă o ipoteză este valid științific.</w:t>
            </w:r>
          </w:p>
        </w:tc>
      </w:tr>
    </w:tbl>
    <w:p>
      <w:pPr>
        <w:spacing w:after="0"/>
      </w:pPr>
    </w:p>
    <w:p>
      <w:pPr>
        <w:pStyle w:val="Heading1"/>
      </w:pPr>
      <w:r>
        <w:t>8. Contribuția propusă</w:t>
      </w:r>
    </w:p>
    <w:p>
      <w:r>
        <w:rPr>
          <w:rFonts w:ascii="Calibri" w:hAnsi="Calibri"/>
          <w:i w:val="0"/>
        </w:rPr>
        <w:t>Contribuția cercetării constă în extinderea evaluării accesibilității bazate pe modele lingvistice prin introducerea contextului vizual, analiza diferențiată desktop-mobil, compararea modelelor cu cost redus și păstrarea unei trasabilități complete între configurație, rezultate și cost.</w:t>
      </w:r>
    </w:p>
    <w:p>
      <w:pPr>
        <w:spacing w:after="80"/>
        <w:numPr>
          <w:ilvl w:val="0"/>
          <w:numId w:val="10"/>
        </w:numPr>
      </w:pPr>
      <w:r>
        <w:t>un flux hibrid care nu înlocuiește constatările originale;</w:t>
      </w:r>
    </w:p>
    <w:p>
      <w:pPr>
        <w:spacing w:after="80"/>
        <w:numPr>
          <w:ilvl w:val="0"/>
          <w:numId w:val="10"/>
        </w:numPr>
      </w:pPr>
      <w:r>
        <w:t>un benchmark controlat cu perechi problemă-corectare;</w:t>
      </w:r>
    </w:p>
    <w:p>
      <w:pPr>
        <w:spacing w:after="80"/>
        <w:numPr>
          <w:ilvl w:val="0"/>
          <w:numId w:val="10"/>
        </w:numPr>
      </w:pPr>
      <w:r>
        <w:t>o comparație multimodală prin excluderea și includerea capturii de ecran;</w:t>
      </w:r>
    </w:p>
    <w:p>
      <w:pPr>
        <w:spacing w:after="80"/>
        <w:numPr>
          <w:ilvl w:val="0"/>
          <w:numId w:val="10"/>
        </w:numPr>
      </w:pPr>
      <w:r>
        <w:t>o comparație reproductibilă între modele AI mici;</w:t>
      </w:r>
    </w:p>
    <w:p>
      <w:pPr>
        <w:spacing w:after="80"/>
        <w:numPr>
          <w:ilvl w:val="0"/>
          <w:numId w:val="10"/>
        </w:numPr>
      </w:pPr>
      <w:r>
        <w:t>o analiză separată a detectării, clasificării WCAG și calității explicației.</w:t>
      </w:r>
    </w:p>
    <w:p>
      <w:pPr>
        <w:pStyle w:val="Heading1"/>
      </w:pPr>
      <w:r>
        <w:t>9. Livrabile</w:t>
      </w:r>
    </w:p>
    <w:tbl>
      <w:tblPr>
        <w:tblStyle w:val="TableGrid"/>
        <w:tblW w:type="dxa" w:w="9072"/>
        <w:jc w:val="left"/>
        <w:tblLayout w:type="fixed"/>
        <w:tblLook w:firstColumn="1" w:firstRow="1" w:lastColumn="0" w:lastRow="0" w:noHBand="0" w:noVBand="1" w:val="04A0"/>
        <w:tblInd w:w="120" w:type="dxa"/>
      </w:tblPr>
      <w:tblGrid>
        <w:gridCol w:w="2700"/>
        <w:gridCol w:w="6372"/>
      </w:tblGrid>
      <w:tr>
        <w:trPr>
          <w:tblHeader w:val="true"/>
          <w:cantSplit/>
        </w:trPr>
        <w:tc>
          <w:tcPr>
            <w:tcW w:type="dxa" w:w="2700"/>
            <w:shd w:fill="EAF2F7"/>
            <w:tcMar>
              <w:top w:w="80" w:type="dxa"/>
              <w:start w:w="120" w:type="dxa"/>
              <w:bottom w:w="80" w:type="dxa"/>
              <w:end w:w="120" w:type="dxa"/>
            </w:tcMar>
            <w:vAlign w:val="center"/>
          </w:tcPr>
          <w:p>
            <w:pPr>
              <w:spacing w:after="0"/>
            </w:pPr>
            <w:r>
              <w:rPr>
                <w:rFonts w:ascii="Calibri" w:hAnsi="Calibri"/>
                <w:b/>
                <w:color w:val="183B56"/>
                <w:sz w:val="18"/>
              </w:rPr>
              <w:t>Livrabil</w:t>
            </w:r>
          </w:p>
        </w:tc>
        <w:tc>
          <w:tcPr>
            <w:tcW w:type="dxa" w:w="6372"/>
            <w:shd w:fill="EAF2F7"/>
            <w:tcMar>
              <w:top w:w="80" w:type="dxa"/>
              <w:start w:w="120" w:type="dxa"/>
              <w:bottom w:w="80" w:type="dxa"/>
              <w:end w:w="120" w:type="dxa"/>
            </w:tcMar>
            <w:vAlign w:val="center"/>
          </w:tcPr>
          <w:p>
            <w:pPr>
              <w:spacing w:after="0"/>
            </w:pPr>
            <w:r>
              <w:rPr>
                <w:rFonts w:ascii="Calibri" w:hAnsi="Calibri"/>
                <w:b/>
                <w:color w:val="183B56"/>
                <w:sz w:val="18"/>
              </w:rPr>
              <w:t>Conținut</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8"/>
              </w:rPr>
              <w:t>Prototip software</w:t>
            </w:r>
          </w:p>
        </w:tc>
        <w:tc>
          <w:tcPr>
            <w:tcW w:type="dxa" w:w="6372"/>
            <w:tcMar>
              <w:top w:w="80" w:type="dxa"/>
              <w:start w:w="120" w:type="dxa"/>
              <w:bottom w:w="80" w:type="dxa"/>
              <w:end w:w="120" w:type="dxa"/>
            </w:tcMar>
            <w:vAlign w:val="center"/>
          </w:tcPr>
          <w:p>
            <w:pPr>
              <w:spacing w:after="0"/>
            </w:pPr>
            <w:r>
              <w:rPr>
                <w:rFonts w:ascii="Calibri" w:hAnsi="Calibri"/>
                <w:sz w:val="18"/>
              </w:rPr>
              <w:t>Analiză URL, axe-core, AI, raport și export experimental</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8"/>
              </w:rPr>
              <w:t>Set de scenarii</w:t>
            </w:r>
          </w:p>
        </w:tc>
        <w:tc>
          <w:tcPr>
            <w:tcW w:type="dxa" w:w="6372"/>
            <w:tcMar>
              <w:top w:w="80" w:type="dxa"/>
              <w:start w:w="120" w:type="dxa"/>
              <w:bottom w:w="80" w:type="dxa"/>
              <w:end w:w="120" w:type="dxa"/>
            </w:tcMar>
            <w:vAlign w:val="center"/>
          </w:tcPr>
          <w:p>
            <w:pPr>
              <w:spacing w:after="0"/>
            </w:pPr>
            <w:r>
              <w:rPr>
                <w:rFonts w:ascii="Calibri" w:hAnsi="Calibri"/>
                <w:sz w:val="18"/>
              </w:rPr>
              <w:t>12 perechi BAD/GOOD raportate la WCAG 2.2</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8"/>
              </w:rPr>
              <w:t>Set de date experimental</w:t>
            </w:r>
          </w:p>
        </w:tc>
        <w:tc>
          <w:tcPr>
            <w:tcW w:type="dxa" w:w="6372"/>
            <w:tcMar>
              <w:top w:w="80" w:type="dxa"/>
              <w:start w:w="120" w:type="dxa"/>
              <w:bottom w:w="80" w:type="dxa"/>
              <w:end w:w="120" w:type="dxa"/>
            </w:tcMar>
            <w:vAlign w:val="center"/>
          </w:tcPr>
          <w:p>
            <w:pPr>
              <w:spacing w:after="0"/>
            </w:pPr>
            <w:r>
              <w:rPr>
                <w:rFonts w:ascii="Calibri" w:hAnsi="Calibri"/>
                <w:sz w:val="18"/>
              </w:rPr>
              <w:t>Execuții, constatări, etichete, costuri și timpi</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8"/>
              </w:rPr>
              <w:t>Analiză empirică</w:t>
            </w:r>
          </w:p>
        </w:tc>
        <w:tc>
          <w:tcPr>
            <w:tcW w:type="dxa" w:w="6372"/>
            <w:tcMar>
              <w:top w:w="80" w:type="dxa"/>
              <w:start w:w="120" w:type="dxa"/>
              <w:bottom w:w="80" w:type="dxa"/>
              <w:end w:w="120" w:type="dxa"/>
            </w:tcMar>
            <w:vAlign w:val="center"/>
          </w:tcPr>
          <w:p>
            <w:pPr>
              <w:spacing w:after="0"/>
            </w:pPr>
            <w:r>
              <w:rPr>
                <w:rFonts w:ascii="Calibri" w:hAnsi="Calibri"/>
                <w:sz w:val="18"/>
              </w:rPr>
              <w:t>Metrici de detectare, explicație, consistență și cost</w:t>
            </w:r>
          </w:p>
        </w:tc>
      </w:tr>
      <w:tr>
        <w:trPr>
          <w:cantSplit/>
        </w:trPr>
        <w:tc>
          <w:tcPr>
            <w:tcW w:type="dxa" w:w="2700"/>
            <w:tcMar>
              <w:top w:w="80" w:type="dxa"/>
              <w:start w:w="120" w:type="dxa"/>
              <w:bottom w:w="80" w:type="dxa"/>
              <w:end w:w="120" w:type="dxa"/>
            </w:tcMar>
            <w:vAlign w:val="center"/>
          </w:tcPr>
          <w:p>
            <w:pPr>
              <w:spacing w:after="0"/>
            </w:pPr>
            <w:r>
              <w:rPr>
                <w:rFonts w:ascii="Calibri" w:hAnsi="Calibri"/>
                <w:sz w:val="18"/>
              </w:rPr>
              <w:t>Disertație</w:t>
            </w:r>
          </w:p>
        </w:tc>
        <w:tc>
          <w:tcPr>
            <w:tcW w:type="dxa" w:w="6372"/>
            <w:tcMar>
              <w:top w:w="80" w:type="dxa"/>
              <w:start w:w="120" w:type="dxa"/>
              <w:bottom w:w="80" w:type="dxa"/>
              <w:end w:w="120" w:type="dxa"/>
            </w:tcMar>
            <w:vAlign w:val="center"/>
          </w:tcPr>
          <w:p>
            <w:pPr>
              <w:spacing w:after="0"/>
            </w:pPr>
            <w:r>
              <w:rPr>
                <w:rFonts w:ascii="Calibri" w:hAnsi="Calibri"/>
                <w:sz w:val="18"/>
              </w:rPr>
              <w:t>Context, metodă, implementare, rezultate, discuții și limite</w:t>
            </w:r>
          </w:p>
        </w:tc>
      </w:tr>
    </w:tbl>
    <w:p>
      <w:pPr>
        <w:spacing w:after="0"/>
      </w:pPr>
    </w:p>
    <w:p>
      <w:pPr>
        <w:pStyle w:val="Heading1"/>
      </w:pPr>
      <w:r>
        <w:t>10. Parametri consemnați la pilot sau la predarea formală</w:t>
      </w:r>
    </w:p>
    <w:p>
      <w:pPr>
        <w:spacing w:after="80"/>
        <w:numPr>
          <w:ilvl w:val="0"/>
          <w:numId w:val="10"/>
        </w:numPr>
      </w:pPr>
      <w:r>
        <w:t>Titlul academic final și datele complete de copertă se completează conform cerințelor facultății; nu blochează implementarea sau experimentul.</w:t>
      </w:r>
    </w:p>
    <w:p>
      <w:pPr>
        <w:spacing w:after="80"/>
        <w:numPr>
          <w:ilvl w:val="0"/>
          <w:numId w:val="10"/>
        </w:numPr>
      </w:pPr>
      <w:r>
        <w:t>Catalogul inițial conține gpt-5-nano și gpt-4.1-nano; identificatorii efectivi și tarifele valabile se verifică la pilot și se salvează în configurația înghețată.</w:t>
      </w:r>
    </w:p>
    <w:p>
      <w:pPr>
        <w:spacing w:after="80"/>
        <w:numPr>
          <w:ilvl w:val="0"/>
          <w:numId w:val="10"/>
        </w:numPr>
      </w:pPr>
      <w:r>
        <w:t>Promptul V1, schema strictă V1 și parametrii sunt configurații versionate; valorile efective și hashurile se fixează după pilot, conform documentului 06.</w:t>
      </w:r>
    </w:p>
    <w:p>
      <w:pPr>
        <w:spacing w:after="80"/>
        <w:numPr>
          <w:ilvl w:val="0"/>
          <w:numId w:val="10"/>
        </w:numPr>
      </w:pPr>
      <w:r>
        <w:t>Grila E1–E5 și planul statistic sunt definite în protocolul 03, secțiunea 18.</w:t>
      </w:r>
    </w:p>
    <w:p>
      <w:pPr>
        <w:spacing w:after="80"/>
        <w:numPr>
          <w:ilvl w:val="0"/>
          <w:numId w:val="10"/>
        </w:numPr>
      </w:pPr>
      <w:r>
        <w:t>Al doilea evaluator este recomandat pentru minimum 20% stratificat; indisponibilitatea sa nu blochează studiul și se declară ca limitare.</w:t>
      </w:r>
    </w:p>
    <w:p>
      <w:pPr>
        <w:spacing w:after="80"/>
        <w:numPr>
          <w:ilvl w:val="0"/>
          <w:numId w:val="10"/>
        </w:numPr>
      </w:pPr>
      <w:r>
        <w:t>Calendarul de bază este de 16 săptămâni, cu variante de 12 și 24 de săptămâni, conform documentului 07.</w:t>
      </w:r>
    </w:p>
    <w:p>
      <w:pPr>
        <w:pStyle w:val="Heading1"/>
      </w:pPr>
      <w:r>
        <w:t>11. Surse de bază</w:t>
      </w:r>
    </w:p>
    <w:p>
      <w:pPr>
        <w:spacing w:after="120"/>
        <w:ind w:left="227" w:hanging="227"/>
      </w:pPr>
      <w:r>
        <w:rPr>
          <w:rFonts w:ascii="Calibri" w:hAnsi="Calibri"/>
          <w:sz w:val="19"/>
        </w:rPr>
        <w:t xml:space="preserve">W3C, Web Content Accessibility Guidelines (WCAG) 2.2. </w:t>
      </w:r>
      <w:r>
        <w:rPr>
          <w:rFonts w:ascii="Calibri" w:hAnsi="Calibri"/>
          <w:color w:val="2E5D7B"/>
          <w:sz w:val="19"/>
        </w:rPr>
        <w:t>https://www.w3.org/TR/WCAG22/</w:t>
      </w:r>
    </w:p>
    <w:p>
      <w:pPr>
        <w:spacing w:after="120"/>
        <w:ind w:left="227" w:hanging="227"/>
      </w:pPr>
      <w:r>
        <w:rPr>
          <w:rFonts w:ascii="Calibri" w:hAnsi="Calibri"/>
          <w:sz w:val="19"/>
        </w:rPr>
        <w:t xml:space="preserve">W3C WAI, Mobile Accessibility at W3C. </w:t>
      </w:r>
      <w:r>
        <w:rPr>
          <w:rFonts w:ascii="Calibri" w:hAnsi="Calibri"/>
          <w:color w:val="2E5D7B"/>
          <w:sz w:val="19"/>
        </w:rPr>
        <w:t>https://www.w3.org/WAI/standards-guidelines/mobile/</w:t>
      </w:r>
    </w:p>
    <w:p>
      <w:pPr>
        <w:spacing w:after="120"/>
        <w:ind w:left="227" w:hanging="227"/>
      </w:pPr>
      <w:r>
        <w:rPr>
          <w:rFonts w:ascii="Calibri" w:hAnsi="Calibri"/>
          <w:sz w:val="19"/>
        </w:rPr>
        <w:t xml:space="preserve">Oyelayo, O.; Abushaqra, G.; Asadi, P.; Dey, D.; Costa, D. E. (2026), LLM Based Web Accessibility Repair: An Empirical Study of Detection, Remediation, and Cost, arXiv:2605.27716. </w:t>
      </w:r>
      <w:r>
        <w:rPr>
          <w:rFonts w:ascii="Calibri" w:hAnsi="Calibri"/>
          <w:color w:val="2E5D7B"/>
          <w:sz w:val="19"/>
        </w:rPr>
        <w:t>https://arxiv.org/abs/2605.27716</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727A"/>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9727A"/>
        <w:sz w:val="17"/>
      </w:rPr>
      <w:t>PROIECT DE DISERTAȚIE   |   DOCUMENT DE LUCRU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