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/>
          <w:b/>
          <w:color w:val="183B56"/>
          <w:sz w:val="50"/>
        </w:rPr>
        <w:t>Protocol experimental</w:t>
      </w:r>
    </w:p>
    <w:p>
      <w:pPr>
        <w:spacing w:after="520"/>
      </w:pPr>
      <w:r>
        <w:rPr>
          <w:rFonts w:ascii="Calibri" w:hAnsi="Calibri"/>
          <w:color w:val="69727A"/>
          <w:sz w:val="27"/>
        </w:rPr>
        <w:t>Evaluarea comparativă axe-core, AI textual, AI multimodal și metodă hibridă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Evaluarea accesibilității interfețelor web responsive folosind inteligența artificială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Autor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Silviu Vasilică Luța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Protocol înghețat pentru implementare și pilot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septembrie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Coordonator / program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 completat în versiunea formală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Statutul versiunii: Specificația 1.0 este completă și înghețată pentru implementare. Valorile administrative și configurația efectivă a pilotului se consemnează factual, fără redefinirea retrospectivă a designului.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Scop</w:t>
      </w:r>
    </w:p>
    <w:p>
      <w:r>
        <w:rPr>
          <w:rFonts w:ascii="Calibri" w:hAnsi="Calibri"/>
          <w:i w:val="0"/>
        </w:rPr>
        <w:t>Protocolul fixează procedura de colectare și evaluare a datelor înaintea experimentului final. Obiectivul este reducerea deciziilor luate după observarea rezultatelor și obținerea unor comparații reproductibile.</w:t>
      </w:r>
    </w:p>
    <w:p>
      <w:pPr>
        <w:pStyle w:val="Heading1"/>
      </w:pPr>
      <w:r>
        <w:t>2. Tipul studiului</w:t>
      </w:r>
    </w:p>
    <w:p>
      <w:r>
        <w:rPr>
          <w:rFonts w:ascii="Calibri" w:hAnsi="Calibri"/>
          <w:i w:val="0"/>
        </w:rPr>
        <w:t>Studiul este un experiment controlat cu măsurători repetate. Aceleași cazuri pagină-viewport sunt analizate de metode diferite, ceea ce permite comparații pereche. Setul controlat este principala bază pentru metricile de detectare; paginile publice reale pot fi folosite numai exploratoriu.</w:t>
      </w:r>
    </w:p>
    <w:p>
      <w:pPr>
        <w:pStyle w:val="Heading1"/>
      </w:pPr>
      <w:r>
        <w:t>3. Eșantionul experimental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72"/>
      </w:tblGrid>
      <w:tr>
        <w:trPr>
          <w:tblHeader w:val="true"/>
          <w:cantSplit/>
        </w:trPr>
        <w:tc>
          <w:tcPr>
            <w:tcW w:type="dxa" w:w="2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Componentă</w:t>
            </w:r>
          </w:p>
        </w:tc>
        <w:tc>
          <w:tcPr>
            <w:tcW w:type="dxa" w:w="62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Scenarii WCAG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Variante per scenariu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2: BAD și GOOD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Pagini controlate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Cazuri desktop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24: S01-S12, BAD și GOOD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Cazuri mobile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22: S01-S11, BAD și GOOD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Cazuri reflow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2: S12 BAD și GOOD la 320 px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Cazuri pagină-viewport</w:t>
            </w:r>
          </w:p>
        </w:tc>
        <w:tc>
          <w:tcPr>
            <w:tcW w:type="dxa" w:w="6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 în total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Varianta GOOD funcționează ca martor negativ și permite măsurarea alarmelor false. În fiecare pereche se modifică numai elementele necesare remedierii problemei urmărite.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Ground truth pe viewport: </w:t>
            </w:r>
            <w:r>
              <w:t>Eticheta BAD descrie fixture-ul, nu garantează că bariera apare în toate viewporturile. Pentru S08, S11 și S12, cazul desktop are expected=ABSENT pentru bariera responsive urmărită; cazul mobil sau reflow are expected=PRESENT.</w:t>
            </w:r>
          </w:p>
        </w:tc>
      </w:tr>
    </w:tbl>
    <w:p>
      <w:pPr>
        <w:spacing w:after="0"/>
      </w:pPr>
    </w:p>
    <w:p>
      <w:pPr>
        <w:pStyle w:val="Heading1"/>
      </w:pPr>
      <w:r>
        <w:t>4. Viewporturi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1700"/>
        <w:gridCol w:w="4772"/>
      </w:tblGrid>
      <w:tr>
        <w:trPr>
          <w:tblHeader w:val="true"/>
          <w:cantSplit/>
        </w:trPr>
        <w:tc>
          <w:tcPr>
            <w:tcW w:type="dxa" w:w="9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Cod</w:t>
            </w:r>
          </w:p>
        </w:tc>
        <w:tc>
          <w:tcPr>
            <w:tcW w:type="dxa" w:w="1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Mod</w:t>
            </w:r>
          </w:p>
        </w:tc>
        <w:tc>
          <w:tcPr>
            <w:tcW w:type="dxa" w:w="1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Rezoluție</w:t>
            </w:r>
          </w:p>
        </w:tc>
        <w:tc>
          <w:tcPr>
            <w:tcW w:type="dxa" w:w="47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Utilizare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V-D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Desktop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1366 × 768</w:t>
            </w:r>
          </w:p>
        </w:tc>
        <w:tc>
          <w:tcPr>
            <w:tcW w:type="dxa" w:w="4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Toate scenariile S01-S12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V-M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Mobil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390 × 844</w:t>
            </w:r>
          </w:p>
        </w:tc>
        <w:tc>
          <w:tcPr>
            <w:tcW w:type="dxa" w:w="4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Scenariile S01-S11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V-R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Reflow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320 × 800</w:t>
            </w:r>
          </w:p>
        </w:tc>
        <w:tc>
          <w:tcPr>
            <w:tcW w:type="dxa" w:w="4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Înlocuiește V-M pentru S12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Control: </w:t>
            </w:r>
            <w:r>
              <w:t>Pentru S12, V-R înlocuiește viewportul mobil obișnuit și nu se adaugă peste cele 48 de cazuri. Zoomul, agentul de browser și parametrii de redare rămân constanți în aceeași serie experimentală.</w:t>
            </w:r>
          </w:p>
        </w:tc>
      </w:tr>
    </w:tbl>
    <w:p>
      <w:pPr>
        <w:spacing w:after="0"/>
      </w:pPr>
    </w:p>
    <w:p>
      <w:pPr>
        <w:pStyle w:val="Heading1"/>
      </w:pPr>
      <w:r>
        <w:t>5. Condiții experimentale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3000"/>
        <w:gridCol w:w="3472"/>
      </w:tblGrid>
      <w:tr>
        <w:trPr>
          <w:tblHeader w:val="true"/>
          <w:cantSplit/>
        </w:trPr>
        <w:tc>
          <w:tcPr>
            <w:tcW w:type="dxa" w:w="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Cod</w:t>
            </w:r>
          </w:p>
        </w:tc>
        <w:tc>
          <w:tcPr>
            <w:tcW w:type="dxa" w:w="1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Metodă</w:t>
            </w:r>
          </w:p>
        </w:tc>
        <w:tc>
          <w:tcPr>
            <w:tcW w:type="dxa" w:w="30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Intrare</w:t>
            </w:r>
          </w:p>
        </w:tc>
        <w:tc>
          <w:tcPr>
            <w:tcW w:type="dxa" w:w="34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Rol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axe-core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DOM redat și regulile axe-core</w:t>
            </w:r>
          </w:p>
        </w:tc>
        <w:tc>
          <w:tcPr>
            <w:tcW w:type="dxa" w:w="3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Bază deterministă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AI textual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Structură și informații textuale</w:t>
            </w:r>
          </w:p>
        </w:tc>
        <w:tc>
          <w:tcPr>
            <w:tcW w:type="dxa" w:w="3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Măsoară analiza fără imagine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AI multimodal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Aceeași structură plus captură</w:t>
            </w:r>
          </w:p>
        </w:tc>
        <w:tc>
          <w:tcPr>
            <w:tcW w:type="dxa" w:w="3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Măsoară efectul contextului vizual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Hibrid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Uniunea trasabilă M1 + M3</w:t>
            </w:r>
          </w:p>
        </w:tc>
        <w:tc>
          <w:tcPr>
            <w:tcW w:type="dxa" w:w="3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Măsoară efectul combinării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M4 este calculată din rezultatele M1 și M3 și nu necesită un apel AI suplimentar. O condiție exploratorie în care AI primește constatările axe-core poate fi rulată pe un subset, dar nu va fi introdusă în analiza principală fără actualizarea protocolului.</w:t>
      </w:r>
    </w:p>
    <w:p>
      <w:pPr>
        <w:pStyle w:val="Heading1"/>
      </w:pPr>
      <w:r>
        <w:t>6. Modele AI</w:t>
      </w:r>
    </w:p>
    <w:p>
      <w:r>
        <w:t>Catalogul inițial configurabil conține gpt-5-nano și gpt-4.1-nano. Identificatorii furnizorului, versiunile, capabilitățile și prețurile efective sunt verificate la pilot și salvate în ExperimentConfigurationSnapshot.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072"/>
      </w:tblGrid>
      <w:tr>
        <w:trPr>
          <w:tblHeader w:val="true"/>
          <w:cantSplit/>
        </w:trPr>
        <w:tc>
          <w:tcPr>
            <w:tcW w:type="dxa" w:w="30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Parametru</w:t>
            </w:r>
          </w:p>
        </w:tc>
        <w:tc>
          <w:tcPr>
            <w:tcW w:type="dxa" w:w="6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Regulă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Fixat pentru întreaga serie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Prompt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Aceeași versiune pentru toate cazurile comparabile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Context conversațional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Niciun istoric între execuții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Parametri de generare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Identici unde API-ul permite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Schema de răspuns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Identică între modele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Versiune și dată</w:t>
            </w:r>
          </w:p>
        </w:tc>
        <w:tc>
          <w:tcPr>
            <w:tcW w:type="dxa" w:w="6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Înregistrate în fiecare execuție</w:t>
            </w:r>
          </w:p>
        </w:tc>
      </w:tr>
    </w:tbl>
    <w:p>
      <w:pPr>
        <w:spacing w:after="0"/>
      </w:pPr>
    </w:p>
    <w:p>
      <w:pPr>
        <w:pStyle w:val="Heading1"/>
      </w:pPr>
      <w:r>
        <w:t>7. Repetări și volum</w:t>
      </w:r>
    </w:p>
    <w:p>
      <w:r>
        <w:rPr>
          <w:rFonts w:ascii="Calibri" w:hAnsi="Calibri"/>
          <w:i w:val="0"/>
        </w:rPr>
        <w:t>axe-core se execută o dată per caz. Fiecare condiție AI se repetă de trei ori, independent, pentru fiecare model.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0"/>
        <w:gridCol w:w="2272"/>
      </w:tblGrid>
      <w:tr>
        <w:trPr>
          <w:tblHeader w:val="true"/>
          <w:cantSplit/>
        </w:trPr>
        <w:tc>
          <w:tcPr>
            <w:tcW w:type="dxa" w:w="6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Calcul</w:t>
            </w:r>
          </w:p>
        </w:tc>
        <w:tc>
          <w:tcPr>
            <w:tcW w:type="dxa" w:w="22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Număr</w:t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Scanări axe-core</w:t>
            </w:r>
          </w:p>
        </w:tc>
        <w:tc>
          <w:tcPr>
            <w:tcW w:type="dxa" w:w="2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 cazuri × 2 configurații AI × 2 modele × 3 repetări</w:t>
            </w:r>
          </w:p>
        </w:tc>
        <w:tc>
          <w:tcPr>
            <w:tcW w:type="dxa" w:w="2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576 apeluri AI</w:t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Rezultate hibride</w:t>
            </w:r>
          </w:p>
        </w:tc>
        <w:tc>
          <w:tcPr>
            <w:tcW w:type="dxa" w:w="2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Calculate din M1 și M3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Pilot: Înaintea experimentului complet se rulează S01 și S04, BAD/GOOD, în condițiile planificate. Datele pilotului nu intră automat în analiza finală.</w:t>
            </w:r>
          </w:p>
        </w:tc>
      </w:tr>
    </w:tbl>
    <w:p>
      <w:pPr>
        <w:spacing w:after="0"/>
      </w:pPr>
    </w:p>
    <w:p>
      <w:pPr>
        <w:pStyle w:val="Heading1"/>
      </w:pPr>
      <w:r>
        <w:t>8. Ground truth</w:t>
      </w:r>
    </w:p>
    <w:p>
      <w:r>
        <w:rPr>
          <w:rFonts w:ascii="Calibri" w:hAnsi="Calibri"/>
          <w:i w:val="0"/>
        </w:rPr>
        <w:t>Pentru fiecare pagină se creează o fișă de referință înaintea experimentului. axe-core nu este considerat adevăr absolut. Ground truth-ul este stabilit prin defectul introdus, criteriul WCAG și verificarea manuală a variantei GOOD.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Separarea datelor: </w:t>
            </w:r>
            <w:r>
              <w:t>PredictedFinding reprezintă o constatare produsă de axe-core sau AI, GroundTruthIssue reprezintă problema cunoscută din benchmark, iar ExperimentEvaluation păstrează potrivirea și scorurile. FN și TN nu necesită findingId.</w:t>
            </w:r>
          </w:p>
        </w:tc>
      </w:tr>
    </w:tbl>
    <w:p>
      <w:pPr>
        <w:spacing w:after="0"/>
      </w:pPr>
    </w:p>
    <w:p>
      <w:pPr>
        <w:spacing w:after="80"/>
        <w:numPr>
          <w:ilvl w:val="0"/>
          <w:numId w:val="10"/>
        </w:numPr>
      </w:pPr>
      <w:r>
        <w:t>identificatorul scenariului și variantei;</w:t>
      </w:r>
    </w:p>
    <w:p>
      <w:pPr>
        <w:spacing w:after="80"/>
        <w:numPr>
          <w:ilvl w:val="0"/>
          <w:numId w:val="10"/>
        </w:numPr>
      </w:pPr>
      <w:r>
        <w:t>elementul afectat și starea de interacțiune;</w:t>
      </w:r>
    </w:p>
    <w:p>
      <w:pPr>
        <w:spacing w:after="80"/>
        <w:numPr>
          <w:ilvl w:val="0"/>
          <w:numId w:val="10"/>
        </w:numPr>
      </w:pPr>
      <w:r>
        <w:t>bariera urmărită;</w:t>
      </w:r>
    </w:p>
    <w:p>
      <w:pPr>
        <w:spacing w:after="80"/>
        <w:numPr>
          <w:ilvl w:val="0"/>
          <w:numId w:val="10"/>
        </w:numPr>
      </w:pPr>
      <w:r>
        <w:t>criteriul WCAG și nivelul de conformitate;</w:t>
      </w:r>
    </w:p>
    <w:p>
      <w:pPr>
        <w:spacing w:after="80"/>
        <w:numPr>
          <w:ilvl w:val="0"/>
          <w:numId w:val="10"/>
        </w:numPr>
      </w:pPr>
      <w:r>
        <w:t>viewportul unde problema trebuie să apară;</w:t>
      </w:r>
    </w:p>
    <w:p>
      <w:pPr>
        <w:spacing w:after="80"/>
        <w:numPr>
          <w:ilvl w:val="0"/>
          <w:numId w:val="10"/>
        </w:numPr>
      </w:pPr>
      <w:r>
        <w:t>procedura manuală de verificare;</w:t>
      </w:r>
    </w:p>
    <w:p>
      <w:pPr>
        <w:spacing w:after="80"/>
        <w:numPr>
          <w:ilvl w:val="0"/>
          <w:numId w:val="10"/>
        </w:numPr>
      </w:pPr>
      <w:r>
        <w:t>diferența exactă dintre BAD și GOOD.</w:t>
      </w:r>
    </w:p>
    <w:p>
      <w:pPr>
        <w:pStyle w:val="Heading1"/>
      </w:pPr>
      <w:r>
        <w:t>9. Potrivirea constatărilor</w:t>
      </w:r>
    </w:p>
    <w:p>
      <w:r>
        <w:rPr>
          <w:rFonts w:ascii="Calibri" w:hAnsi="Calibri"/>
          <w:i w:val="0"/>
        </w:rPr>
        <w:t>Detectarea și clasificarea WCAG sunt evaluate separat. O constatare poate identifica bariera corect, dar poate asocia un criteriu WCAG greșit.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472"/>
      </w:tblGrid>
      <w:tr>
        <w:trPr>
          <w:tblHeader w:val="true"/>
          <w:cantSplit/>
        </w:trPr>
        <w:tc>
          <w:tcPr>
            <w:tcW w:type="dxa" w:w="16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Etichetă</w:t>
            </w:r>
          </w:p>
        </w:tc>
        <w:tc>
          <w:tcPr>
            <w:tcW w:type="dxa" w:w="74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Definiție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TP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 există, este o barieră de accesibilitate, iar metoda identifică elementul sau cel puțin zona relevantă.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FP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 raportată nu există și nu este confirmată prin verificare manuală.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FN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 definită în ground truth nu este identificată de metodă.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TN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Varianta GOOD nu este raportată ca având problema principală urmărită.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DUP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Repetare a aceleiași constatări în aceeași execuție; nu se numără ca TP suplimentar.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OV</w:t>
            </w:r>
          </w:p>
        </w:tc>
        <w:tc>
          <w:tcPr>
            <w:tcW w:type="dxa" w:w="7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Altă problemă potențial validă, în afara ground truth-ului principal; se verifică manual și se raportează separat.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Regula principală: </w:t>
            </w:r>
            <w:r>
              <w:t>O constatare este TP numai dacă descrie o barieră reală și localizează cel puțin zona afectată. Asocierea WCAG, explicația și recomandarea se punctează separat.</w:t>
            </w:r>
          </w:p>
        </w:tc>
      </w:tr>
    </w:tbl>
    <w:p>
      <w:pPr>
        <w:spacing w:after="0"/>
      </w:pPr>
    </w:p>
    <w:p>
      <w:pPr>
        <w:pStyle w:val="Heading2"/>
      </w:pPr>
      <w:r>
        <w:t>9.1 Localizarea și asocierea WCAG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86"/>
        <w:gridCol w:w="4086"/>
      </w:tblGrid>
      <w:tr>
        <w:trPr>
          <w:tblHeader w:val="true"/>
          <w:cantSplit/>
        </w:trPr>
        <w:tc>
          <w:tcPr>
            <w:tcW w:type="dxa" w:w="9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Scor</w:t>
            </w:r>
          </w:p>
        </w:tc>
        <w:tc>
          <w:tcPr>
            <w:tcW w:type="dxa" w:w="4086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Localizare</w:t>
            </w:r>
          </w:p>
        </w:tc>
        <w:tc>
          <w:tcPr>
            <w:tcW w:type="dxa" w:w="4086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Asociere WCAG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Element greșit sau imposibil de localizat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 greșit, inventat sau absent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Zona sau componenta corectă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 valid și înrudit, dar nu criteriul principal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Elementul exact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Criteriul principal exact</w:t>
            </w:r>
          </w:p>
        </w:tc>
      </w:tr>
    </w:tbl>
    <w:p>
      <w:pPr>
        <w:spacing w:after="0"/>
      </w:pPr>
    </w:p>
    <w:p>
      <w:pPr>
        <w:pStyle w:val="Heading1"/>
      </w:pPr>
      <w:r>
        <w:t>10. Metrici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72"/>
        <w:gridCol w:w="3500"/>
      </w:tblGrid>
      <w:tr>
        <w:trPr>
          <w:tblHeader w:val="true"/>
          <w:cantSplit/>
        </w:trPr>
        <w:tc>
          <w:tcPr>
            <w:tcW w:type="dxa" w:w="1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Metrică</w:t>
            </w:r>
          </w:p>
        </w:tc>
        <w:tc>
          <w:tcPr>
            <w:tcW w:type="dxa" w:w="38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Formulă / definiție</w:t>
            </w:r>
          </w:p>
        </w:tc>
        <w:tc>
          <w:tcPr>
            <w:tcW w:type="dxa" w:w="35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Utilizare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Precizie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TP / (TP + FP)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Cât de multe constatări raportate sunt corecte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Recall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TP / (TP + FN)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Cât de multe probleme reale sunt găsite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F1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× Precizie × Recall / (Precizie + Recall)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Echilibru între precizie și recall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Corectitudine WCAG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Asocieri corecte / TP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Calitatea clasificării criteriului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FP pe pagină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FP / cazuri evaluate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Frecvența alarmelor false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Rată răspuns invalid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Răspunsuri invalide / apeluri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Robustețea integrării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Frecvență detectare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0/3, 1/3, 2/3 sau 3/3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Repetabilitatea unei constatări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Jaccard mediu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 |A ∩ B| / |A ∪ B| pentru cele trei perechi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Similaritatea seturilor între repetări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Latență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Durata pe execuție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Performanță operațională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Costul calculat pe execuție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Eficiență economică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 / TP</w:t>
            </w:r>
          </w:p>
        </w:tc>
        <w:tc>
          <w:tcPr>
            <w:tcW w:type="dxa" w:w="3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 total / TP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Eficiența detectării corecte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Atenție: </w:t>
            </w:r>
            <w:r>
              <w:t>Acuratețea globală nu va fi folosită singură, deoarece numărul de cazuri negative poate ascunde problemele ratate.</w:t>
            </w:r>
          </w:p>
        </w:tc>
      </w:tr>
    </w:tbl>
    <w:p>
      <w:pPr>
        <w:spacing w:after="0"/>
      </w:pPr>
    </w:p>
    <w:p>
      <w:pPr>
        <w:pStyle w:val="Heading1"/>
      </w:pPr>
      <w:r>
        <w:t>11. Evaluarea explicațiilor</w:t>
      </w:r>
    </w:p>
    <w:p>
      <w:r>
        <w:rPr>
          <w:rFonts w:ascii="Calibri" w:hAnsi="Calibri"/>
          <w:i w:val="0"/>
        </w:rPr>
        <w:t>Calitatea explicațiilor este analizată în principal pentru constatările TP. Explicațiile asociate FP se păstrează și se discută separat, deoarece o formulare convingătoare nu transformă o constatare falsă într-una corectă.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6472"/>
      </w:tblGrid>
      <w:tr>
        <w:trPr>
          <w:tblHeader w:val="true"/>
          <w:cantSplit/>
        </w:trPr>
        <w:tc>
          <w:tcPr>
            <w:tcW w:type="dxa" w:w="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Cod</w:t>
            </w:r>
          </w:p>
        </w:tc>
        <w:tc>
          <w:tcPr>
            <w:tcW w:type="dxa" w:w="1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Dimensiune</w:t>
            </w:r>
          </w:p>
        </w:tc>
        <w:tc>
          <w:tcPr>
            <w:tcW w:type="dxa" w:w="64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Întrebare de evaluare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Corectitudine</w:t>
            </w:r>
          </w:p>
        </w:tc>
        <w:tc>
          <w:tcPr>
            <w:tcW w:type="dxa" w:w="6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Explicația descrie corect bariera și nu conține afirmații tehnice false?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Claritate</w:t>
            </w:r>
          </w:p>
        </w:tc>
        <w:tc>
          <w:tcPr>
            <w:tcW w:type="dxa" w:w="6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Poate evaluatorul înțelege ușor problema și consecința ei?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Specificitate</w:t>
            </w:r>
          </w:p>
        </w:tc>
        <w:tc>
          <w:tcPr>
            <w:tcW w:type="dxa" w:w="6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Explicația se referă concret la elementul, starea și contextul analizat?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Recomandare</w:t>
            </w:r>
          </w:p>
        </w:tc>
        <w:tc>
          <w:tcPr>
            <w:tcW w:type="dxa" w:w="6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Remedierea este aplicabilă, sigură și nu introduce o altă problemă?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Impact</w:t>
            </w:r>
          </w:p>
        </w:tc>
        <w:tc>
          <w:tcPr>
            <w:tcW w:type="dxa" w:w="6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Este explicat efectul asupra utilizatorului și asupra modului de interacțiune?</w:t>
            </w:r>
          </w:p>
        </w:tc>
      </w:tr>
    </w:tbl>
    <w:p>
      <w:pPr>
        <w:spacing w:after="0"/>
      </w:pP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872"/>
      </w:tblGrid>
      <w:tr>
        <w:trPr>
          <w:tblHeader w:val="true"/>
          <w:cantSplit/>
        </w:trPr>
        <w:tc>
          <w:tcPr>
            <w:tcW w:type="dxa" w:w="12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Scor</w:t>
            </w:r>
          </w:p>
        </w:tc>
        <w:tc>
          <w:tcPr>
            <w:tcW w:type="dxa" w:w="78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Ancoră comună pentru E1-E5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Greșit, inutil sau potențial dăunător.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7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Conține erori majore ori omisiuni care împiedică utilizarea.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7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Acceptabil, dar generic, incomplet sau cu utilitate limitată.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7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Corect și util, cu omisiuni minore.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Precis, complet și direct aplicabil cazului analizat.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Scorul de calitate Q este media E1-E5. Dacă E1 este 1 sau 2, Q este limitat la maximum 2,5. Dacă remedierea propusă introduce o altă problemă de accesibilitate, E4 primește scorul 1. Lungimea sau stilul răspunsului nu compensează lipsa de corectitudine.</w:t>
      </w:r>
    </w:p>
    <w:p>
      <w:r>
        <w:rPr>
          <w:rFonts w:ascii="Calibri" w:hAnsi="Calibri"/>
          <w:i w:val="0"/>
        </w:rPr>
        <w:t>Evaluarea se face fără afișarea modelului, costului, latenței și numărului repetării, iar ordinea explicațiilor este randomizată. Ideal, un al doilea evaluator verifică independent un eșantion stratificat de 20-25%. Dacă nu este disponibil, autorul realizează evaluarea, iar riscul de subiectivitate este declarat explicit.</w:t>
      </w:r>
    </w:p>
    <w:p>
      <w:pPr>
        <w:pStyle w:val="Heading1"/>
      </w:pPr>
      <w:r>
        <w:t>12. Procedura</w:t>
      </w:r>
    </w:p>
    <w:p>
      <w:pPr>
        <w:spacing w:after="80"/>
        <w:numPr>
          <w:ilvl w:val="0"/>
          <w:numId w:val="11"/>
        </w:numPr>
      </w:pPr>
      <w:r>
        <w:t>Construirea și validarea paginilor BAD/GOOD.</w:t>
      </w:r>
    </w:p>
    <w:p>
      <w:pPr>
        <w:spacing w:after="80"/>
        <w:numPr>
          <w:ilvl w:val="0"/>
          <w:numId w:val="11"/>
        </w:numPr>
      </w:pPr>
      <w:r>
        <w:t>Stabilirea fișelor de ground truth.</w:t>
      </w:r>
    </w:p>
    <w:p>
      <w:pPr>
        <w:spacing w:after="80"/>
        <w:numPr>
          <w:ilvl w:val="0"/>
          <w:numId w:val="11"/>
        </w:numPr>
      </w:pPr>
      <w:r>
        <w:t>Rularea pilotului și corectarea erorilor de metodă.</w:t>
      </w:r>
    </w:p>
    <w:p>
      <w:pPr>
        <w:spacing w:after="80"/>
        <w:numPr>
          <w:ilvl w:val="0"/>
          <w:numId w:val="11"/>
        </w:numPr>
      </w:pPr>
      <w:r>
        <w:t>Înghețarea paginilor, promptului, modelelor și configurației.</w:t>
      </w:r>
    </w:p>
    <w:p>
      <w:pPr>
        <w:spacing w:after="80"/>
        <w:numPr>
          <w:ilvl w:val="0"/>
          <w:numId w:val="11"/>
        </w:numPr>
      </w:pPr>
      <w:r>
        <w:t>Randomizarea ordinii cazurilor, dacă infrastructura permite.</w:t>
      </w:r>
    </w:p>
    <w:p>
      <w:pPr>
        <w:spacing w:after="80"/>
        <w:numPr>
          <w:ilvl w:val="0"/>
          <w:numId w:val="11"/>
        </w:numPr>
      </w:pPr>
      <w:r>
        <w:t>Executarea completă și păstrarea rezultatelor originale.</w:t>
      </w:r>
    </w:p>
    <w:p>
      <w:pPr>
        <w:spacing w:after="80"/>
        <w:numPr>
          <w:ilvl w:val="0"/>
          <w:numId w:val="11"/>
        </w:numPr>
      </w:pPr>
      <w:r>
        <w:t>Clasificarea TP, FP, FN și TN conform regulilor fixate.</w:t>
      </w:r>
    </w:p>
    <w:p>
      <w:pPr>
        <w:spacing w:after="80"/>
        <w:numPr>
          <w:ilvl w:val="0"/>
          <w:numId w:val="11"/>
        </w:numPr>
      </w:pPr>
      <w:r>
        <w:t>Evaluarea explicațiilor fără folosirea costului sau modelului ca indiciu, dacă este posibil.</w:t>
      </w:r>
    </w:p>
    <w:p>
      <w:pPr>
        <w:spacing w:after="80"/>
        <w:numPr>
          <w:ilvl w:val="0"/>
          <w:numId w:val="11"/>
        </w:numPr>
      </w:pPr>
      <w:r>
        <w:t>Calcularea metricilor și analiza diferențelor.</w:t>
      </w:r>
    </w:p>
    <w:p>
      <w:pPr>
        <w:spacing w:after="80"/>
        <w:numPr>
          <w:ilvl w:val="0"/>
          <w:numId w:val="11"/>
        </w:numPr>
      </w:pPr>
      <w:r>
        <w:t>Raportarea rezultatelor, inclusiv a ipotezelor infirmate.</w:t>
      </w:r>
    </w:p>
    <w:p>
      <w:pPr>
        <w:pStyle w:val="Heading1"/>
      </w:pPr>
      <w:r>
        <w:t>13. Reproductibilitate</w:t>
      </w:r>
    </w:p>
    <w:p>
      <w:pPr>
        <w:spacing w:after="80"/>
        <w:numPr>
          <w:ilvl w:val="0"/>
          <w:numId w:val="10"/>
        </w:numPr>
      </w:pPr>
      <w:r>
        <w:t>identificator unic pentru fiecare execuție;</w:t>
      </w:r>
    </w:p>
    <w:p>
      <w:pPr>
        <w:spacing w:after="80"/>
        <w:numPr>
          <w:ilvl w:val="0"/>
          <w:numId w:val="10"/>
        </w:numPr>
      </w:pPr>
      <w:r>
        <w:t>timp în UTC;</w:t>
      </w:r>
    </w:p>
    <w:p>
      <w:pPr>
        <w:spacing w:after="80"/>
        <w:numPr>
          <w:ilvl w:val="0"/>
          <w:numId w:val="10"/>
        </w:numPr>
      </w:pPr>
      <w:r>
        <w:t>URL, hash sau versiune a paginii controlate;</w:t>
      </w:r>
    </w:p>
    <w:p>
      <w:pPr>
        <w:spacing w:after="80"/>
        <w:numPr>
          <w:ilvl w:val="0"/>
          <w:numId w:val="10"/>
        </w:numPr>
      </w:pPr>
      <w:r>
        <w:t>viewport, browser și versiuni de instrumente;</w:t>
      </w:r>
    </w:p>
    <w:p>
      <w:pPr>
        <w:spacing w:after="80"/>
        <w:numPr>
          <w:ilvl w:val="0"/>
          <w:numId w:val="10"/>
        </w:numPr>
      </w:pPr>
      <w:r>
        <w:t>model, prompt, parametri și schema de răspuns;</w:t>
      </w:r>
    </w:p>
    <w:p>
      <w:pPr>
        <w:spacing w:after="80"/>
        <w:numPr>
          <w:ilvl w:val="0"/>
          <w:numId w:val="10"/>
        </w:numPr>
      </w:pPr>
      <w:r>
        <w:t>rezultate originale și procesate;</w:t>
      </w:r>
    </w:p>
    <w:p>
      <w:pPr>
        <w:spacing w:after="80"/>
        <w:numPr>
          <w:ilvl w:val="0"/>
          <w:numId w:val="10"/>
        </w:numPr>
      </w:pPr>
      <w:r>
        <w:t>tokeni, cost și durată;</w:t>
      </w:r>
    </w:p>
    <w:p>
      <w:pPr>
        <w:spacing w:after="80"/>
        <w:numPr>
          <w:ilvl w:val="0"/>
          <w:numId w:val="10"/>
        </w:numPr>
      </w:pPr>
      <w:r>
        <w:t>jurnal al erorilor și al excluderilor.</w:t>
      </w:r>
    </w:p>
    <w:p>
      <w:pPr>
        <w:pStyle w:val="Heading1"/>
      </w:pPr>
      <w:r>
        <w:t>14. Amenințări la validitate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572"/>
      </w:tblGrid>
      <w:tr>
        <w:trPr>
          <w:tblHeader w:val="true"/>
          <w:cantSplit/>
        </w:trPr>
        <w:tc>
          <w:tcPr>
            <w:tcW w:type="dxa" w:w="35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Risc</w:t>
            </w:r>
          </w:p>
        </w:tc>
        <w:tc>
          <w:tcPr>
            <w:tcW w:type="dxa" w:w="55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Măsură de reducere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Pagini sintetice prea simple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 folosesc categorii variate; se poate adăuga ulterior un subset compozit.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Subiectivitate la evaluarea explicațiilor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Rubrică fixă și, ideal, al doilea evaluator pe un eșantion.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Schimbarea modelelor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Versiuni și dată înregistrate; experimentul se rulează într-un interval scurt.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Prompt optimizat după rezultate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Promptul se îngheață după pilot.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Generalizare limitată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Concluziile sunt limitate la scenariile, modelele și viewporturile testate.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Lipsa utilizatorilor cu dizabilități</w:t>
            </w:r>
          </w:p>
        </w:tc>
        <w:tc>
          <w:tcPr>
            <w:tcW w:type="dxa" w:w="5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Studiul este tehnic; nu pretinde evaluarea experienței reale a tuturor utilizatorilor.</w:t>
            </w:r>
          </w:p>
        </w:tc>
      </w:tr>
    </w:tbl>
    <w:p>
      <w:pPr>
        <w:spacing w:after="0"/>
      </w:pPr>
    </w:p>
    <w:p>
      <w:pPr>
        <w:pStyle w:val="Heading1"/>
      </w:pPr>
      <w:r>
        <w:t>15. Etică și confidențialitate</w:t>
      </w:r>
    </w:p>
    <w:p>
      <w:r>
        <w:rPr>
          <w:rFonts w:ascii="Calibri" w:hAnsi="Calibri"/>
          <w:i w:val="0"/>
        </w:rPr>
        <w:t>Experimentul principal folosește pagini controlate, fără date personale. Pentru orice analiză exploratorie a unei pagini publice se aplică minimizarea datelor, informarea despre furnizorul extern și excluderea paginilor autentificate.</w:t>
      </w:r>
    </w:p>
    <w:p>
      <w:pPr>
        <w:pStyle w:val="Heading1"/>
      </w:pPr>
      <w:r>
        <w:t>16. Valori înregistrate la pilot fără schimbarea protocolului</w:t>
      </w:r>
    </w:p>
    <w:p>
      <w:pPr>
        <w:spacing w:after="80"/>
        <w:numPr>
          <w:ilvl w:val="0"/>
          <w:numId w:val="10"/>
        </w:numPr>
      </w:pPr>
      <w:r>
        <w:t>Modelele inițiale sunt gpt-5-nano și gpt-4.1-nano; identificatorii, capabilitățile și prețurile efective se verifică și se îngheață în ExperimentConfigurationSnapshot.</w:t>
      </w:r>
    </w:p>
    <w:p>
      <w:pPr>
        <w:spacing w:after="80"/>
        <w:numPr>
          <w:ilvl w:val="0"/>
          <w:numId w:val="10"/>
        </w:numPr>
      </w:pPr>
      <w:r>
        <w:t>Promptul V1, schema strictă V1 și context builderul V1 sunt definite ca artefacte versionate; pilotul fixează valorile și hashurile folosite în experimentul final.</w:t>
      </w:r>
    </w:p>
    <w:p>
      <w:pPr>
        <w:spacing w:after="80"/>
        <w:numPr>
          <w:ilvl w:val="0"/>
          <w:numId w:val="10"/>
        </w:numPr>
      </w:pPr>
      <w:r>
        <w:t>Testele statistice și intervalele de încredere sunt stabilite în secțiunea 18; nu se aleg după observarea rezultatelor finale.</w:t>
      </w:r>
    </w:p>
    <w:p>
      <w:pPr>
        <w:spacing w:after="80"/>
        <w:numPr>
          <w:ilvl w:val="0"/>
          <w:numId w:val="10"/>
        </w:numPr>
      </w:pPr>
      <w:r>
        <w:t>Al doilea evaluator este recomandat pentru minimum 20% stratificat; dacă nu este disponibil, evaluarea principală continuă și limitarea este raportată explicit.</w:t>
      </w:r>
    </w:p>
    <w:p>
      <w:pPr>
        <w:pStyle w:val="Heading1"/>
      </w:pPr>
      <w:r>
        <w:t>17. Surse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W3C, Web Content Accessibility Guidelines (WCAG) 2.2. </w:t>
      </w:r>
      <w:r>
        <w:rPr>
          <w:rFonts w:ascii="Calibri" w:hAnsi="Calibri"/>
          <w:color w:val="2E5D7B"/>
          <w:sz w:val="19"/>
        </w:rPr>
        <w:t>https://www.w3.org/TR/WCAG22/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W3C WAI, Mobile Accessibility at W3C. </w:t>
      </w:r>
      <w:r>
        <w:rPr>
          <w:rFonts w:ascii="Calibri" w:hAnsi="Calibri"/>
          <w:color w:val="2E5D7B"/>
          <w:sz w:val="19"/>
        </w:rPr>
        <w:t>https://www.w3.org/WAI/standards-guidelines/mobile/</w:t>
      </w:r>
    </w:p>
    <w:p>
      <w:pPr>
        <w:spacing w:after="120"/>
        <w:ind w:left="227" w:hanging="227"/>
      </w:pPr>
      <w:r>
        <w:rPr>
          <w:rFonts w:ascii="Calibri" w:hAnsi="Calibri"/>
          <w:sz w:val="19"/>
        </w:rPr>
        <w:t xml:space="preserve">Oyelayo et al. (2026), LLM Based Web Accessibility Repair. </w:t>
      </w:r>
      <w:r>
        <w:rPr>
          <w:rFonts w:ascii="Calibri" w:hAnsi="Calibri"/>
          <w:color w:val="2E5D7B"/>
          <w:sz w:val="19"/>
        </w:rPr>
        <w:t>https://arxiv.org/abs/2605.27716</w:t>
      </w:r>
    </w:p>
    <w:p>
      <w:r>
        <w:br w:type="page"/>
      </w:r>
    </w:p>
    <w:p>
      <w:pPr>
        <w:pStyle w:val="Heading1"/>
      </w:pPr>
      <w:r>
        <w:t>18. Plan statistic și înghețarea protocolului</w:t>
      </w:r>
    </w:p>
    <w:p>
      <w:r>
        <w:t>Această secțiune închide deciziile rămase ale protocolului. Modificarea modelelor, promptului, prețurilor sau parametrilor la pilot nu necesită rescrierea protocolului: valorile efective sunt înghețate într-un ExperimentConfigurationSnapshot și sunt raportate ca date ale experimentului.</w:t>
      </w:r>
    </w:p>
    <w:p>
      <w:pPr>
        <w:pStyle w:val="Heading2"/>
      </w:pPr>
      <w:r>
        <w:t>18.1 Unități și seturi analizate</w:t>
      </w:r>
    </w:p>
    <w:p>
      <w:pPr>
        <w:pStyle w:val="ListBullet"/>
      </w:pPr>
      <w:r>
        <w:t>Unitatea de caz este combinația scenariu–variantă–viewport; sunt 48 de cazuri controlate.</w:t>
      </w:r>
    </w:p>
    <w:p>
      <w:pPr>
        <w:pStyle w:val="ListBullet"/>
      </w:pPr>
      <w:r>
        <w:t>axe-core rulează o dată pentru fiecare caz, rezultatul fiind reutilizat în combinațiile hibride.</w:t>
      </w:r>
    </w:p>
    <w:p>
      <w:pPr>
        <w:pStyle w:val="ListBullet"/>
      </w:pPr>
      <w:r>
        <w:t>AI_TEXT și AI_MULTIMODAL rulează pentru două modele și trei repetări: 576 apeluri AI.</w:t>
      </w:r>
    </w:p>
    <w:p>
      <w:pPr>
        <w:pStyle w:val="ListBullet"/>
      </w:pPr>
      <w:r>
        <w:t>Hibridul este derivat pentru fiecare rulare AI multimodală din rezultatul axe al aceluiași caz; nu lansează apel AI suplimentar.</w:t>
      </w:r>
    </w:p>
    <w:p>
      <w:pPr>
        <w:pStyle w:val="ListBullet"/>
      </w:pPr>
      <w:r>
        <w:t>BAD și GOOD se analizează separat și împreună; rezultatele pe viewport se raportează fără a amesteca S12 reflow cu MOBILE.</w:t>
      </w:r>
    </w:p>
    <w:p>
      <w:pPr>
        <w:pStyle w:val="Heading2"/>
      </w:pPr>
      <w:r>
        <w:t>18.2 Formulele principale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fill="D9EAF7"/>
            <w:vAlign w:val="top"/>
          </w:tcPr>
          <w:p>
            <w:pPr>
              <w:spacing w:before="20" w:after="40"/>
            </w:pPr>
            <w:r/>
            <w:r>
              <w:rPr>
                <w:b/>
                <w:sz w:val="18"/>
              </w:rPr>
              <w:t>Metrică</w:t>
            </w:r>
          </w:p>
        </w:tc>
        <w:tc>
          <w:tcPr>
            <w:tcW w:type="dxa" w:w="3024"/>
            <w:shd w:fill="D9EAF7"/>
            <w:vAlign w:val="top"/>
          </w:tcPr>
          <w:p>
            <w:pPr>
              <w:spacing w:before="20" w:after="40"/>
            </w:pPr>
            <w:r/>
            <w:r>
              <w:rPr>
                <w:b/>
                <w:sz w:val="18"/>
              </w:rPr>
              <w:t>Formulă / regulă</w:t>
            </w:r>
          </w:p>
        </w:tc>
        <w:tc>
          <w:tcPr>
            <w:tcW w:type="dxa" w:w="3024"/>
            <w:shd w:fill="D9EAF7"/>
            <w:vAlign w:val="top"/>
          </w:tcPr>
          <w:p>
            <w:pPr>
              <w:spacing w:before="20" w:after="40"/>
            </w:pPr>
            <w:r/>
            <w:r>
              <w:rPr>
                <w:b/>
                <w:sz w:val="18"/>
              </w:rPr>
              <w:t>Observație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TP / (TP + FP)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DUP și OV se raportează separat; includerea lor într-o analiză de sensibilitate se declară.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TP / (TP + FN)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Se calculează pe problemele ground truth așteptate.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2 × precision × recall / (precision + recall)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Zero când ambii termeni sunt zero; regula se declară în export.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Specificitate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TN / (TN + FP)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Relevantă în special pentru variantele GOOD.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Cost per TP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cost total USD / TP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Se raportează numai când TP &gt; 0.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Invalid rate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rulări AI invalide / rulări AI planificate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Retry este dezactivat în experimentul final.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Jaccard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|A ∩ B| / |A ∪ B|</w:t>
            </w:r>
          </w:p>
        </w:tc>
        <w:tc>
          <w:tcPr>
            <w:tcW w:type="dxa" w:w="3024"/>
            <w:vAlign w:val="top"/>
          </w:tcPr>
          <w:p>
            <w:pPr>
              <w:spacing w:before="20" w:after="40"/>
            </w:pPr>
            <w:r/>
            <w:r>
              <w:rPr>
                <w:b w:val="0"/>
                <w:sz w:val="18"/>
              </w:rPr>
              <w:t>Mulțimile folosesc cheia normalizată findingKey.</w:t>
            </w:r>
          </w:p>
        </w:tc>
      </w:tr>
    </w:tbl>
    <w:p/>
    <w:p>
      <w:pPr>
        <w:pStyle w:val="Heading2"/>
        <w:pageBreakBefore/>
      </w:pPr>
      <w:r>
        <w:t>18.3 Estimare și incertitudine</w:t>
      </w:r>
    </w:p>
    <w:p>
      <w:pPr>
        <w:pStyle w:val="ListBullet"/>
      </w:pPr>
      <w:r>
        <w:t>Pentru proporții și rate se raportează intervale Wilson de 95%.</w:t>
      </w:r>
    </w:p>
    <w:p>
      <w:pPr>
        <w:pStyle w:val="ListBullet"/>
      </w:pPr>
      <w:r>
        <w:t>Diferențele de precision, recall și F1 dintre metode se estimează prin bootstrap pereche pe cazuri, 10.000 de reeșantionări, cu interval de 95%.</w:t>
      </w:r>
    </w:p>
    <w:p>
      <w:pPr>
        <w:pStyle w:val="ListBullet"/>
      </w:pPr>
      <w:r>
        <w:t>Pentru detecția pereche la nivel de ground truth se folosește testul McNemar când condițiile sunt îndeplinite; altfel se raportează numai diferența și intervalul bootstrap.</w:t>
      </w:r>
    </w:p>
    <w:p>
      <w:pPr>
        <w:pStyle w:val="ListBullet"/>
      </w:pPr>
      <w:r>
        <w:t>Pentru latență și cost pereche se folosește Wilcoxon signed-rank; medianele și intervalul intercuartil se raportează obligatoriu.</w:t>
      </w:r>
    </w:p>
    <w:p>
      <w:pPr>
        <w:pStyle w:val="ListBullet"/>
      </w:pPr>
      <w:r>
        <w:t>Pentru familii de comparații multiple se aplică ajustarea Holm. Se raportează mărimea efectului și intervalele, nu doar valoarea p.</w:t>
      </w:r>
    </w:p>
    <w:p>
      <w:pPr>
        <w:pStyle w:val="ListBullet"/>
      </w:pPr>
      <w:r>
        <w:t>Analizele pe model, viewport și categorie WCAG sunt secundare; experimentul principal compară metodele agregat pe cazuri.</w:t>
      </w:r>
    </w:p>
    <w:p>
      <w:pPr>
        <w:pStyle w:val="Heading2"/>
      </w:pPr>
      <w:r>
        <w:t>18.4 Evaluare umană</w:t>
      </w:r>
    </w:p>
    <w:p>
      <w:pPr>
        <w:pStyle w:val="ListBullet"/>
      </w:pPr>
      <w:r>
        <w:t>Evaluatorul principal etichetează toate constatările și toate absențele necesare pentru FN/TN.</w:t>
      </w:r>
    </w:p>
    <w:p>
      <w:pPr>
        <w:pStyle w:val="ListBullet"/>
      </w:pPr>
      <w:r>
        <w:t>Dacă este disponibil, al doilea evaluator evaluează un eșantion stratificat de minimum 20%, echilibrat pe metodă, model, viewport și scenariu.</w:t>
      </w:r>
    </w:p>
    <w:p>
      <w:pPr>
        <w:pStyle w:val="ListBullet"/>
      </w:pPr>
      <w:r>
        <w:t>Pentru detectionClass se calculează Cohen kappa; pentru scorurile ordinale localizare, WCAG și E1–E5 se calculează weighted kappa.</w:t>
      </w:r>
    </w:p>
    <w:p>
      <w:pPr>
        <w:pStyle w:val="ListBullet"/>
      </w:pPr>
      <w:r>
        <w:t>Dezacordurile sunt păstrate înainte de adjudecare. Rezultatul adjudecat este separat de evaluările individuale.</w:t>
      </w:r>
    </w:p>
    <w:p>
      <w:pPr>
        <w:pStyle w:val="ListBullet"/>
      </w:pPr>
      <w:r>
        <w:t>Absența celui de-al doilea evaluator nu blochează experimentul, dar este declarată ca limitare.</w:t>
      </w:r>
    </w:p>
    <w:p>
      <w:pPr>
        <w:pStyle w:val="Heading2"/>
      </w:pPr>
      <w:r>
        <w:t>18.5 Pilot, buget și înghețare</w:t>
      </w:r>
    </w:p>
    <w:p>
      <w:pPr>
        <w:pStyle w:val="ListNumber"/>
      </w:pPr>
      <w:r>
        <w:t>Rulează testele automate fără apeluri plătite.</w:t>
      </w:r>
    </w:p>
    <w:p>
      <w:pPr>
        <w:pStyle w:val="ListNumber"/>
      </w:pPr>
      <w:r>
        <w:t>Rulează un smoke test manual de maximum două apeluri numai după configurarea cheii API.</w:t>
      </w:r>
    </w:p>
    <w:p>
      <w:pPr>
        <w:pStyle w:val="ListNumber"/>
      </w:pPr>
      <w:r>
        <w:t>Rulează pilotul pe S01 și S04, BAD/GOOD, în toate condițiile planificate, pentru validarea schemei și estimarea costului.</w:t>
      </w:r>
    </w:p>
    <w:p>
      <w:pPr>
        <w:pStyle w:val="ListNumber"/>
      </w:pPr>
      <w:r>
        <w:t>Salvează modelele, prețurile, promptul, schema, parametrii, versiunile și hashurile într-un ExperimentConfigurationSnapshot imuabil.</w:t>
      </w:r>
    </w:p>
    <w:p>
      <w:pPr>
        <w:pStyle w:val="ListNumber"/>
      </w:pPr>
      <w:r>
        <w:t>Calculează costul maxim estimat și solicită confirmare explicită înaintea celor 576 de apeluri.</w:t>
      </w:r>
    </w:p>
    <w:p>
      <w:pPr>
        <w:pStyle w:val="ListNumber"/>
      </w:pPr>
      <w:r>
        <w:t>După confirmare, experimentul final folosește configurația înghețată; orice rerulare cu altă configurație formează un experiment nou.</w:t>
      </w:r>
    </w:p>
    <w:p>
      <w:pPr>
        <w:pStyle w:val="Heading2"/>
      </w:pPr>
      <w:r>
        <w:t>18.6 Reguli pentru rezultate lipsă</w:t>
      </w:r>
    </w:p>
    <w:p>
      <w:pPr>
        <w:pStyle w:val="ListBullet"/>
      </w:pPr>
      <w:r>
        <w:t>Un răspuns AI invalid rămâne invalid și intră în invalid rate; în experimentul final nu se repară prin retry.</w:t>
      </w:r>
    </w:p>
    <w:p>
      <w:pPr>
        <w:pStyle w:val="ListBullet"/>
      </w:pPr>
      <w:r>
        <w:t>O rulare tehnic eșuată nu este transformată în listă goală de constatări.</w:t>
      </w:r>
    </w:p>
    <w:p>
      <w:pPr>
        <w:pStyle w:val="ListBullet"/>
      </w:pPr>
      <w:r>
        <w:t>Metricile de detecție se raportează atât pe setul planificat, cu eșecurile vizibile, cât și pe setul de rulări valide ca analiză secundară.</w:t>
      </w:r>
    </w:p>
    <w:p>
      <w:pPr>
        <w:pStyle w:val="ListBullet"/>
      </w:pPr>
      <w:r>
        <w:t>Datele nu se elimină ca outlier fără o regulă declarată înaintea analizei; latențele extreme se păstrează și se descriu.</w:t>
      </w:r>
    </w:p>
    <w:p>
      <w:pPr>
        <w:pStyle w:val="Heading2"/>
      </w:pPr>
      <w:r>
        <w:t>18.7 Starea protocolului</w:t>
      </w:r>
    </w:p>
    <w:p>
      <w:r>
        <w:t>Protocolul este înghețat la versiunea 1.0 pentru implementare. După această versiune, completările normale sunt valori efective și rezultate, nu redefiniri ale designului. O schimbare de design necesită o decizie explicită, o versiune nouă și separarea experimentelor afectate.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9727A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9727A"/>
        <w:sz w:val="17"/>
      </w:rPr>
      <w:t>PROIECT DE DISERTAȚIE   |   DOCUMENT DE LUCRU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