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/>
          <w:b/>
          <w:color w:val="183B56"/>
          <w:sz w:val="50"/>
        </w:rPr>
        <w:t>Catalogul scenariilor WCAG</w:t>
      </w:r>
    </w:p>
    <w:p>
      <w:pPr>
        <w:spacing w:after="520"/>
      </w:pPr>
      <w:r>
        <w:rPr>
          <w:rFonts w:ascii="Calibri" w:hAnsi="Calibri"/>
          <w:color w:val="69727A"/>
          <w:sz w:val="27"/>
        </w:rPr>
        <w:t>Benchmark controlat cu variante problematice și corectate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Evaluarea accesibilității interfețelor web responsive folosind inteligența artificială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Autor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Silviu Vasilică Luța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Catalog înghețat pentru implementarea benchmarkului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septembrie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Coordonator / program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 completat în versiunea formală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Statutul versiunii: Specificația 1.0 este completă și înghețată pentru implementare. Valorile administrative și configurația efectivă a pilotului se consemnează factual, fără redefinirea retrospectivă a designului.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Rolul catalogului</w:t>
      </w:r>
    </w:p>
    <w:p>
      <w:r>
        <w:rPr>
          <w:rFonts w:ascii="Calibri" w:hAnsi="Calibri"/>
          <w:i w:val="0"/>
        </w:rPr>
        <w:t>Catalogul definește ground truth-ul inițial pentru cele 12 scenarii. Fiecare pereche BAD/GOOD trebuie să rămână identică în afara modificării necesare remedierii barierei urmărite.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Regulă: </w:t>
            </w:r>
            <w:r>
              <w:t>Un scenariu testează o singură problemă principală. Orice altă încălcare accidentală trebuie eliminată înaintea înghețării benchmarkului.</w:t>
            </w:r>
          </w:p>
        </w:tc>
      </w:tr>
    </w:tbl>
    <w:p>
      <w:pPr>
        <w:spacing w:after="0"/>
      </w:pPr>
    </w:p>
    <w:p>
      <w:pPr>
        <w:pStyle w:val="Heading1"/>
      </w:pPr>
      <w:r>
        <w:t>2. Matrice de sinteză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850"/>
        <w:gridCol w:w="2672"/>
        <w:gridCol w:w="700"/>
        <w:gridCol w:w="2200"/>
      </w:tblGrid>
      <w:tr>
        <w:trPr>
          <w:tblHeader w:val="true"/>
          <w:cantSplit/>
        </w:trPr>
        <w:tc>
          <w:tcPr>
            <w:tcW w:type="dxa" w:w="65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ID</w:t>
            </w:r>
          </w:p>
        </w:tc>
        <w:tc>
          <w:tcPr>
            <w:tcW w:type="dxa" w:w="285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Scenariu</w:t>
            </w:r>
          </w:p>
        </w:tc>
        <w:tc>
          <w:tcPr>
            <w:tcW w:type="dxa" w:w="26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Criteriu</w:t>
            </w:r>
          </w:p>
        </w:tc>
        <w:tc>
          <w:tcPr>
            <w:tcW w:type="dxa" w:w="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Nivel</w:t>
            </w:r>
          </w:p>
        </w:tc>
        <w:tc>
          <w:tcPr>
            <w:tcW w:type="dxa" w:w="22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Viewport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Imagine informativă fără alternativă textuală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1.1.1 Non-text Content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Linkuri cu scop neclar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2.4.4 Link Purpose (In Context)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Câmp de formular fără etichetă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3.3.2 Labels or Instructions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Eroare de formular neidentificată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3.3.1 Error Identification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Contrast insuficient pentru text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1.4.3 Contrast (Minimum)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Titluri vizuale fără structură semantică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1.3.1 Info and Relationships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Buton cu pictogramă fără nume accesibil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4.1.2 Name, Role, Value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Meniu mobil inaccesibil din tastatură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2.1.1 Keyboard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mobil; bariera pe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Indicator de focus invizibil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2.4.7 Focus Visible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Ordine incorectă a focusului într-un modal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2.4.3 Focus Order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S11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Ținte tactile prea mici și apropiate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2.5.8 Target Size (Minimum)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mobil; bariera pe mobil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S12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Conținut fără reflow la 320 px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1.4.10 Reflow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Desktop și reflow 320 px; bariera la reflow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Convenții</w:t>
      </w:r>
    </w:p>
    <w:p>
      <w:pPr>
        <w:spacing w:after="80"/>
        <w:numPr>
          <w:ilvl w:val="0"/>
          <w:numId w:val="10"/>
        </w:numPr>
      </w:pPr>
      <w:r>
        <w:t>Fișierele se denumesc S01-BAD, S01-GOOD, ..., S12-BAD, S12-GOOD.</w:t>
      </w:r>
    </w:p>
    <w:p>
      <w:pPr>
        <w:spacing w:after="80"/>
        <w:numPr>
          <w:ilvl w:val="0"/>
          <w:numId w:val="10"/>
        </w:numPr>
      </w:pPr>
      <w:r>
        <w:t>BAD conține bariera controlată; GOOD conține remedierea minimă.</w:t>
      </w:r>
    </w:p>
    <w:p>
      <w:pPr>
        <w:spacing w:after="80"/>
        <w:numPr>
          <w:ilvl w:val="0"/>
          <w:numId w:val="10"/>
        </w:numPr>
      </w:pPr>
      <w:r>
        <w:t>Conținutul, aspectul și datele nerelevante rămân identice între variante.</w:t>
      </w:r>
    </w:p>
    <w:p>
      <w:pPr>
        <w:spacing w:after="80"/>
        <w:numPr>
          <w:ilvl w:val="0"/>
          <w:numId w:val="10"/>
        </w:numPr>
      </w:pPr>
      <w:r>
        <w:t>Starea necesară analizei este realizată printr-o secvență deterministă.</w:t>
      </w:r>
    </w:p>
    <w:p>
      <w:pPr>
        <w:spacing w:after="80"/>
        <w:numPr>
          <w:ilvl w:val="0"/>
          <w:numId w:val="10"/>
        </w:numPr>
      </w:pPr>
      <w:r>
        <w:t>Nivelul A/AA este nivel de conformitate WCAG, nu severitate.</w:t>
      </w:r>
    </w:p>
    <w:p>
      <w:pPr>
        <w:spacing w:after="80"/>
        <w:numPr>
          <w:ilvl w:val="0"/>
          <w:numId w:val="10"/>
        </w:numPr>
      </w:pPr>
      <w:r>
        <w:t>Detectarea barierei și asocierea criteriului WCAG sunt evaluate separat.</w:t>
      </w:r>
    </w:p>
    <w:p>
      <w:pPr>
        <w:spacing w:after="80"/>
        <w:numPr>
          <w:ilvl w:val="0"/>
          <w:numId w:val="10"/>
        </w:numPr>
      </w:pPr>
      <w:r>
        <w:t>În matricea principală, S01-S11 folosesc desktop și mobil, iar S12 folosește desktop și reflow-320; reflow-320 înlocuiește mobilul pentru S12.</w:t>
      </w:r>
    </w:p>
    <w:p>
      <w:pPr>
        <w:spacing w:after="80"/>
        <w:numPr>
          <w:ilvl w:val="0"/>
          <w:numId w:val="10"/>
        </w:numPr>
      </w:pPr>
      <w:r>
        <w:t>Pentru S08, S11 și S12, BAD pe desktop are expected=ABSENT; bariera responsive apare doar pe mobil sau reflow.</w:t>
      </w:r>
    </w:p>
    <w:p>
      <w:r>
        <w:br w:type="page"/>
      </w:r>
    </w:p>
    <w:p>
      <w:pPr>
        <w:pStyle w:val="Heading1"/>
      </w:pPr>
      <w:r>
        <w:t>S01 - Imagine informativă fără alternativă textuală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1.1.1 Non-text Content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Semantic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O imagine informativă despre un produs nu are atribut alt sau folosește o valoare generică, precum «imagine».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Imaginea primește o alternativă textuală concisă care transmite informația relevantă.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Bariera este asociată imaginii informative și lipsei unei alternative echivalente.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inspectează numele accesibil și se verifică dacă textul alternativ transmite scopul imaginii.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S02 - Linkuri cu scop neclar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2.4.4 Link Purpose (In Context)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Contextual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Mai multe produse au linkuri identice «Vezi mai mult», fără context programatic suficient care să indice produsul.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Fiecare link include un nume descriptiv, de exemplu «Vezi detalii despre laptopul X».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imposibilitatea determinării scopului linkului din text și contextul programatic.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examinează numele accesibil al fiecărui link separat și asocierea cu produsul.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S03 - Câmp de formular fără etichetă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3.3.2 Labels or Instructions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Formular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Câmpul de e-mail folosește numai placeholderul «Email», fără etichetă vizibilă și asociată.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Câmpul primește o etichetă vizibilă și asociată programatic.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lipsa etichetei sau a instrucțiunii persistente pentru câmp.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verifică eticheta vizibilă, asocierea programatică și comportamentul după introducerea textului.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S04 - Eroare de formular neidentificată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3.3.1 Error Identification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Formular dinamic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După submit invalid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Formularul afișează numai mesajul «Date incorecte», fără indicarea câmpului și a tipului erorii.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Mesajul identifică precis câmpul și problema și este asociat programatic cu elementul.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lipsa descrierii textuale și a asocierii erorii cu elementul corespunzător.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trimite formularul cu e-mail invalid și se verifică mesajul, asocierea și identificarea câmpului.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S05 - Contrast insuficient pentru text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1.4.3 Contrast (Minimum)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Vizual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Text normal de 16 px este afișat pe fundal alb cu un raport verificat sub 4,5:1.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Culoarea textului este modificată astfel încât raportul să fie de cel puțin 4,5:1.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Sunt identificate textul afectat și contrastul insuficient.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calculează raportul culorilor cu o metodă conformă WCAG și se confirmă dimensiunea textului.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S06 - Titluri vizuale fără structură semantică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1.3.1 Info and Relationships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Structural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Titlurile secțiunilor sunt elemente div stilizate, fără rol sau nivel semantic de heading.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Se folosesc elemente h1/h2 într-o ierarhie logică, cu același aspect vizual.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diferența dintre prezentarea vizuală și relațiile programatice.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inspectează arborele de accesibilitate și ierarhia titlurilor.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S07 - Buton cu pictogramă fără nume accesibil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4.1.2 Name, Role, Value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Componentă UI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Butonul de închidere conține numai o pictogramă ascunsă tehnologiilor asistive și nu are text alternativ.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Butonul primește numele accesibil «Închide», păstrând aceeași pictogramă.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 controlul fără nume accesibil și scop programatic.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verifică numele și rolul butonului în arborele de accesibilitate.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S08 - Meniu mobil inaccesibil din tastatură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2.1.1 Keyboard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Interacțiune responsive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mobil; bariera pe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Buton focalizat; Enter și Space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Meniul hamburger funcționează prin click, dar nu se deschide cu Enter sau Space. Pe desktop navigarea rămâne normală.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Butonul poate fi focalizat și activat din tastatură, iar starea deschis/închis este comunicată.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Bariera este raportată în varianta mobilă, unde funcția nu este disponibilă din tastatură.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La viewport mobil se focalizează controlul și se încearcă activarea cu Enter și Space.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S09 - Indicator de focus invizibil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2.4.7 Focus Visible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Vizual și tastatură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După apăsarea Tab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CSS elimină conturul de focus fără să ofere un indicator alternativ.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Elementul focalizat are un indicator vizibil, clar și coerent.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imposibilitatea localizării vizuale a focusului tastaturii.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navighează cu Tab și se verifică vizual fiecare element focalizabil; captura se face cu focus activ.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S10 - Ordine incorectă a focusului într-un modal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2.4.3 Focus Order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Interacțiune dinamică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Modal deschis; secvență Tab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După deschiderea modalului, focusul rămâne în pagina din spate sau continuă către controale din afara dialogului.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Focusul intră logic în dialog, navigarea păstrează operabilitatea, iar la închidere revine la declanșator.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ordinea care nu păstrează sensul și operabilitatea interfeței.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deschide dialogul, se înregistrează secvența Tab/Shift+Tab și revenirea focusului.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S11 - Ținte tactile prea mici și apropiate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2.5.8 Target Size (Minimum)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Responsive și tactil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mobil; bariera pe mobil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În varianta mobilă există butoane de 16 × 16 px, la distanță insuficientă; pe desktop au dimensiune conformă.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Butoanele au minimum 24 × 24 px sau îndeplinesc excepția de spațiere.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Problema este asociată țintelor mobile subdimensionate și distanței insuficiente.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măsoară dreptunghiurile țintelor și distanțele, apoi se verifică excepțiile criteriului.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S12 - Conținut fără reflow la 320 px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1.4.10 Reflow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Nivel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Responsive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 și reflow 320 px; bariera la reflow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 de test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Inițială</w:t>
            </w:r>
          </w:p>
        </w:tc>
      </w:tr>
    </w:tbl>
    <w:p>
      <w:pPr>
        <w:spacing w:after="0"/>
      </w:pPr>
    </w:p>
    <w:p>
      <w:pPr>
        <w:pStyle w:val="Heading2"/>
      </w:pPr>
      <w:r>
        <w:t>Varianta BAD</w:t>
      </w:r>
    </w:p>
    <w:p>
      <w:r>
        <w:rPr>
          <w:rFonts w:ascii="Calibri" w:hAnsi="Calibri"/>
          <w:i w:val="0"/>
        </w:rPr>
        <w:t>Un container cu lățime fixă mare obligă utilizatorul să deruleze orizontal și vertical pentru a citi textul.</w:t>
      </w:r>
    </w:p>
    <w:p>
      <w:pPr>
        <w:pStyle w:val="Heading2"/>
      </w:pPr>
      <w:r>
        <w:t>Varianta GOOD</w:t>
      </w:r>
    </w:p>
    <w:p>
      <w:r>
        <w:rPr>
          <w:rFonts w:ascii="Calibri" w:hAnsi="Calibri"/>
          <w:i w:val="0"/>
        </w:rPr>
        <w:t>Conținutul se reorganizează într-o coloană, se încadrează la 320 px și elimină derularea orizontală inutilă.</w:t>
      </w:r>
    </w:p>
    <w:p>
      <w:pPr>
        <w:pStyle w:val="Heading2"/>
      </w:pPr>
      <w:r>
        <w:t>Rezultat așteptat</w:t>
      </w:r>
    </w:p>
    <w:p>
      <w:r>
        <w:rPr>
          <w:rFonts w:ascii="Calibri" w:hAnsi="Calibri"/>
          <w:i w:val="0"/>
        </w:rPr>
        <w:t>Este identificată pierderea reflow-ului pentru conținut care nu necesită o prezentare bidimensională.</w:t>
      </w:r>
    </w:p>
    <w:p>
      <w:pPr>
        <w:pStyle w:val="Heading2"/>
      </w:pPr>
      <w:r>
        <w:t>Verificare manuală</w:t>
      </w:r>
    </w:p>
    <w:p>
      <w:r>
        <w:rPr>
          <w:rFonts w:ascii="Calibri" w:hAnsi="Calibri"/>
          <w:i w:val="0"/>
        </w:rPr>
        <w:t>Se setează viewportul la 320 px și se verifică overflow-ul, pierderea de conținut și funcționalitate.</w:t>
      </w:r>
    </w:p>
    <w:p>
      <w:pPr>
        <w:pStyle w:val="Heading2"/>
      </w:pPr>
      <w:r>
        <w:t>Regula de etichetare</w:t>
      </w:r>
    </w:p>
    <w:p>
      <w:r>
        <w:rPr>
          <w:rFonts w:ascii="Calibri" w:hAnsi="Calibri"/>
          <w:i w:val="0"/>
        </w:rPr>
        <w:t>Rezultatul este TP pentru detectare dacă metoda identifică bariera și cel puțin zona relevantă; localizarea exactă primește scorul 2. Criteriul WCAG este punctat separat de la 0 la 2. O formulare diferită este acceptată dacă descrie aceeași barieră verificabilă. Dublurile primesc eticheta DUP, iar alte probleme plauzibile primesc OV până la verificarea manuală.</w:t>
      </w:r>
    </w:p>
    <w:p>
      <w:r>
        <w:br w:type="page"/>
      </w:r>
    </w:p>
    <w:p>
      <w:pPr>
        <w:pStyle w:val="Heading1"/>
      </w:pPr>
      <w:r>
        <w:t>4. Fișa minimă de ground truth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72"/>
      </w:tblGrid>
      <w:tr>
        <w:trPr>
          <w:tblHeader w:val="true"/>
          <w:cantSplit/>
        </w:trPr>
        <w:tc>
          <w:tcPr>
            <w:tcW w:type="dxa" w:w="25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5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Exemplu / regulă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scenarioId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S01-S12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groundTruthId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Identificator stabil pentru problema controlată.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BAD sau GOOD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viewport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desktop, mobile sau reflow-320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stateId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Starea inițială sau secvența de interacțiune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targetElement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Selector stabil sau identificator semantic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barrier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Descrierea neutră a problemei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wcagCriterion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Criteriul principal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expected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PRESENT sau ABSENT pentru bariera urmărită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manualEvidence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Pașii și observația verificatorului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fixtureVersion</w:t>
            </w:r>
          </w:p>
        </w:tc>
        <w:tc>
          <w:tcPr>
            <w:tcW w:type="dxa" w:w="6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Versiunea înghețată a paginii</w:t>
            </w:r>
          </w:p>
        </w:tc>
      </w:tr>
    </w:tbl>
    <w:p>
      <w:pPr>
        <w:spacing w:after="0"/>
      </w:pPr>
    </w:p>
    <w:p>
      <w:pPr>
        <w:pStyle w:val="Heading1"/>
      </w:pPr>
      <w:r>
        <w:t>5. Checklist de validare înaintea pilotului</w:t>
      </w:r>
    </w:p>
    <w:p>
      <w:pPr>
        <w:spacing w:after="80"/>
        <w:numPr>
          <w:ilvl w:val="0"/>
          <w:numId w:val="10"/>
        </w:numPr>
      </w:pPr>
      <w:r>
        <w:t>Perechea BAD/GOOD diferă numai prin remedierea documentată.</w:t>
      </w:r>
    </w:p>
    <w:p>
      <w:pPr>
        <w:spacing w:after="80"/>
        <w:numPr>
          <w:ilvl w:val="0"/>
          <w:numId w:val="10"/>
        </w:numPr>
      </w:pPr>
      <w:r>
        <w:t>Criteriul WCAG și nivelul au fost reverificate în sursa oficială.</w:t>
      </w:r>
    </w:p>
    <w:p>
      <w:pPr>
        <w:spacing w:after="80"/>
        <w:numPr>
          <w:ilvl w:val="0"/>
          <w:numId w:val="10"/>
        </w:numPr>
      </w:pPr>
      <w:r>
        <w:t>Elementul țintă are un selector stabil.</w:t>
      </w:r>
    </w:p>
    <w:p>
      <w:pPr>
        <w:spacing w:after="80"/>
        <w:numPr>
          <w:ilvl w:val="0"/>
          <w:numId w:val="10"/>
        </w:numPr>
      </w:pPr>
      <w:r>
        <w:t>Starea de interacțiune poate fi repetată automat și manual.</w:t>
      </w:r>
    </w:p>
    <w:p>
      <w:pPr>
        <w:spacing w:after="80"/>
        <w:numPr>
          <w:ilvl w:val="0"/>
          <w:numId w:val="10"/>
        </w:numPr>
      </w:pPr>
      <w:r>
        <w:t>Pagina nu încarcă date externe variabile.</w:t>
      </w:r>
    </w:p>
    <w:p>
      <w:pPr>
        <w:spacing w:after="80"/>
        <w:numPr>
          <w:ilvl w:val="0"/>
          <w:numId w:val="10"/>
        </w:numPr>
      </w:pPr>
      <w:r>
        <w:t>Pagina nu conține alte probleme axe-core neintenționate.</w:t>
      </w:r>
    </w:p>
    <w:p>
      <w:pPr>
        <w:spacing w:after="80"/>
        <w:numPr>
          <w:ilvl w:val="0"/>
          <w:numId w:val="10"/>
        </w:numPr>
      </w:pPr>
      <w:r>
        <w:t>Versiunea GOOD trece verificarea manuală pentru bariera urmărită.</w:t>
      </w:r>
    </w:p>
    <w:p>
      <w:pPr>
        <w:spacing w:after="80"/>
        <w:numPr>
          <w:ilvl w:val="0"/>
          <w:numId w:val="10"/>
        </w:numPr>
      </w:pPr>
      <w:r>
        <w:t>Capturile corespund viewporturilor aplicabile: desktop, mobil sau reflow-320.</w:t>
      </w:r>
    </w:p>
    <w:p>
      <w:pPr>
        <w:spacing w:after="80"/>
        <w:numPr>
          <w:ilvl w:val="0"/>
          <w:numId w:val="10"/>
        </w:numPr>
      </w:pPr>
      <w:r>
        <w:t>Fișierele și ground truth-ul au versiune și hash înaintea experimentului final.</w:t>
      </w:r>
    </w:p>
    <w:p>
      <w:pPr>
        <w:pStyle w:val="Heading1"/>
      </w:pPr>
      <w:r>
        <w:t>6. Surse WCAG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W3C, Web Content Accessibility Guidelines (WCAG) 2.2. </w:t>
      </w:r>
      <w:r>
        <w:rPr>
          <w:rFonts w:ascii="Calibri" w:hAnsi="Calibri"/>
          <w:color w:val="2E5D7B"/>
          <w:sz w:val="19"/>
        </w:rPr>
        <w:t>https://www.w3.org/TR/WCAG22/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W3C, Understanding Success Criterion 2.5.8: Target Size (Minimum). </w:t>
      </w:r>
      <w:r>
        <w:rPr>
          <w:rFonts w:ascii="Calibri" w:hAnsi="Calibri"/>
          <w:color w:val="2E5D7B"/>
          <w:sz w:val="19"/>
        </w:rPr>
        <w:t>https://www.w3.org/WAI/WCAG22/Understanding/target-size-minimum.html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W3C, Understanding Success Criterion 1.4.10: Reflow. </w:t>
      </w:r>
      <w:r>
        <w:rPr>
          <w:rFonts w:ascii="Calibri" w:hAnsi="Calibri"/>
          <w:color w:val="2E5D7B"/>
          <w:sz w:val="19"/>
        </w:rPr>
        <w:t>https://www.w3.org/WAI/WCAG22/Understanding/reflow.html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W3C, Understanding Success Criterion 2.4.3: Focus Order. </w:t>
      </w:r>
      <w:r>
        <w:rPr>
          <w:rFonts w:ascii="Calibri" w:hAnsi="Calibri"/>
          <w:color w:val="2E5D7B"/>
          <w:sz w:val="19"/>
        </w:rPr>
        <w:t>https://www.w3.org/WAI/WCAG22/Understanding/focus-order.html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9727A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9727A"/>
        <w:sz w:val="17"/>
      </w:rPr>
      <w:t>PROIECT DE DISERTAȚIE   |   DOCUMENT DE LUCRU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