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160"/>
      </w:pPr>
      <w:r>
        <w:rPr>
          <w:rFonts w:ascii="Calibri" w:hAnsi="Calibri"/>
          <w:b/>
          <w:color w:val="183B56"/>
          <w:sz w:val="50"/>
        </w:rPr>
        <w:t>Planul disertației și calendarul de lucru</w:t>
      </w:r>
    </w:p>
    <w:p>
      <w:pPr>
        <w:spacing w:after="520"/>
      </w:pPr>
      <w:r>
        <w:rPr>
          <w:rFonts w:ascii="Calibri" w:hAnsi="Calibri"/>
          <w:color w:val="69727A"/>
          <w:sz w:val="27"/>
        </w:rPr>
        <w:t>Structura capitolelor, plan de bază pe 16 săptămâni și puncte de control</w:t>
      </w:r>
    </w:p>
    <w:tbl>
      <w:tblPr>
        <w:tblStyle w:val="TableGrid"/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6972"/>
      </w:tblGrid>
      <w:tr>
        <w:trPr>
          <w:tblHeader w:val="true"/>
          <w:cantSplit/>
        </w:trPr>
        <w:tc>
          <w:tcPr>
            <w:tcW w:type="dxa" w:w="2100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8"/>
              </w:rPr>
              <w:t>Câmp</w:t>
            </w:r>
          </w:p>
        </w:tc>
        <w:tc>
          <w:tcPr>
            <w:tcW w:type="dxa" w:w="6972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8"/>
              </w:rPr>
              <w:t>Valoare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Tema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Evaluarea accesibilității interfețelor web responsive folosind inteligența artificială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Autor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Silviu Vasilică Luța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Versiune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Stare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Plan aprobat; implementarea continuă de la F3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Data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 septembrie 2026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Coordonator / program</w:t>
            </w:r>
          </w:p>
        </w:tc>
        <w:tc>
          <w:tcPr>
            <w:tcW w:type="dxa" w:w="6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 completat în versiunea formală</w:t>
            </w:r>
          </w:p>
        </w:tc>
      </w:tr>
    </w:tbl>
    <w:p>
      <w:pPr>
        <w:spacing w:after="0"/>
      </w:pPr>
    </w:p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72"/>
      </w:tblGrid>
      <w:tr>
        <w:trPr>
          <w:cantSplit/>
        </w:trPr>
        <w:tc>
          <w:tcPr>
            <w:tcW w:type="dxa" w:w="9072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Statutul versiunii: Specificația 1.0 este completă și înghețată pentru implementare. Valorile administrative și configurația efectivă a pilotului se consemnează factual, fără redefinirea retrospectivă a designului.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Rolul documentului</w:t>
      </w:r>
    </w:p>
    <w:p>
      <w:r>
        <w:rPr>
          <w:rFonts w:ascii="Calibri" w:hAnsi="Calibri"/>
          <w:i w:val="0"/>
        </w:rPr>
        <w:t>Acest plan transformă tema, metodologia și specificația tehnică într-o succesiune realistă de activități. Varianta de bază acoperă 16 săptămâni, adică aproximativ patru luni, și poate fi comprimată la trei luni sau extinsă la șase luni fără schimbarea obiectivelor cercetării.</w:t>
      </w:r>
    </w:p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72"/>
      </w:tblGrid>
      <w:tr>
        <w:trPr>
          <w:cantSplit/>
        </w:trPr>
        <w:tc>
          <w:tcPr>
            <w:tcW w:type="dxa" w:w="9072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83B56"/>
              </w:rPr>
              <w:t xml:space="preserve">Principiu de lucru: </w:t>
            </w:r>
            <w:r>
              <w:t>Prototipul, experimentul și redactarea avansează împreună. La sfârșitul fiecărei săptămâni trebuie să existe cel puțin un rezultat verificabil: document, funcție demonstrabilă, set de date, tabel, analiză sau capitol revizuit.</w:t>
            </w:r>
          </w:p>
        </w:tc>
      </w:tr>
    </w:tbl>
    <w:p>
      <w:pPr>
        <w:spacing w:after="0"/>
      </w:pPr>
    </w:p>
    <w:p>
      <w:pPr>
        <w:pStyle w:val="Heading2"/>
      </w:pPr>
      <w:r>
        <w:t>1.1 Ipoteze de planificare</w:t>
      </w:r>
    </w:p>
    <w:p>
      <w:pPr>
        <w:spacing w:after="80"/>
        <w:numPr>
          <w:ilvl w:val="0"/>
          <w:numId w:val="10"/>
        </w:numPr>
      </w:pPr>
      <w:r>
        <w:t>durata de bază este 16 săptămâni;</w:t>
      </w:r>
    </w:p>
    <w:p>
      <w:pPr>
        <w:spacing w:after="80"/>
        <w:numPr>
          <w:ilvl w:val="0"/>
          <w:numId w:val="10"/>
        </w:numPr>
      </w:pPr>
      <w:r>
        <w:t>volumul săptămânal exact va fi adaptat programului autorului;</w:t>
      </w:r>
    </w:p>
    <w:p>
      <w:pPr>
        <w:spacing w:after="80"/>
        <w:numPr>
          <w:ilvl w:val="0"/>
          <w:numId w:val="10"/>
        </w:numPr>
      </w:pPr>
      <w:r>
        <w:t>implementarea este realizată separat cu Codex, pe baza documentului 06;</w:t>
      </w:r>
    </w:p>
    <w:p>
      <w:pPr>
        <w:spacing w:after="80"/>
        <w:numPr>
          <w:ilvl w:val="0"/>
          <w:numId w:val="10"/>
        </w:numPr>
      </w:pPr>
      <w:r>
        <w:t>experimentul final începe numai după pilot și înghețarea configurației;</w:t>
      </w:r>
    </w:p>
    <w:p>
      <w:pPr>
        <w:spacing w:after="80"/>
        <w:numPr>
          <w:ilvl w:val="0"/>
          <w:numId w:val="10"/>
        </w:numPr>
      </w:pPr>
      <w:r>
        <w:t>redactarea începe din prima lună, nu după terminarea aplicației;</w:t>
      </w:r>
    </w:p>
    <w:p>
      <w:pPr>
        <w:spacing w:after="80"/>
        <w:numPr>
          <w:ilvl w:val="0"/>
          <w:numId w:val="10"/>
        </w:numPr>
      </w:pPr>
      <w:r>
        <w:t>cerințele oficiale ale facultății au prioritate pentru format, număr de pagini și termene.</w:t>
      </w:r>
    </w:p>
    <w:p>
      <w:pPr>
        <w:pStyle w:val="Heading1"/>
      </w:pPr>
      <w:r>
        <w:t>2. Cele patru fluxuri de lucru</w:t>
      </w:r>
    </w:p>
    <w:tbl>
      <w:tblPr>
        <w:tblStyle w:val="TableGrid"/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372"/>
        <w:gridCol w:w="2900"/>
      </w:tblGrid>
      <w:tr>
        <w:trPr>
          <w:tblHeader w:val="true"/>
          <w:cantSplit/>
        </w:trPr>
        <w:tc>
          <w:tcPr>
            <w:tcW w:type="dxa" w:w="1800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7"/>
              </w:rPr>
              <w:t>Flux</w:t>
            </w:r>
          </w:p>
        </w:tc>
        <w:tc>
          <w:tcPr>
            <w:tcW w:type="dxa" w:w="4372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7"/>
              </w:rPr>
              <w:t>Rezultat urmărit</w:t>
            </w:r>
          </w:p>
        </w:tc>
        <w:tc>
          <w:tcPr>
            <w:tcW w:type="dxa" w:w="2900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7"/>
              </w:rPr>
              <w:t>Documente asociate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A. Documentare</w:t>
            </w:r>
          </w:p>
        </w:tc>
        <w:tc>
          <w:tcPr>
            <w:tcW w:type="dxa" w:w="43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Surse selectate, fișe de lectură, poziționarea contribuției.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01, 08 și capitolul 2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B. Prototip</w:t>
            </w:r>
          </w:p>
        </w:tc>
        <w:tc>
          <w:tcPr>
            <w:tcW w:type="dxa" w:w="43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Aplicație Java funcțională, testată și reproductibilă.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02, 06 și capitolul 4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C. Experiment</w:t>
            </w:r>
          </w:p>
        </w:tc>
        <w:tc>
          <w:tcPr>
            <w:tcW w:type="dxa" w:w="43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Benchmark validat, rulări, evaluări și analiză.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03, 04, 05 și capitolele 5-6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D. Redactare</w:t>
            </w:r>
          </w:p>
        </w:tc>
        <w:tc>
          <w:tcPr>
            <w:tcW w:type="dxa" w:w="43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Capitole scrise și revizuite continuu.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Planul disertației și manuscrisul</w:t>
            </w:r>
          </w:p>
        </w:tc>
      </w:tr>
    </w:tbl>
    <w:p>
      <w:pPr>
        <w:spacing w:after="0"/>
      </w:pPr>
    </w:p>
    <w:p>
      <w:r>
        <w:rPr>
          <w:rFonts w:ascii="Calibri" w:hAnsi="Calibri"/>
          <w:i w:val="0"/>
        </w:rPr>
        <w:t>Fluxurile nu sunt patru proiecte independente. Documentarea justifică alegerile tehnice și experimentale; prototipul produce datele; experimentul răspunde întrebărilor de cercetare; redactarea explică și leagă toate rezultatele.</w:t>
      </w:r>
    </w:p>
    <w:p>
      <w:pPr>
        <w:pStyle w:val="Heading1"/>
      </w:pPr>
      <w:r>
        <w:t>3. Structura propusă a disertației</w:t>
      </w:r>
    </w:p>
    <w:tbl>
      <w:tblPr>
        <w:tblStyle w:val="TableGrid"/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2500"/>
        <w:gridCol w:w="5072"/>
        <w:gridCol w:w="900"/>
      </w:tblGrid>
      <w:tr>
        <w:trPr>
          <w:tblHeader w:val="true"/>
          <w:cantSplit/>
        </w:trPr>
        <w:tc>
          <w:tcPr>
            <w:tcW w:type="dxa" w:w="600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6"/>
              </w:rPr>
              <w:t>Cap.</w:t>
            </w:r>
          </w:p>
        </w:tc>
        <w:tc>
          <w:tcPr>
            <w:tcW w:type="dxa" w:w="2500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6"/>
              </w:rPr>
              <w:t>Titlu</w:t>
            </w:r>
          </w:p>
        </w:tc>
        <w:tc>
          <w:tcPr>
            <w:tcW w:type="dxa" w:w="5072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6"/>
              </w:rPr>
              <w:t>Conținut principal</w:t>
            </w:r>
          </w:p>
        </w:tc>
        <w:tc>
          <w:tcPr>
            <w:tcW w:type="dxa" w:w="900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6"/>
              </w:rPr>
              <w:t>Pondere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Introducere</w:t>
            </w:r>
          </w:p>
        </w:tc>
        <w:tc>
          <w:tcPr>
            <w:tcW w:type="dxa" w:w="50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Context, problemă, motivație, scop, obiective, întrebări de cercetare, ipoteze și contribuții.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10%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Fundamente și lucrări conexe</w:t>
            </w:r>
          </w:p>
        </w:tc>
        <w:tc>
          <w:tcPr>
            <w:tcW w:type="dxa" w:w="50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Accesibilitate web, WCAG 2.2, evaluare automată, axe-core, AI/LLM și studiul de referință.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18%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Metodologia cercetării</w:t>
            </w:r>
          </w:p>
        </w:tc>
        <w:tc>
          <w:tcPr>
            <w:tcW w:type="dxa" w:w="50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Design experimental, scenarii BAD/GOOD, condiții, ground truth, repetări, metrici și validitate.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16%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Proiectarea și implementarea sistemului</w:t>
            </w:r>
          </w:p>
        </w:tc>
        <w:tc>
          <w:tcPr>
            <w:tcW w:type="dxa" w:w="50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Cerințe, arhitectură, browser automat, axe-core, AI, normalizare, securitate și raportare.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18%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Configurarea experimentului</w:t>
            </w:r>
          </w:p>
        </w:tc>
        <w:tc>
          <w:tcPr>
            <w:tcW w:type="dxa" w:w="50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Fixture-uri, viewporturi, modele, prompt, schemă, pilot, înghețare și procedură.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10%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6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Rezultate</w:t>
            </w:r>
          </w:p>
        </w:tc>
        <w:tc>
          <w:tcPr>
            <w:tcW w:type="dxa" w:w="50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Detectare, explicații, desktop-mobil, comparația modelelor, consistență, timp și cost.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14%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7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Discuții și amenințări la validitate</w:t>
            </w:r>
          </w:p>
        </w:tc>
        <w:tc>
          <w:tcPr>
            <w:tcW w:type="dxa" w:w="50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Interpretarea rezultatelor, ipoteze, limite, generalizare și implicații.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9%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Concluzii și direcții viitoare</w:t>
            </w:r>
          </w:p>
        </w:tc>
        <w:tc>
          <w:tcPr>
            <w:tcW w:type="dxa" w:w="50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Răspunsuri sintetice, contribuții, limite și continuarea spre cercetare doctorală.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5%</w:t>
            </w:r>
          </w:p>
        </w:tc>
      </w:tr>
    </w:tbl>
    <w:p>
      <w:pPr>
        <w:spacing w:after="0"/>
      </w:pPr>
    </w:p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72"/>
      </w:tblGrid>
      <w:tr>
        <w:trPr>
          <w:cantSplit/>
        </w:trPr>
        <w:tc>
          <w:tcPr>
            <w:tcW w:type="dxa" w:w="90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83B56"/>
              </w:rPr>
              <w:t xml:space="preserve">Pondere orientativă: </w:t>
            </w:r>
            <w:r>
              <w:t>Procentele descriu echilibrul manuscrisului, nu o cerință formală. Ele vor fi ajustate după primirea ghidului oficial al programului de master.</w:t>
            </w:r>
          </w:p>
        </w:tc>
      </w:tr>
    </w:tbl>
    <w:p>
      <w:pPr>
        <w:spacing w:after="0"/>
      </w:pPr>
    </w:p>
    <w:p>
      <w:pPr>
        <w:pStyle w:val="Heading1"/>
      </w:pPr>
      <w:r>
        <w:t>4. Legătura dintre întrebări și capitole</w:t>
      </w:r>
    </w:p>
    <w:tbl>
      <w:tblPr>
        <w:tblStyle w:val="TableGrid"/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400"/>
        <w:gridCol w:w="4572"/>
      </w:tblGrid>
      <w:tr>
        <w:trPr>
          <w:tblHeader w:val="true"/>
          <w:cantSplit/>
        </w:trPr>
        <w:tc>
          <w:tcPr>
            <w:tcW w:type="dxa" w:w="2100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7"/>
              </w:rPr>
              <w:t>Întrebare</w:t>
            </w:r>
          </w:p>
        </w:tc>
        <w:tc>
          <w:tcPr>
            <w:tcW w:type="dxa" w:w="2400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7"/>
              </w:rPr>
              <w:t>Unde este tratată</w:t>
            </w:r>
          </w:p>
        </w:tc>
        <w:tc>
          <w:tcPr>
            <w:tcW w:type="dxa" w:w="4572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7"/>
              </w:rPr>
              <w:t>Dovadă principală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RQ1 - hibrid vs. metode separate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Cap. 3, 5, 6 și 7</w:t>
            </w:r>
          </w:p>
        </w:tc>
        <w:tc>
          <w:tcPr>
            <w:tcW w:type="dxa" w:w="45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Precision, recall, F1 și categorii AXE_ONLY/AI_ONLY/BOTH.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RQ2 - influența capturii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Cap. 3, 5, 6 și 7</w:t>
            </w:r>
          </w:p>
        </w:tc>
        <w:tc>
          <w:tcPr>
            <w:tcW w:type="dxa" w:w="45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Comparația M2 cu M3 pe probleme vizuale și contextuale.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RQ3 - desktop vs. mobil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Cap. 3, 5, 6 și 7</w:t>
            </w:r>
          </w:p>
        </w:tc>
        <w:tc>
          <w:tcPr>
            <w:tcW w:type="dxa" w:w="45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Probleme comune și specifice viewportului.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RQ4 - comparația modelelor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Cap. 3, 5, 6 și 7</w:t>
            </w:r>
          </w:p>
        </w:tc>
        <w:tc>
          <w:tcPr>
            <w:tcW w:type="dxa" w:w="45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Acuratețe, calitatea explicațiilor, consistență, timp și cost.</w:t>
            </w:r>
          </w:p>
        </w:tc>
      </w:tr>
    </w:tbl>
    <w:p>
      <w:pPr>
        <w:spacing w:after="0"/>
      </w:pPr>
    </w:p>
    <w:p>
      <w:pPr>
        <w:pStyle w:val="Heading1"/>
      </w:pPr>
      <w:r>
        <w:t>5. Calendarul de bază - 16 săptămâni</w:t>
      </w:r>
    </w:p>
    <w:p>
      <w:r>
        <w:rPr>
          <w:rFonts w:ascii="Calibri" w:hAnsi="Calibri"/>
          <w:i w:val="0"/>
        </w:rPr>
        <w:t>Calendarul este organizat pe rezultate, nu pe simpla trecere a timpului. O săptămână poate fi mutată, dar dependențele și punctele de control trebuie păstrate.</w:t>
      </w:r>
    </w:p>
    <w:tbl>
      <w:tblPr>
        <w:tblStyle w:val="TableGrid"/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1800"/>
        <w:gridCol w:w="3922"/>
        <w:gridCol w:w="2700"/>
      </w:tblGrid>
      <w:tr>
        <w:trPr>
          <w:tblHeader w:val="true"/>
          <w:cantSplit/>
        </w:trPr>
        <w:tc>
          <w:tcPr>
            <w:tcW w:type="dxa" w:w="650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5"/>
              </w:rPr>
              <w:t>Săpt.</w:t>
            </w:r>
          </w:p>
        </w:tc>
        <w:tc>
          <w:tcPr>
            <w:tcW w:type="dxa" w:w="1800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5"/>
              </w:rPr>
              <w:t>Obiectiv</w:t>
            </w:r>
          </w:p>
        </w:tc>
        <w:tc>
          <w:tcPr>
            <w:tcW w:type="dxa" w:w="3922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5"/>
              </w:rPr>
              <w:t>Activitate principală</w:t>
            </w:r>
          </w:p>
        </w:tc>
        <w:tc>
          <w:tcPr>
            <w:tcW w:type="dxa" w:w="2700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5"/>
              </w:rPr>
              <w:t>Ieșire verificabilă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Pornire controlată</w:t>
            </w:r>
          </w:p>
        </w:tc>
        <w:tc>
          <w:tcPr>
            <w:tcW w:type="dxa" w:w="3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Confirmarea temei, organizarea fișierelor, deschiderea bibliografiei și jurnalului.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Index actualizat; registru de surse început.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Bază teoretică</w:t>
            </w:r>
          </w:p>
        </w:tc>
        <w:tc>
          <w:tcPr>
            <w:tcW w:type="dxa" w:w="3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WCAG 2.2, evaluare automată, axe-core, AI și fișarea studiului de referință.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Schiță capitol 2 și minimum 8 surse utile.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Schelet tehnic</w:t>
            </w:r>
          </w:p>
        </w:tc>
        <w:tc>
          <w:tcPr>
            <w:tcW w:type="dxa" w:w="3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Predarea documentului 06 către Codex; faza F1 și matricea cerință-test.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Proiect Maven executabil și decizii înregistrate.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Browser și snapshot</w:t>
            </w:r>
          </w:p>
        </w:tc>
        <w:tc>
          <w:tcPr>
            <w:tcW w:type="dxa" w:w="3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Faza F2: viewporturi, navigare, captură și structură.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Demonstrație desktop/mobil pe o pagină controlată.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axe-core</w:t>
            </w:r>
          </w:p>
        </w:tc>
        <w:tc>
          <w:tcPr>
            <w:tcW w:type="dxa" w:w="3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Faza F3 și verificarea rezultatului brut/normalizat.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Analiză axe-core reproductibilă și testată.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Integrarea AI</w:t>
            </w:r>
          </w:p>
        </w:tc>
        <w:tc>
          <w:tcPr>
            <w:tcW w:type="dxa" w:w="3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Faza F4: model configurabil, schemă, tokeni, cost și erori.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O analiză AI validă și un eșec controlat.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Rezultat hibrid</w:t>
            </w:r>
          </w:p>
        </w:tc>
        <w:tc>
          <w:tcPr>
            <w:tcW w:type="dxa" w:w="3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Faza F5: model comun, grupare, filtre și raport.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Raport AXE_ONLY/AI_ONLY/BOTH fără apel redundant.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Istoric și export</w:t>
            </w:r>
          </w:p>
        </w:tc>
        <w:tc>
          <w:tcPr>
            <w:tcW w:type="dxa" w:w="3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Faza F6: persistare, repetare, JSON și CSV.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Analiză repetabilă și export compatibil cu registrul.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Benchmark</w:t>
            </w:r>
          </w:p>
        </w:tc>
        <w:tc>
          <w:tcPr>
            <w:tcW w:type="dxa" w:w="3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Faza F7 și implementarea/validarea celor 12 perechi BAD/GOOD.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Fixture-uri versionate și checklist de ground truth.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10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Pilot</w:t>
            </w:r>
          </w:p>
        </w:tc>
        <w:tc>
          <w:tcPr>
            <w:tcW w:type="dxa" w:w="3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Rulare pe subset reprezentativ; verificarea timpilor, costurilor, promptului și rubricii.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Raport de pilot și listă de corecții.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11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Înghețare</w:t>
            </w:r>
          </w:p>
        </w:tc>
        <w:tc>
          <w:tcPr>
            <w:tcW w:type="dxa" w:w="3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Aplicarea corecțiilor; fixarea modelelor, promptului, schemei, viewporturilor și versiunilor.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Configurație experimentală v1.0 înghețată.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12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Experiment final</w:t>
            </w:r>
          </w:p>
        </w:tc>
        <w:tc>
          <w:tcPr>
            <w:tcW w:type="dxa" w:w="3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Rularea tuturor condițiilor și repetărilor; monitorizarea erorilor fără optimizare post-hoc.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Set brut complet și jurnal de execuție.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13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Evaluare și curățare</w:t>
            </w:r>
          </w:p>
        </w:tc>
        <w:tc>
          <w:tcPr>
            <w:tcW w:type="dxa" w:w="3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Etichetare TP/FP/FN/TN/DUP/OV și evaluarea explicațiilor.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Registru complet și verificări de integritate.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14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Analiză</w:t>
            </w:r>
          </w:p>
        </w:tc>
        <w:tc>
          <w:tcPr>
            <w:tcW w:type="dxa" w:w="3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Calcularea metricilor, tabelelor și graficelor; formularea rezultatelor neutre.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Capitolul 6 în prima versiune.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15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Discuții și integrare</w:t>
            </w:r>
          </w:p>
        </w:tc>
        <w:tc>
          <w:tcPr>
            <w:tcW w:type="dxa" w:w="3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Răspuns la RQ/H, limite, amenințări la validitate și legarea capitolelor.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Manuscris integral v0.8.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16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Revizie și predare</w:t>
            </w:r>
          </w:p>
        </w:tc>
        <w:tc>
          <w:tcPr>
            <w:tcW w:type="dxa" w:w="3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Corectură, citări, anexe, reproducibilitate, demonstrație și versiune finală.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Manuscris și pachet de predare.</w:t>
            </w:r>
          </w:p>
        </w:tc>
      </w:tr>
    </w:tbl>
    <w:p>
      <w:pPr>
        <w:spacing w:after="0"/>
      </w:pPr>
    </w:p>
    <w:p>
      <w:pPr>
        <w:pStyle w:val="Heading1"/>
      </w:pPr>
      <w:r>
        <w:t>6. Puncte de control</w:t>
      </w:r>
    </w:p>
    <w:tbl>
      <w:tblPr>
        <w:tblStyle w:val="TableGrid"/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700"/>
        <w:gridCol w:w="6372"/>
      </w:tblGrid>
      <w:tr>
        <w:trPr>
          <w:tblHeader w:val="true"/>
          <w:cantSplit/>
        </w:trPr>
        <w:tc>
          <w:tcPr>
            <w:tcW w:type="dxa" w:w="1000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7"/>
              </w:rPr>
              <w:t>Poartă</w:t>
            </w:r>
          </w:p>
        </w:tc>
        <w:tc>
          <w:tcPr>
            <w:tcW w:type="dxa" w:w="1700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7"/>
              </w:rPr>
              <w:t>Moment</w:t>
            </w:r>
          </w:p>
        </w:tc>
        <w:tc>
          <w:tcPr>
            <w:tcW w:type="dxa" w:w="6372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7"/>
              </w:rPr>
              <w:t>Condiție de trecere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G0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După săpt. 2</w:t>
            </w:r>
          </w:p>
        </w:tc>
        <w:tc>
          <w:tcPr>
            <w:tcW w:type="dxa" w:w="63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Tema, întrebările, domeniul și nucleul bibliografiei sunt coerente.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G1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După săpt. 4</w:t>
            </w:r>
          </w:p>
        </w:tc>
        <w:tc>
          <w:tcPr>
            <w:tcW w:type="dxa" w:w="63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Browserul produce snapshoturi desktop și mobil reproductibile.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G2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După săpt. 6</w:t>
            </w:r>
          </w:p>
        </w:tc>
        <w:tc>
          <w:tcPr>
            <w:tcW w:type="dxa" w:w="63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axe-core și AI funcționează separat, cu erori și cost înregistrate.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G3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După săpt. 8</w:t>
            </w:r>
          </w:p>
        </w:tc>
        <w:tc>
          <w:tcPr>
            <w:tcW w:type="dxa" w:w="63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Fluxul complet produce raport, istoric și export.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G4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După săpt. 10</w:t>
            </w:r>
          </w:p>
        </w:tc>
        <w:tc>
          <w:tcPr>
            <w:tcW w:type="dxa" w:w="63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Pilotul arată că procedura, promptul, schema și rubricile sunt utilizabile.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G5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După săpt. 11</w:t>
            </w:r>
          </w:p>
        </w:tc>
        <w:tc>
          <w:tcPr>
            <w:tcW w:type="dxa" w:w="63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Configurația experimentului este înghețată și versionată.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G6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După săpt. 13</w:t>
            </w:r>
          </w:p>
        </w:tc>
        <w:tc>
          <w:tcPr>
            <w:tcW w:type="dxa" w:w="63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Datele și evaluările sunt complete, curate și trasabile.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G7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După săpt. 16</w:t>
            </w:r>
          </w:p>
        </w:tc>
        <w:tc>
          <w:tcPr>
            <w:tcW w:type="dxa" w:w="63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Manuscrisul, anexele, codul și datele necesare reproducerii sunt pregătite.</w:t>
            </w:r>
          </w:p>
        </w:tc>
      </w:tr>
    </w:tbl>
    <w:p>
      <w:pPr>
        <w:spacing w:after="0"/>
      </w:pPr>
    </w:p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72"/>
      </w:tblGrid>
      <w:tr>
        <w:trPr>
          <w:cantSplit/>
        </w:trPr>
        <w:tc>
          <w:tcPr>
            <w:tcW w:type="dxa" w:w="9072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83B56"/>
              </w:rPr>
              <w:t xml:space="preserve">Regulă: </w:t>
            </w:r>
            <w:r>
              <w:t>Dacă o poartă nu este trecută, se rezolvă cauza înaintea activităților dependente. Experimentul final nu începe cu probleme cunoscute din pilot sau cu configurație neînghețată.</w:t>
            </w:r>
          </w:p>
        </w:tc>
      </w:tr>
    </w:tbl>
    <w:p>
      <w:pPr>
        <w:spacing w:after="0"/>
      </w:pPr>
    </w:p>
    <w:p>
      <w:pPr>
        <w:pStyle w:val="Heading1"/>
      </w:pPr>
      <w:r>
        <w:t>7. Adaptarea la termen</w:t>
      </w:r>
    </w:p>
    <w:p>
      <w:pPr>
        <w:pStyle w:val="Heading2"/>
      </w:pPr>
      <w:r>
        <w:t>7.1 Variantă comprimată - 12 săptămâni</w:t>
      </w:r>
    </w:p>
    <w:p>
      <w:r>
        <w:rPr>
          <w:rFonts w:ascii="Calibri" w:hAnsi="Calibri"/>
          <w:i w:val="0"/>
        </w:rPr>
        <w:t>Se păstrează toate porțile metodologice, dar se suprapun documentarea cu F1-F3, se reunesc F5-F7, iar redactarea rezultatelor începe imediat după fiecare bloc de analiză. Se reduce rezerva de timp și nu se adaugă funcții opționale. Pilotul, înghețarea și experimentul final rămân etape distincte.</w:t>
      </w:r>
    </w:p>
    <w:p>
      <w:pPr>
        <w:pStyle w:val="Heading2"/>
      </w:pPr>
      <w:r>
        <w:t>7.2 Variantă extinsă - 24 de săptămâni</w:t>
      </w:r>
    </w:p>
    <w:p>
      <w:r>
        <w:rPr>
          <w:rFonts w:ascii="Calibri" w:hAnsi="Calibri"/>
          <w:i w:val="0"/>
        </w:rPr>
        <w:t>Se acordă timp suplimentar revizuirii bibliografice, testelor de securitate și accesibilitate, validării benchmarkului, evaluării de către al doilea evaluator și unei a doua revizii complete a manuscrisului. Domeniul nu se extinde automat; timpul suplimentar este folosit pentru robustețe și calitate.</w:t>
      </w:r>
    </w:p>
    <w:tbl>
      <w:tblPr>
        <w:tblStyle w:val="TableGrid"/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872"/>
        <w:gridCol w:w="2400"/>
      </w:tblGrid>
      <w:tr>
        <w:trPr>
          <w:tblHeader w:val="true"/>
          <w:cantSplit/>
        </w:trPr>
        <w:tc>
          <w:tcPr>
            <w:tcW w:type="dxa" w:w="1800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7"/>
              </w:rPr>
              <w:t>Durată</w:t>
            </w:r>
          </w:p>
        </w:tc>
        <w:tc>
          <w:tcPr>
            <w:tcW w:type="dxa" w:w="4872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7"/>
              </w:rPr>
              <w:t>Ritm recomandat</w:t>
            </w:r>
          </w:p>
        </w:tc>
        <w:tc>
          <w:tcPr>
            <w:tcW w:type="dxa" w:w="2400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7"/>
              </w:rPr>
              <w:t>Rezervă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12 săptămâni</w:t>
            </w:r>
          </w:p>
        </w:tc>
        <w:tc>
          <w:tcPr>
            <w:tcW w:type="dxa" w:w="4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Sarcini suprapuse; accent strict pe MVP și experiment.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1 săptămână inclusă în revizia finală.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16 săptămâni</w:t>
            </w:r>
          </w:p>
        </w:tc>
        <w:tc>
          <w:tcPr>
            <w:tcW w:type="dxa" w:w="4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Varianta de bază; o ieșire verificabilă în fiecare săptămână.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Aproximativ 2 săptămâni distribuite în pilot și revizie.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24 săptămâni</w:t>
            </w:r>
          </w:p>
        </w:tc>
        <w:tc>
          <w:tcPr>
            <w:tcW w:type="dxa" w:w="4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Ritm mai sigur; validări și revizii suplimentare.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3-4 săptămâni distribuite.</w:t>
            </w:r>
          </w:p>
        </w:tc>
      </w:tr>
    </w:tbl>
    <w:p>
      <w:pPr>
        <w:spacing w:after="0"/>
      </w:pPr>
    </w:p>
    <w:p>
      <w:pPr>
        <w:pStyle w:val="Heading1"/>
      </w:pPr>
      <w:r>
        <w:t>8. Ritmul unei săptămâni</w:t>
      </w:r>
    </w:p>
    <w:p>
      <w:pPr>
        <w:spacing w:after="80"/>
        <w:numPr>
          <w:ilvl w:val="0"/>
          <w:numId w:val="12"/>
        </w:numPr>
      </w:pPr>
      <w:r>
        <w:t>Alege o singură ieșire principală și cel mult două rezultate secundare.</w:t>
      </w:r>
    </w:p>
    <w:p>
      <w:pPr>
        <w:spacing w:after="80"/>
        <w:numPr>
          <w:ilvl w:val="0"/>
          <w:numId w:val="12"/>
        </w:numPr>
      </w:pPr>
      <w:r>
        <w:t>Lucrează întâi la activitatea de pe drumul critic: prototip, benchmark, pilot sau experiment.</w:t>
      </w:r>
    </w:p>
    <w:p>
      <w:pPr>
        <w:spacing w:after="80"/>
        <w:numPr>
          <w:ilvl w:val="0"/>
          <w:numId w:val="12"/>
        </w:numPr>
      </w:pPr>
      <w:r>
        <w:t>Actualizează în aceeași săptămână textul disertației afectat de decizii și rezultate.</w:t>
      </w:r>
    </w:p>
    <w:p>
      <w:pPr>
        <w:spacing w:after="80"/>
        <w:numPr>
          <w:ilvl w:val="0"/>
          <w:numId w:val="12"/>
        </w:numPr>
      </w:pPr>
      <w:r>
        <w:t>Înregistrează sursele, schimbările, erorile, costurile și deciziile în documentul 08.</w:t>
      </w:r>
    </w:p>
    <w:p>
      <w:pPr>
        <w:spacing w:after="80"/>
        <w:numPr>
          <w:ilvl w:val="0"/>
          <w:numId w:val="12"/>
        </w:numPr>
      </w:pPr>
      <w:r>
        <w:t>La final, verifică ieșirea și decide explicit: finalizat, reportat sau blocat.</w:t>
      </w:r>
    </w:p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72"/>
      </w:tblGrid>
      <w:tr>
        <w:trPr>
          <w:cantSplit/>
        </w:trPr>
        <w:tc>
          <w:tcPr>
            <w:tcW w:type="dxa" w:w="90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83B56"/>
              </w:rPr>
              <w:t xml:space="preserve">Volum de lucru: </w:t>
            </w:r>
            <w:r>
              <w:t>Ca reper, 8-12 ore pe săptămână susțin varianta de 16 săptămâni dacă implementarea rămâne în MVP. Sub acest nivel este mai sigur calendarul de șase luni; peste acest nivel, planul poate fi comprimat fără eliminarea pilotului sau a trasabilității.</w:t>
            </w:r>
          </w:p>
        </w:tc>
      </w:tr>
    </w:tbl>
    <w:p>
      <w:pPr>
        <w:spacing w:after="0"/>
      </w:pPr>
    </w:p>
    <w:p>
      <w:pPr>
        <w:pStyle w:val="Heading1"/>
      </w:pPr>
      <w:r>
        <w:t>9. Drumul critic și dependențe</w:t>
      </w:r>
    </w:p>
    <w:tbl>
      <w:tblPr>
        <w:tblStyle w:val="TableGrid"/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672"/>
        <w:gridCol w:w="3200"/>
      </w:tblGrid>
      <w:tr>
        <w:trPr>
          <w:tblHeader w:val="true"/>
          <w:cantSplit/>
        </w:trPr>
        <w:tc>
          <w:tcPr>
            <w:tcW w:type="dxa" w:w="2200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7"/>
              </w:rPr>
              <w:t>Activitate</w:t>
            </w:r>
          </w:p>
        </w:tc>
        <w:tc>
          <w:tcPr>
            <w:tcW w:type="dxa" w:w="3672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7"/>
              </w:rPr>
              <w:t>Depinde de</w:t>
            </w:r>
          </w:p>
        </w:tc>
        <w:tc>
          <w:tcPr>
            <w:tcW w:type="dxa" w:w="3200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7"/>
              </w:rPr>
              <w:t>Blochează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Integrarea AI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Schema, model configurabil și snapshot stabil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Pilotul și comparația modelelor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Benchmarkul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Catalogul de scenarii și automatizarea interacțiunilor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Pilotul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Pilotul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Flux complet, export și rubrică de evaluare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Înghețarea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Înghețarea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Corecțiile pilotului și modelele/prețurile finale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Experimentul final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Analiza statistică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Date complete și etichetare verificată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Rezultate și discuții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Concluziile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Rezultate și răspunsuri la întrebările de cercetare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Predarea</w:t>
            </w:r>
          </w:p>
        </w:tc>
      </w:tr>
    </w:tbl>
    <w:p>
      <w:pPr>
        <w:spacing w:after="0"/>
      </w:pPr>
    </w:p>
    <w:p>
      <w:pPr>
        <w:pStyle w:val="Heading1"/>
      </w:pPr>
      <w:r>
        <w:t>10. Riscuri și răspunsuri</w:t>
      </w:r>
    </w:p>
    <w:tbl>
      <w:tblPr>
        <w:tblStyle w:val="TableGrid"/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672"/>
        <w:gridCol w:w="4100"/>
      </w:tblGrid>
      <w:tr>
        <w:trPr>
          <w:tblHeader w:val="true"/>
          <w:cantSplit/>
        </w:trPr>
        <w:tc>
          <w:tcPr>
            <w:tcW w:type="dxa" w:w="2300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6"/>
              </w:rPr>
              <w:t>Risc</w:t>
            </w:r>
          </w:p>
        </w:tc>
        <w:tc>
          <w:tcPr>
            <w:tcW w:type="dxa" w:w="2672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6"/>
              </w:rPr>
              <w:t>Semn timpuriu</w:t>
            </w:r>
          </w:p>
        </w:tc>
        <w:tc>
          <w:tcPr>
            <w:tcW w:type="dxa" w:w="4100"/>
            <w:shd w:fill="EA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6"/>
              </w:rPr>
              <w:t>Răspuns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Implementarea întârzie</w:t>
            </w:r>
          </w:p>
        </w:tc>
        <w:tc>
          <w:tcPr>
            <w:tcW w:type="dxa" w:w="2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O fază depășește două săptămâni.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Se elimină funcțiile opționale și se păstrează fluxul experimental minim.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Cost AI neașteptat</w:t>
            </w:r>
          </w:p>
        </w:tc>
        <w:tc>
          <w:tcPr>
            <w:tcW w:type="dxa" w:w="2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Pilotul depășește estimarea.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Se limitează contextul/repetările pilotului; experimentul se pornește numai cu buget aprobat.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Răspunsuri AI invalide</w:t>
            </w:r>
          </w:p>
        </w:tc>
        <w:tc>
          <w:tcPr>
            <w:tcW w:type="dxa" w:w="2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Schema eșuează frecvent.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Se corectează promptul și validarea înainte de înghețare; răspunsurile brute se păstrează.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Benchmark instabil</w:t>
            </w:r>
          </w:p>
        </w:tc>
        <w:tc>
          <w:tcPr>
            <w:tcW w:type="dxa" w:w="2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BAD/GOOD conțin probleme neintenționate.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Se revine la checklistul catalogului și se reface ground truth-ul înaintea pilotului.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Redactarea rămâne în urmă</w:t>
            </w:r>
          </w:p>
        </w:tc>
        <w:tc>
          <w:tcPr>
            <w:tcW w:type="dxa" w:w="2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Două săptămâni fără text actualizat.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Se rezervă următoarea sesiune pentru integrarea deciziilor și rezultatelor în capitole.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Lipsește al doilea evaluator</w:t>
            </w:r>
          </w:p>
        </w:tc>
        <w:tc>
          <w:tcPr>
            <w:tcW w:type="dxa" w:w="2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Nu este confirmat până la pilot.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Autorul evaluează cu rubrică fixă și declară explicit limita; opțional se verifică un eșantion ulterior.</w:t>
            </w:r>
          </w:p>
        </w:tc>
      </w:tr>
    </w:tbl>
    <w:p>
      <w:pPr>
        <w:spacing w:after="0"/>
      </w:pPr>
    </w:p>
    <w:p>
      <w:pPr>
        <w:pStyle w:val="Heading1"/>
      </w:pPr>
      <w:r>
        <w:t>11. Checklist final de predare</w:t>
      </w:r>
    </w:p>
    <w:p>
      <w:pPr>
        <w:spacing w:after="80"/>
        <w:numPr>
          <w:ilvl w:val="0"/>
          <w:numId w:val="10"/>
        </w:numPr>
      </w:pPr>
      <w:r>
        <w:t>manuscrisul respectă formatul oficial și are toate capitolele corelate;</w:t>
      </w:r>
    </w:p>
    <w:p>
      <w:pPr>
        <w:spacing w:after="80"/>
        <w:numPr>
          <w:ilvl w:val="0"/>
          <w:numId w:val="10"/>
        </w:numPr>
      </w:pPr>
      <w:r>
        <w:t>fiecare întrebare de cercetare primește un răspuns bazat pe rezultate;</w:t>
      </w:r>
    </w:p>
    <w:p>
      <w:pPr>
        <w:spacing w:after="80"/>
        <w:numPr>
          <w:ilvl w:val="0"/>
          <w:numId w:val="10"/>
        </w:numPr>
      </w:pPr>
      <w:r>
        <w:t>figurilor, tabelelor, anexelor și surselor li se verifică numerotarea și trimiterea din text;</w:t>
      </w:r>
    </w:p>
    <w:p>
      <w:pPr>
        <w:spacing w:after="80"/>
        <w:numPr>
          <w:ilvl w:val="0"/>
          <w:numId w:val="10"/>
        </w:numPr>
      </w:pPr>
      <w:r>
        <w:t>configurația experimentului și versiunile instrumentelor sunt documentate;</w:t>
      </w:r>
    </w:p>
    <w:p>
      <w:pPr>
        <w:spacing w:after="80"/>
        <w:numPr>
          <w:ilvl w:val="0"/>
          <w:numId w:val="10"/>
        </w:numPr>
      </w:pPr>
      <w:r>
        <w:t>datele brute, rezultatele procesate și exporturile pot fi asociate cu rulările;</w:t>
      </w:r>
    </w:p>
    <w:p>
      <w:pPr>
        <w:spacing w:after="80"/>
        <w:numPr>
          <w:ilvl w:val="0"/>
          <w:numId w:val="10"/>
        </w:numPr>
      </w:pPr>
      <w:r>
        <w:t>secretele și datele sensibile sunt eliminate din pachetul de predare;</w:t>
      </w:r>
    </w:p>
    <w:p>
      <w:pPr>
        <w:spacing w:after="80"/>
        <w:numPr>
          <w:ilvl w:val="0"/>
          <w:numId w:val="10"/>
        </w:numPr>
      </w:pPr>
      <w:r>
        <w:t>aplicația poate fi demonstrată pe scenarii controlate;</w:t>
      </w:r>
    </w:p>
    <w:p>
      <w:pPr>
        <w:spacing w:after="80"/>
        <w:numPr>
          <w:ilvl w:val="0"/>
          <w:numId w:val="10"/>
        </w:numPr>
      </w:pPr>
      <w:r>
        <w:t>limitările și rezultatele negative sunt raportate, nu ascunse;</w:t>
      </w:r>
    </w:p>
    <w:p>
      <w:pPr>
        <w:spacing w:after="80"/>
        <w:numPr>
          <w:ilvl w:val="0"/>
          <w:numId w:val="10"/>
        </w:numPr>
      </w:pPr>
      <w:r>
        <w:t>există copii finale ale documentelor și un istoric al deciziilor.</w:t>
      </w:r>
    </w:p>
    <w:p>
      <w:pPr>
        <w:pStyle w:val="Heading1"/>
      </w:pPr>
      <w:r>
        <w:t>12. Următorii pași de la checkpointul F2</w:t>
      </w:r>
    </w:p>
    <w:p>
      <w:pPr>
        <w:spacing w:after="80"/>
        <w:numPr>
          <w:ilvl w:val="0"/>
          <w:numId w:val="13"/>
        </w:numPr>
      </w:pPr>
      <w:r>
        <w:t>Păstrează documentele 00–08 versiunea 1.0 în directorul docs al proiectului și pornește de la checkpointul F2 5b32b2e9d194a156701c0d968147eddcbdd14764.</w:t>
      </w:r>
    </w:p>
    <w:p>
      <w:pPr>
        <w:spacing w:after="80"/>
        <w:numPr>
          <w:ilvl w:val="0"/>
          <w:numId w:val="13"/>
        </w:numPr>
      </w:pPr>
      <w:r>
        <w:t>Codex citește întregul pachet și execută secțiunea 23 din documentul 06, implementând succesiv F3, F4, F5, F6 și F7.</w:t>
      </w:r>
    </w:p>
    <w:p>
      <w:pPr>
        <w:spacing w:after="80"/>
        <w:numPr>
          <w:ilvl w:val="0"/>
          <w:numId w:val="13"/>
        </w:numPr>
      </w:pPr>
      <w:r>
        <w:t>După fiecare fază se rulează toate testele, se verifică aplicația executabilă, se actualizează matricea și jurnalul factual și se creează checkpoint Git separat.</w:t>
      </w:r>
    </w:p>
    <w:p>
      <w:pPr>
        <w:spacing w:after="80"/>
        <w:numPr>
          <w:ilvl w:val="0"/>
          <w:numId w:val="13"/>
        </w:numPr>
      </w:pPr>
      <w:r>
        <w:t>După F7 se rulează dry-run-ul și pilotul S01/S04 pentru validarea schemei, costului și procedurii; configurația efectivă se îngheață.</w:t>
      </w:r>
    </w:p>
    <w:p>
      <w:pPr>
        <w:spacing w:after="80"/>
        <w:numPr>
          <w:ilvl w:val="0"/>
          <w:numId w:val="13"/>
        </w:numPr>
      </w:pPr>
      <w:r>
        <w:t>Experimentul final de 576 apeluri AI pornește numai după estimarea costului și confirmarea explicită a bugetului.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9727A"/>
        <w:sz w:val="18"/>
      </w:rPr>
      <w:t xml:space="preserve">Pagina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9727A"/>
        <w:sz w:val="17"/>
      </w:rPr>
      <w:t>PROIECT DE DISERTAȚIE   |   DOCUMENT DE LUCRU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5D7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5D7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83B5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