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9BE7F" w14:textId="6FC2C05F" w:rsidR="00553F24" w:rsidRDefault="00553F24" w:rsidP="00553F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２０２０</w:t>
      </w:r>
      <w:r>
        <w:t xml:space="preserve"> 年一季度，第一产业增加值同比下降</w:t>
      </w:r>
      <w:r>
        <w:rPr>
          <w:rFonts w:hint="eastAsia"/>
        </w:rPr>
        <w:t>３．２％</w:t>
      </w:r>
      <w:r>
        <w:t xml:space="preserve"> </w:t>
      </w:r>
      <w:r>
        <w:rPr>
          <w:rFonts w:hint="eastAsia"/>
        </w:rPr>
        <w:t>A</w:t>
      </w:r>
      <w:r>
        <w:t>，第二产业增加值下降９．６％ B，第三产业增加值下降５．２％</w:t>
      </w:r>
    </w:p>
    <w:p w14:paraId="17AD8E05" w14:textId="58FDC5A1" w:rsidR="00553F24" w:rsidRDefault="00553F24" w:rsidP="00553F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三是新冠疫情对第二产业中的制造业和建筑业的冲击突出。</w:t>
      </w:r>
      <w:r>
        <w:t xml:space="preserve"> ２０２０年一季度，受新冠疫情冲击，</w:t>
      </w:r>
      <w:r>
        <w:rPr>
          <w:rFonts w:hint="eastAsia"/>
        </w:rPr>
        <w:t>制造业和建筑业增加值分别下降１０．２％和１７．５％</w:t>
      </w:r>
    </w:p>
    <w:p w14:paraId="1A938DE1" w14:textId="3140915D" w:rsidR="00553F24" w:rsidRDefault="00553F24" w:rsidP="00553F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四是新冠疫情对第三产业中的批发和零售业，交通运输、仓储和邮政业，住宿和餐饮业的冲击突出。２０２０</w:t>
      </w:r>
      <w:r>
        <w:t xml:space="preserve"> 年一季度，批发和零售业增加值同比下降 １７．８％ F，交通运输、仓储和邮政业增加值下降 １４．０％</w:t>
      </w:r>
      <w:r>
        <w:rPr>
          <w:rFonts w:hint="eastAsia"/>
        </w:rPr>
        <w:t>G</w:t>
      </w:r>
      <w:r>
        <w:t xml:space="preserve"> ，住宿和</w:t>
      </w:r>
      <w:r>
        <w:rPr>
          <w:rFonts w:hint="eastAsia"/>
        </w:rPr>
        <w:t>餐饮业增加值下降</w:t>
      </w:r>
      <w:r>
        <w:t xml:space="preserve"> ３５．３％</w:t>
      </w:r>
      <w:r>
        <w:rPr>
          <w:rFonts w:hint="eastAsia"/>
        </w:rPr>
        <w:t>O</w:t>
      </w:r>
    </w:p>
    <w:p w14:paraId="6E4D5702" w14:textId="097F4A6A" w:rsidR="00553F24" w:rsidRDefault="00553F24" w:rsidP="00553F24">
      <w:pPr>
        <w:pStyle w:val="a3"/>
        <w:numPr>
          <w:ilvl w:val="0"/>
          <w:numId w:val="1"/>
        </w:numPr>
        <w:ind w:firstLineChars="0"/>
      </w:pPr>
      <w:r w:rsidRPr="00553F24">
        <w:rPr>
          <w:rFonts w:hint="eastAsia"/>
        </w:rPr>
        <w:t>五是新冠疫情对第一产业中的畜牧业的冲击突出</w:t>
      </w:r>
    </w:p>
    <w:p w14:paraId="0AC1C942" w14:textId="0D2DD939" w:rsidR="00553F24" w:rsidRDefault="00553F24" w:rsidP="00553F24">
      <w:pPr>
        <w:pStyle w:val="a3"/>
        <w:numPr>
          <w:ilvl w:val="0"/>
          <w:numId w:val="1"/>
        </w:numPr>
        <w:ind w:firstLineChars="0"/>
      </w:pPr>
      <w:r>
        <w:t>２０２０年一季度，信息传输、软件和信息技术服务业同比增长１３．２％I ，实物</w:t>
      </w:r>
    </w:p>
    <w:p w14:paraId="73568744" w14:textId="7E5B6F08" w:rsidR="00553F24" w:rsidRDefault="00553F24" w:rsidP="00553F24">
      <w:r>
        <w:rPr>
          <w:rFonts w:hint="eastAsia"/>
        </w:rPr>
        <w:t>商品网上零售额增长５．９％</w:t>
      </w:r>
    </w:p>
    <w:p w14:paraId="14BF75C7" w14:textId="32F30FF6" w:rsidR="00553F24" w:rsidRDefault="00553F24" w:rsidP="00553F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高技术制造业增加值同比增长</w:t>
      </w:r>
      <w:r>
        <w:t xml:space="preserve"> ８．９％ ，其中，计算</w:t>
      </w:r>
      <w:r>
        <w:rPr>
          <w:rFonts w:hint="eastAsia"/>
        </w:rPr>
        <w:t>机、通信和其他电子设备制造业增长９．９％</w:t>
      </w:r>
      <w:r>
        <w:t xml:space="preserve"> ，实现逆势增长。</w:t>
      </w:r>
      <w:r>
        <w:rPr>
          <w:rFonts w:hint="eastAsia"/>
        </w:rPr>
        <w:t>M</w:t>
      </w:r>
    </w:p>
    <w:p w14:paraId="193EEDAA" w14:textId="31B8294F" w:rsidR="00553F24" w:rsidRPr="00553F24" w:rsidRDefault="00553F24" w:rsidP="00553F24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color w:val="333333"/>
          <w:shd w:val="clear" w:color="auto" w:fill="FFFFFF"/>
        </w:rPr>
        <w:t>货币政策灵活，信贷政策调整，资本市场有效运转，证券市场稳定，金融业增加值同比增长</w:t>
      </w:r>
      <w:r>
        <w:rPr>
          <w:rFonts w:ascii="Times New Roman" w:hAnsi="Times New Roman" w:cs="Times New Roman"/>
          <w:color w:val="333333"/>
          <w:shd w:val="clear" w:color="auto" w:fill="FFFFFF"/>
        </w:rPr>
        <w:t>6.0%</w:t>
      </w:r>
      <w:r>
        <w:rPr>
          <w:rFonts w:hint="eastAsia"/>
          <w:color w:val="333333"/>
          <w:shd w:val="clear" w:color="auto" w:fill="FFFFFF"/>
        </w:rPr>
        <w:t>，保持增长态势J</w:t>
      </w:r>
    </w:p>
    <w:p w14:paraId="4EC05384" w14:textId="2082B759" w:rsidR="00553F24" w:rsidRPr="00EE0E4F" w:rsidRDefault="00553F24" w:rsidP="00553F24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color w:val="333333"/>
          <w:shd w:val="clear" w:color="auto" w:fill="FFFFFF"/>
        </w:rPr>
        <w:t>特别是规模以上工业高技术制造业中的医药制造业，</w:t>
      </w:r>
      <w:r>
        <w:rPr>
          <w:rFonts w:ascii="Times New Roman" w:hAnsi="Times New Roman" w:cs="Times New Roman"/>
          <w:color w:val="333333"/>
          <w:shd w:val="clear" w:color="auto" w:fill="FFFFFF"/>
        </w:rPr>
        <w:t>3</w:t>
      </w:r>
      <w:r>
        <w:rPr>
          <w:rFonts w:hint="eastAsia"/>
          <w:color w:val="333333"/>
          <w:shd w:val="clear" w:color="auto" w:fill="FFFFFF"/>
        </w:rPr>
        <w:t>月份增加值同比增长</w:t>
      </w:r>
      <w:r>
        <w:rPr>
          <w:rFonts w:ascii="Times New Roman" w:hAnsi="Times New Roman" w:cs="Times New Roman"/>
          <w:color w:val="333333"/>
          <w:shd w:val="clear" w:color="auto" w:fill="FFFFFF"/>
        </w:rPr>
        <w:t>10.4%</w:t>
      </w:r>
      <w:r>
        <w:rPr>
          <w:rFonts w:hint="eastAsia"/>
          <w:color w:val="333333"/>
          <w:shd w:val="clear" w:color="auto" w:fill="FFFFFF"/>
        </w:rPr>
        <w:t>，实现了逆势增长。Q</w:t>
      </w:r>
    </w:p>
    <w:p w14:paraId="51C089D4" w14:textId="6D26C6F7" w:rsidR="00EE0E4F" w:rsidRDefault="004A380B" w:rsidP="00EE0E4F">
      <w:pPr>
        <w:pStyle w:val="a3"/>
        <w:ind w:left="360" w:firstLineChars="0" w:firstLine="0"/>
      </w:pPr>
      <w:hyperlink r:id="rId5" w:history="1">
        <w:r w:rsidR="00EE0E4F" w:rsidRPr="002B6EEA">
          <w:rPr>
            <w:rStyle w:val="a4"/>
          </w:rPr>
          <w:t>http://ie.cssn.cn/journals/economic_perspectives_journal/contents/202007/W020200707405137874407.pdf</w:t>
        </w:r>
      </w:hyperlink>
    </w:p>
    <w:p w14:paraId="34946F60" w14:textId="77777777" w:rsidR="00EE0E4F" w:rsidRPr="00EE0E4F" w:rsidRDefault="00EE0E4F" w:rsidP="00EE0E4F">
      <w:pPr>
        <w:pStyle w:val="a3"/>
        <w:ind w:left="360" w:firstLineChars="0" w:firstLine="0"/>
      </w:pPr>
    </w:p>
    <w:p w14:paraId="473B2FBF" w14:textId="656CDE8A" w:rsidR="003F65CD" w:rsidRDefault="00EE0E4F" w:rsidP="003F65CD">
      <w:r w:rsidRPr="00EE0E4F">
        <w:rPr>
          <w:noProof/>
        </w:rPr>
        <w:drawing>
          <wp:inline distT="0" distB="0" distL="0" distR="0" wp14:anchorId="369409B1" wp14:editId="283BFDC2">
            <wp:extent cx="5274310" cy="2479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BBC55" w14:textId="0FF88457" w:rsidR="003F65CD" w:rsidRDefault="004A380B" w:rsidP="003F65CD">
      <w:hyperlink r:id="rId7" w:history="1">
        <w:r w:rsidR="003F65CD" w:rsidRPr="002B6EEA">
          <w:rPr>
            <w:rStyle w:val="a4"/>
          </w:rPr>
          <w:t>http://www.stats.gov.cn/ztjc/zthd/lhfw/2021/lh_hgjj/202103/t20210301_1814216.html</w:t>
        </w:r>
      </w:hyperlink>
    </w:p>
    <w:p w14:paraId="2DBBFF06" w14:textId="77777777" w:rsidR="003F65CD" w:rsidRPr="003F65CD" w:rsidRDefault="003F65CD" w:rsidP="003F65CD"/>
    <w:sectPr w:rsidR="003F65CD" w:rsidRPr="003F6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A6F8F"/>
    <w:multiLevelType w:val="hybridMultilevel"/>
    <w:tmpl w:val="B61247BE"/>
    <w:lvl w:ilvl="0" w:tplc="9D1A6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24"/>
    <w:rsid w:val="003F65CD"/>
    <w:rsid w:val="004A380B"/>
    <w:rsid w:val="00553F24"/>
    <w:rsid w:val="00E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BA37"/>
  <w15:chartTrackingRefBased/>
  <w15:docId w15:val="{83F16D65-B542-4D9D-AD2F-5E190359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F2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F65C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3F6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ats.gov.cn/ztjc/zthd/lhfw/2021/lh_hgjj/202103/t20210301_181421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ie.cssn.cn/journals/economic_perspectives_journal/contents/202007/W020200707405137874407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yuwei</dc:creator>
  <cp:keywords/>
  <dc:description/>
  <cp:lastModifiedBy>lin yuwei</cp:lastModifiedBy>
  <cp:revision>2</cp:revision>
  <dcterms:created xsi:type="dcterms:W3CDTF">2021-09-01T07:41:00Z</dcterms:created>
  <dcterms:modified xsi:type="dcterms:W3CDTF">2021-09-01T07:41:00Z</dcterms:modified>
</cp:coreProperties>
</file>