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Calibri" w:hAnsi="Calibri" w:eastAsia="黑体" w:cs="Times New Roman"/>
          <w:sz w:val="44"/>
          <w:szCs w:val="24"/>
        </w:rPr>
      </w:pPr>
    </w:p>
    <w:p>
      <w:pPr>
        <w:jc w:val="center"/>
        <w:rPr>
          <w:rFonts w:ascii="Calibri" w:hAnsi="Calibri" w:eastAsia="黑体" w:cs="Times New Roman"/>
          <w:sz w:val="44"/>
          <w:szCs w:val="24"/>
        </w:rPr>
      </w:pPr>
      <w:r>
        <w:rPr>
          <w:rFonts w:ascii="Calibri" w:hAnsi="Calibri" w:eastAsia="宋体" w:cs="Times New Roman"/>
          <w:szCs w:val="24"/>
        </w:rPr>
        <w:drawing>
          <wp:anchor distT="0" distB="0" distL="114300" distR="114300" simplePos="0" relativeHeight="251659264" behindDoc="0" locked="0" layoutInCell="1" allowOverlap="1">
            <wp:simplePos x="0" y="0"/>
            <wp:positionH relativeFrom="column">
              <wp:posOffset>1689735</wp:posOffset>
            </wp:positionH>
            <wp:positionV relativeFrom="paragraph">
              <wp:posOffset>208280</wp:posOffset>
            </wp:positionV>
            <wp:extent cx="3220720" cy="2161540"/>
            <wp:effectExtent l="0" t="0" r="5080" b="1016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220720" cy="2161540"/>
                    </a:xfrm>
                    <a:prstGeom prst="rect">
                      <a:avLst/>
                    </a:prstGeom>
                    <a:noFill/>
                    <a:ln>
                      <a:noFill/>
                    </a:ln>
                  </pic:spPr>
                </pic:pic>
              </a:graphicData>
            </a:graphic>
          </wp:anchor>
        </w:drawing>
      </w:r>
    </w:p>
    <w:p>
      <w:pPr>
        <w:ind w:left="2100" w:leftChars="0" w:firstLine="420" w:firstLineChars="0"/>
        <w:jc w:val="center"/>
        <w:rPr>
          <w:rFonts w:ascii="Calibri" w:hAnsi="Calibri" w:eastAsia="黑体" w:cs="Times New Roman"/>
          <w:sz w:val="44"/>
          <w:szCs w:val="24"/>
        </w:rPr>
      </w:pPr>
    </w:p>
    <w:p>
      <w:pPr>
        <w:jc w:val="center"/>
        <w:rPr>
          <w:rFonts w:ascii="Calibri" w:hAnsi="Calibri" w:eastAsia="黑体" w:cs="Times New Roman"/>
          <w:sz w:val="44"/>
          <w:szCs w:val="24"/>
        </w:rPr>
      </w:pPr>
    </w:p>
    <w:p>
      <w:pPr>
        <w:jc w:val="center"/>
        <w:rPr>
          <w:rFonts w:ascii="Calibri" w:hAnsi="Calibri" w:eastAsia="黑体" w:cs="Times New Roman"/>
          <w:sz w:val="44"/>
          <w:szCs w:val="24"/>
        </w:rPr>
      </w:pPr>
    </w:p>
    <w:p>
      <w:pPr>
        <w:jc w:val="center"/>
        <w:rPr>
          <w:rFonts w:ascii="Calibri" w:hAnsi="Calibri" w:eastAsia="黑体" w:cs="Times New Roman"/>
          <w:sz w:val="44"/>
          <w:szCs w:val="24"/>
        </w:rPr>
      </w:pPr>
    </w:p>
    <w:p>
      <w:pPr>
        <w:rPr>
          <w:rFonts w:ascii="Calibri" w:hAnsi="Calibri" w:eastAsia="黑体" w:cs="Times New Roman"/>
          <w:sz w:val="44"/>
          <w:szCs w:val="24"/>
        </w:rPr>
      </w:pPr>
    </w:p>
    <w:p>
      <w:pPr>
        <w:jc w:val="center"/>
        <w:rPr>
          <w:rFonts w:ascii="Calibri" w:hAnsi="Calibri" w:eastAsia="黑体" w:cs="Times New Roman"/>
          <w:sz w:val="44"/>
          <w:szCs w:val="24"/>
        </w:rPr>
      </w:pPr>
    </w:p>
    <w:p>
      <w:pPr>
        <w:jc w:val="center"/>
        <w:rPr>
          <w:rFonts w:ascii="宋体" w:hAnsi="宋体" w:eastAsia="宋体"/>
          <w:b/>
          <w:sz w:val="44"/>
          <w:szCs w:val="44"/>
        </w:rPr>
      </w:pPr>
      <w:r>
        <w:rPr>
          <w:rFonts w:hint="eastAsia" w:ascii="宋体" w:hAnsi="宋体" w:eastAsia="宋体"/>
          <w:b/>
          <w:sz w:val="44"/>
          <w:szCs w:val="44"/>
        </w:rPr>
        <w:t>基于</w:t>
      </w:r>
      <w:r>
        <w:rPr>
          <w:rFonts w:hint="eastAsia" w:ascii="宋体" w:hAnsi="宋体" w:eastAsia="宋体"/>
          <w:b/>
          <w:sz w:val="44"/>
          <w:szCs w:val="44"/>
          <w:lang w:val="en-US" w:eastAsia="zh-CN"/>
        </w:rPr>
        <w:t>逻辑回归和XGBoost模型</w:t>
      </w:r>
      <w:r>
        <w:rPr>
          <w:rFonts w:hint="eastAsia" w:ascii="宋体" w:hAnsi="宋体" w:eastAsia="宋体"/>
          <w:b/>
          <w:sz w:val="44"/>
          <w:szCs w:val="44"/>
        </w:rPr>
        <w:t>的</w:t>
      </w:r>
      <w:r>
        <w:rPr>
          <w:rFonts w:hint="eastAsia" w:ascii="宋体" w:hAnsi="宋体" w:eastAsia="宋体"/>
          <w:b/>
          <w:sz w:val="44"/>
          <w:szCs w:val="44"/>
          <w:lang w:val="en-US" w:eastAsia="zh-CN"/>
        </w:rPr>
        <w:t>信贷平台的贷款违约</w:t>
      </w:r>
      <w:r>
        <w:rPr>
          <w:rFonts w:hint="eastAsia" w:ascii="宋体" w:hAnsi="宋体" w:eastAsia="宋体"/>
          <w:b/>
          <w:sz w:val="44"/>
          <w:szCs w:val="44"/>
        </w:rPr>
        <w:t>率影响因素研究</w:t>
      </w:r>
    </w:p>
    <w:p>
      <w:pPr>
        <w:rPr>
          <w:rFonts w:ascii="Calibri" w:hAnsi="Calibri" w:eastAsia="华文中宋" w:cs="Times New Roman"/>
          <w:sz w:val="72"/>
          <w:szCs w:val="24"/>
        </w:rPr>
      </w:pPr>
    </w:p>
    <w:p>
      <w:pPr>
        <w:ind w:left="588" w:leftChars="280" w:firstLine="1820" w:firstLineChars="650"/>
        <w:jc w:val="both"/>
        <w:rPr>
          <w:rFonts w:hint="eastAsia" w:ascii="宋体" w:eastAsiaTheme="minorEastAsia"/>
          <w:sz w:val="28"/>
          <w:szCs w:val="32"/>
          <w:lang w:eastAsia="zh-CN"/>
        </w:rPr>
      </w:pPr>
      <w:r>
        <w:rPr>
          <w:rFonts w:hint="eastAsia" w:ascii="宋体"/>
          <w:sz w:val="28"/>
          <w:szCs w:val="32"/>
        </w:rPr>
        <w:t>姓    名：</w:t>
      </w:r>
      <w:r>
        <w:rPr>
          <w:szCs w:val="24"/>
        </w:rPr>
        <mc:AlternateContent>
          <mc:Choice Requires="wps">
            <w:drawing>
              <wp:anchor distT="0" distB="0" distL="114300" distR="114300" simplePos="0" relativeHeight="251663360" behindDoc="0" locked="0" layoutInCell="1" allowOverlap="1">
                <wp:simplePos x="0" y="0"/>
                <wp:positionH relativeFrom="column">
                  <wp:posOffset>457200</wp:posOffset>
                </wp:positionH>
                <wp:positionV relativeFrom="paragraph">
                  <wp:posOffset>5899785</wp:posOffset>
                </wp:positionV>
                <wp:extent cx="1828800" cy="323850"/>
                <wp:effectExtent l="0" t="0" r="0" b="0"/>
                <wp:wrapNone/>
                <wp:docPr id="28" name="文本框 28"/>
                <wp:cNvGraphicFramePr/>
                <a:graphic xmlns:a="http://schemas.openxmlformats.org/drawingml/2006/main">
                  <a:graphicData uri="http://schemas.microsoft.com/office/word/2010/wordprocessingShape">
                    <wps:wsp>
                      <wps:cNvSpPr txBox="1">
                        <a:spLocks noChangeArrowheads="1"/>
                      </wps:cNvSpPr>
                      <wps:spPr bwMode="auto">
                        <a:xfrm>
                          <a:off x="0" y="0"/>
                          <a:ext cx="1828800" cy="323850"/>
                        </a:xfrm>
                        <a:prstGeom prst="rect">
                          <a:avLst/>
                        </a:prstGeom>
                        <a:noFill/>
                        <a:ln>
                          <a:noFill/>
                        </a:ln>
                      </wps:spPr>
                      <wps:txbx>
                        <w:txbxContent>
                          <w:p>
                            <w:pPr>
                              <w:ind w:firstLine="360"/>
                              <w:rPr>
                                <w:color w:val="FF0000"/>
                                <w:sz w:val="18"/>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36pt;margin-top:464.55pt;height:25.5pt;width:144pt;z-index:251663360;mso-width-relative:page;mso-height-relative:page;" filled="f" stroked="f" coordsize="21600,21600" o:gfxdata="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FCB417XAAAACgEAAA8A&#10;AAAAAAAAAQAgAAAAIgAAAGRycy9kb3ducmV2LnhtbFBLAQIUABQAAAAIAIdO4kDaysEYGAIAABcE&#10;AAAOAAAAAAAAAAEAIAAAACYBAABkcnMvZTJvRG9jLnhtbFBLBQYAAAAABgAGAFkBAACwBQAAAAA=&#10;">
                <v:fill on="f" focussize="0,0"/>
                <v:stroke on="f"/>
                <v:imagedata o:title=""/>
                <o:lock v:ext="edit" aspectratio="f"/>
                <v:textbox>
                  <w:txbxContent>
                    <w:p>
                      <w:pPr>
                        <w:ind w:firstLine="360"/>
                        <w:rPr>
                          <w:color w:val="FF0000"/>
                          <w:sz w:val="18"/>
                        </w:rPr>
                      </w:pPr>
                    </w:p>
                  </w:txbxContent>
                </v:textbox>
              </v:shape>
            </w:pict>
          </mc:Fallback>
        </mc:AlternateContent>
      </w:r>
      <w:r>
        <w:rPr>
          <w:rFonts w:ascii="宋体"/>
          <w:sz w:val="28"/>
          <w:szCs w:val="32"/>
        </w:rPr>
        <w:t xml:space="preserve"> </w:t>
      </w:r>
      <w:r>
        <w:rPr>
          <w:rFonts w:hint="eastAsia" w:ascii="宋体"/>
          <w:sz w:val="28"/>
          <w:szCs w:val="32"/>
          <w:lang w:val="en-US" w:eastAsia="zh-CN"/>
        </w:rPr>
        <w:t>罗则鸣</w:t>
      </w:r>
    </w:p>
    <w:p>
      <w:pPr>
        <w:ind w:left="588" w:leftChars="280" w:firstLine="1820" w:firstLineChars="650"/>
        <w:jc w:val="both"/>
        <w:rPr>
          <w:rFonts w:hint="default" w:ascii="宋体"/>
          <w:sz w:val="28"/>
          <w:szCs w:val="32"/>
          <w:lang w:val="en-US"/>
        </w:rPr>
      </w:pPr>
      <w:r>
        <w:rPr>
          <w:rFonts w:hint="eastAsia" w:ascii="宋体"/>
          <w:sz w:val="28"/>
          <w:szCs w:val="32"/>
        </w:rPr>
        <w:t>学    号：</w:t>
      </w:r>
      <w:r>
        <w:rPr>
          <w:szCs w:val="24"/>
        </w:rPr>
        <mc:AlternateContent>
          <mc:Choice Requires="wps">
            <w:drawing>
              <wp:anchor distT="0" distB="0" distL="114300" distR="114300" simplePos="0" relativeHeight="251662336" behindDoc="0" locked="0" layoutInCell="1" allowOverlap="1">
                <wp:simplePos x="0" y="0"/>
                <wp:positionH relativeFrom="column">
                  <wp:posOffset>6172200</wp:posOffset>
                </wp:positionH>
                <wp:positionV relativeFrom="paragraph">
                  <wp:posOffset>7580630</wp:posOffset>
                </wp:positionV>
                <wp:extent cx="1143000" cy="323850"/>
                <wp:effectExtent l="0" t="0" r="0" b="0"/>
                <wp:wrapNone/>
                <wp:docPr id="29" name="文本框 29"/>
                <wp:cNvGraphicFramePr/>
                <a:graphic xmlns:a="http://schemas.openxmlformats.org/drawingml/2006/main">
                  <a:graphicData uri="http://schemas.microsoft.com/office/word/2010/wordprocessingShape">
                    <wps:wsp>
                      <wps:cNvSpPr txBox="1">
                        <a:spLocks noChangeArrowheads="1"/>
                      </wps:cNvSpPr>
                      <wps:spPr bwMode="auto">
                        <a:xfrm>
                          <a:off x="0" y="0"/>
                          <a:ext cx="1143000" cy="323850"/>
                        </a:xfrm>
                        <a:prstGeom prst="rect">
                          <a:avLst/>
                        </a:prstGeom>
                        <a:noFill/>
                        <a:ln>
                          <a:noFill/>
                        </a:ln>
                      </wps:spPr>
                      <wps:txbx>
                        <w:txbxContent>
                          <w:p>
                            <w:pPr>
                              <w:ind w:firstLine="360"/>
                              <w:rPr>
                                <w:color w:val="FF0000"/>
                                <w:sz w:val="18"/>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486pt;margin-top:596.9pt;height:25.5pt;width:90pt;z-index:251662336;mso-width-relative:page;mso-height-relative:page;" filled="f" stroked="f" coordsize="21600,21600" o:gfxdata="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m/KsR9kAAAAOAQAA&#10;DwAAAAAAAAABACAAAAAiAAAAZHJzL2Rvd25yZXYueG1sUEsBAhQAFAAAAAgAh07iQEWoG+MYAgAA&#10;FwQAAA4AAAAAAAAAAQAgAAAAKAEAAGRycy9lMm9Eb2MueG1sUEsFBgAAAAAGAAYAWQEAALIFAAAA&#10;AA==&#10;">
                <v:fill on="f" focussize="0,0"/>
                <v:stroke on="f"/>
                <v:imagedata o:title=""/>
                <o:lock v:ext="edit" aspectratio="f"/>
                <v:textbox>
                  <w:txbxContent>
                    <w:p>
                      <w:pPr>
                        <w:ind w:firstLine="360"/>
                        <w:rPr>
                          <w:color w:val="FF0000"/>
                          <w:sz w:val="18"/>
                        </w:rPr>
                      </w:pPr>
                    </w:p>
                  </w:txbxContent>
                </v:textbox>
              </v:shape>
            </w:pict>
          </mc:Fallback>
        </mc:AlternateContent>
      </w:r>
      <w:r>
        <w:rPr>
          <w:szCs w:val="24"/>
        </w:rPr>
        <mc:AlternateContent>
          <mc:Choice Requires="wps">
            <w:drawing>
              <wp:anchor distT="0" distB="0" distL="114300" distR="114300" simplePos="0" relativeHeight="251661312" behindDoc="0" locked="0" layoutInCell="1" allowOverlap="1">
                <wp:simplePos x="0" y="0"/>
                <wp:positionH relativeFrom="column">
                  <wp:posOffset>6172200</wp:posOffset>
                </wp:positionH>
                <wp:positionV relativeFrom="paragraph">
                  <wp:posOffset>7580630</wp:posOffset>
                </wp:positionV>
                <wp:extent cx="1143000" cy="323850"/>
                <wp:effectExtent l="0" t="0" r="0" b="0"/>
                <wp:wrapNone/>
                <wp:docPr id="30" name="文本框 30"/>
                <wp:cNvGraphicFramePr/>
                <a:graphic xmlns:a="http://schemas.openxmlformats.org/drawingml/2006/main">
                  <a:graphicData uri="http://schemas.microsoft.com/office/word/2010/wordprocessingShape">
                    <wps:wsp>
                      <wps:cNvSpPr txBox="1">
                        <a:spLocks noChangeArrowheads="1"/>
                      </wps:cNvSpPr>
                      <wps:spPr bwMode="auto">
                        <a:xfrm>
                          <a:off x="0" y="0"/>
                          <a:ext cx="1143000" cy="323850"/>
                        </a:xfrm>
                        <a:prstGeom prst="rect">
                          <a:avLst/>
                        </a:prstGeom>
                        <a:noFill/>
                        <a:ln>
                          <a:noFill/>
                        </a:ln>
                      </wps:spPr>
                      <wps:txbx>
                        <w:txbxContent>
                          <w:p>
                            <w:pPr>
                              <w:ind w:firstLine="360"/>
                              <w:rPr>
                                <w:color w:val="FF0000"/>
                                <w:sz w:val="18"/>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486pt;margin-top:596.9pt;height:25.5pt;width:90pt;z-index:251661312;mso-width-relative:page;mso-height-relative:page;" filled="f" stroked="f" coordsize="21600,21600" o:gfxdata="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b8qxH2QAAAA4BAAAP&#10;AAAAAAAAAAEAIAAAACIAAABkcnMvZG93bnJldi54bWxQSwECFAAUAAAACACHTuJAI8FlfhcCAAAX&#10;BAAADgAAAAAAAAABACAAAAAoAQAAZHJzL2Uyb0RvYy54bWxQSwUGAAAAAAYABgBZAQAAsQUAAAAA&#10;">
                <v:fill on="f" focussize="0,0"/>
                <v:stroke on="f"/>
                <v:imagedata o:title=""/>
                <o:lock v:ext="edit" aspectratio="f"/>
                <v:textbox>
                  <w:txbxContent>
                    <w:p>
                      <w:pPr>
                        <w:ind w:firstLine="360"/>
                        <w:rPr>
                          <w:color w:val="FF0000"/>
                          <w:sz w:val="18"/>
                        </w:rPr>
                      </w:pPr>
                    </w:p>
                  </w:txbxContent>
                </v:textbox>
              </v:shape>
            </w:pict>
          </mc:Fallback>
        </mc:AlternateContent>
      </w:r>
      <w:r>
        <w:rPr>
          <w:rFonts w:hint="eastAsia" w:ascii="宋体"/>
          <w:sz w:val="28"/>
          <w:szCs w:val="32"/>
          <w:lang w:val="en-US" w:eastAsia="zh-CN"/>
        </w:rPr>
        <w:t>2019200884</w:t>
      </w:r>
    </w:p>
    <w:p>
      <w:pPr>
        <w:ind w:left="588" w:leftChars="280" w:firstLine="1785" w:firstLineChars="850"/>
        <w:jc w:val="both"/>
        <w:rPr>
          <w:rFonts w:hint="eastAsia" w:ascii="宋体" w:eastAsiaTheme="minorEastAsia"/>
          <w:sz w:val="28"/>
          <w:szCs w:val="32"/>
          <w:lang w:eastAsia="zh-CN"/>
        </w:rPr>
      </w:pPr>
      <w:r>
        <w:rPr>
          <w:szCs w:val="24"/>
        </w:rPr>
        <mc:AlternateContent>
          <mc:Choice Requires="wps">
            <w:drawing>
              <wp:anchor distT="0" distB="0" distL="114300" distR="114300" simplePos="0" relativeHeight="251660288" behindDoc="0" locked="0" layoutInCell="1" allowOverlap="1">
                <wp:simplePos x="0" y="0"/>
                <wp:positionH relativeFrom="column">
                  <wp:posOffset>2819400</wp:posOffset>
                </wp:positionH>
                <wp:positionV relativeFrom="paragraph">
                  <wp:posOffset>362585</wp:posOffset>
                </wp:positionV>
                <wp:extent cx="1251585" cy="323850"/>
                <wp:effectExtent l="0" t="0" r="0" b="0"/>
                <wp:wrapNone/>
                <wp:docPr id="31" name="文本框 31"/>
                <wp:cNvGraphicFramePr/>
                <a:graphic xmlns:a="http://schemas.openxmlformats.org/drawingml/2006/main">
                  <a:graphicData uri="http://schemas.microsoft.com/office/word/2010/wordprocessingShape">
                    <wps:wsp>
                      <wps:cNvSpPr txBox="1">
                        <a:spLocks noChangeArrowheads="1"/>
                      </wps:cNvSpPr>
                      <wps:spPr bwMode="auto">
                        <a:xfrm>
                          <a:off x="0" y="0"/>
                          <a:ext cx="1251585" cy="323850"/>
                        </a:xfrm>
                        <a:prstGeom prst="rect">
                          <a:avLst/>
                        </a:prstGeom>
                        <a:noFill/>
                        <a:ln>
                          <a:noFill/>
                        </a:ln>
                      </wps:spPr>
                      <wps:txbx>
                        <w:txbxContent>
                          <w:p>
                            <w:pPr>
                              <w:ind w:firstLine="360"/>
                              <w:rPr>
                                <w:color w:val="FF0000"/>
                                <w:sz w:val="18"/>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22pt;margin-top:28.55pt;height:25.5pt;width:98.55pt;z-index:251660288;mso-width-relative:page;mso-height-relative:page;" filled="f" stroked="f" coordsize="21600,21600" o:gfxdata="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E8UgO9cAAAAKAQAADwAA&#10;AAAAAAABACAAAAAiAAAAZHJzL2Rvd25yZXYueG1sUEsBAhQAFAAAAAgAh07iQBgDpLIXAgAAFwQA&#10;AA4AAAAAAAAAAQAgAAAAJgEAAGRycy9lMm9Eb2MueG1sUEsFBgAAAAAGAAYAWQEAAK8FAAAAAA==&#10;">
                <v:fill on="f" focussize="0,0"/>
                <v:stroke on="f"/>
                <v:imagedata o:title=""/>
                <o:lock v:ext="edit" aspectratio="f"/>
                <v:textbox>
                  <w:txbxContent>
                    <w:p>
                      <w:pPr>
                        <w:ind w:firstLine="360"/>
                        <w:rPr>
                          <w:color w:val="FF0000"/>
                          <w:sz w:val="18"/>
                        </w:rPr>
                      </w:pPr>
                    </w:p>
                  </w:txbxContent>
                </v:textbox>
              </v:shape>
            </w:pict>
          </mc:Fallback>
        </mc:AlternateContent>
      </w:r>
      <w:r>
        <w:rPr>
          <w:rFonts w:hint="eastAsia" w:ascii="宋体"/>
          <w:sz w:val="28"/>
          <w:szCs w:val="32"/>
        </w:rPr>
        <w:t xml:space="preserve">学    院： </w:t>
      </w:r>
      <w:r>
        <w:rPr>
          <w:rFonts w:hint="eastAsia" w:ascii="宋体"/>
          <w:sz w:val="28"/>
          <w:szCs w:val="32"/>
          <w:lang w:val="en-US" w:eastAsia="zh-CN"/>
        </w:rPr>
        <w:t>商学院</w:t>
      </w:r>
    </w:p>
    <w:p>
      <w:pPr>
        <w:ind w:left="588" w:leftChars="280" w:firstLine="1820" w:firstLineChars="650"/>
        <w:jc w:val="both"/>
        <w:rPr>
          <w:rFonts w:ascii="宋体"/>
          <w:sz w:val="28"/>
          <w:szCs w:val="32"/>
        </w:rPr>
      </w:pPr>
      <w:r>
        <w:rPr>
          <w:rFonts w:hint="eastAsia" w:ascii="宋体"/>
          <w:sz w:val="28"/>
          <w:szCs w:val="32"/>
        </w:rPr>
        <w:t>专    业：</w:t>
      </w:r>
      <w:r>
        <w:rPr>
          <w:rFonts w:hint="eastAsia" w:ascii="宋体"/>
          <w:sz w:val="28"/>
          <w:szCs w:val="32"/>
          <w:lang w:val="en-US" w:eastAsia="zh-CN"/>
        </w:rPr>
        <w:t>工商管理类</w:t>
      </w:r>
    </w:p>
    <w:p>
      <w:pPr>
        <w:rPr>
          <w:rFonts w:ascii="Calibri" w:hAnsi="Calibri" w:eastAsia="华文中宋" w:cs="Times New Roman"/>
          <w:sz w:val="72"/>
          <w:szCs w:val="24"/>
        </w:rPr>
      </w:pPr>
    </w:p>
    <w:p>
      <w:pPr>
        <w:rPr>
          <w:rFonts w:ascii="Calibri" w:hAnsi="Calibri" w:eastAsia="华文中宋" w:cs="Times New Roman"/>
          <w:sz w:val="72"/>
          <w:szCs w:val="24"/>
        </w:rPr>
      </w:pPr>
    </w:p>
    <w:p>
      <w:pPr>
        <w:rPr>
          <w:rFonts w:ascii="Calibri" w:hAnsi="Calibri" w:eastAsia="华文中宋" w:cs="Times New Roman"/>
          <w:sz w:val="72"/>
          <w:szCs w:val="24"/>
        </w:rPr>
      </w:pPr>
    </w:p>
    <w:p>
      <w:pPr>
        <w:rPr>
          <w:rFonts w:ascii="Calibri" w:hAnsi="Calibri" w:eastAsia="华文中宋" w:cs="Times New Roman"/>
          <w:sz w:val="48"/>
          <w:szCs w:val="48"/>
        </w:rPr>
      </w:pPr>
    </w:p>
    <w:p>
      <w:pPr>
        <w:rPr>
          <w:rFonts w:ascii="Calibri" w:hAnsi="Calibri" w:eastAsia="华文中宋" w:cs="Times New Roman"/>
          <w:sz w:val="48"/>
          <w:szCs w:val="48"/>
        </w:rPr>
      </w:pPr>
    </w:p>
    <w:p>
      <w:pPr>
        <w:jc w:val="center"/>
        <w:rPr>
          <w:rFonts w:ascii="楷体" w:hAnsi="楷体" w:eastAsia="楷体" w:cs="Times New Roman"/>
          <w:sz w:val="28"/>
          <w:szCs w:val="24"/>
        </w:rPr>
      </w:pPr>
      <w:r>
        <w:rPr>
          <w:rFonts w:hint="eastAsia" w:ascii="楷体" w:hAnsi="楷体" w:eastAsia="楷体" w:cs="Times New Roman"/>
          <w:sz w:val="28"/>
          <w:szCs w:val="24"/>
        </w:rPr>
        <w:t>2021年</w:t>
      </w:r>
      <w:r>
        <w:rPr>
          <w:rFonts w:hint="eastAsia" w:ascii="楷体" w:hAnsi="楷体" w:eastAsia="楷体" w:cs="Times New Roman"/>
          <w:sz w:val="28"/>
          <w:szCs w:val="24"/>
          <w:lang w:val="en-US" w:eastAsia="zh-CN"/>
        </w:rPr>
        <w:t>6</w:t>
      </w:r>
      <w:r>
        <w:rPr>
          <w:rFonts w:hint="eastAsia" w:ascii="楷体" w:hAnsi="楷体" w:eastAsia="楷体" w:cs="Times New Roman"/>
          <w:sz w:val="28"/>
          <w:szCs w:val="24"/>
        </w:rPr>
        <w:t>月</w:t>
      </w:r>
    </w:p>
    <w:p>
      <w:pPr>
        <w:jc w:val="center"/>
        <w:rPr>
          <w:rFonts w:ascii="Times New Roman" w:hAnsi="Times New Roman" w:cs="Times New Roman"/>
          <w:b/>
          <w:sz w:val="30"/>
          <w:szCs w:val="30"/>
        </w:rPr>
      </w:pPr>
    </w:p>
    <w:p>
      <w:pPr>
        <w:jc w:val="center"/>
        <w:rPr>
          <w:rFonts w:ascii="Times New Roman" w:hAnsi="Times New Roman" w:cs="Times New Roman"/>
          <w:b/>
          <w:sz w:val="30"/>
          <w:szCs w:val="30"/>
        </w:rPr>
      </w:pPr>
      <w:r>
        <w:rPr>
          <w:rFonts w:ascii="Times New Roman" w:hAnsi="Times New Roman" w:cs="Times New Roman"/>
          <w:b/>
          <w:sz w:val="30"/>
          <w:szCs w:val="30"/>
        </w:rPr>
        <w:t>摘</w:t>
      </w:r>
      <w:r>
        <w:rPr>
          <w:rFonts w:hint="eastAsia" w:ascii="Times New Roman" w:hAnsi="Times New Roman" w:cs="Times New Roman"/>
          <w:b/>
          <w:sz w:val="30"/>
          <w:szCs w:val="30"/>
        </w:rPr>
        <w:t xml:space="preserve"> </w:t>
      </w:r>
      <w:r>
        <w:rPr>
          <w:rFonts w:ascii="Times New Roman" w:hAnsi="Times New Roman" w:cs="Times New Roman"/>
          <w:b/>
          <w:sz w:val="30"/>
          <w:szCs w:val="30"/>
        </w:rPr>
        <w:t>要</w:t>
      </w:r>
    </w:p>
    <w:p>
      <w:pPr>
        <w:rPr>
          <w:rFonts w:ascii="宋体" w:hAnsi="宋体" w:eastAsia="宋体"/>
          <w:sz w:val="24"/>
          <w:szCs w:val="24"/>
        </w:rPr>
      </w:pPr>
      <w:r>
        <w:rPr>
          <w:rFonts w:ascii="Times New Roman" w:hAnsi="Times New Roman" w:cs="Times New Roman"/>
          <w:b/>
          <w:sz w:val="30"/>
          <w:szCs w:val="30"/>
        </w:rPr>
        <w:tab/>
      </w:r>
      <w:r>
        <w:rPr>
          <w:rFonts w:hint="eastAsia" w:ascii="宋体" w:hAnsi="宋体" w:eastAsia="宋体" w:cs="Times New Roman"/>
          <w:sz w:val="24"/>
          <w:szCs w:val="24"/>
        </w:rPr>
        <w:t>本文使用了某信贷平台提供的贷款顾客数据，根据用户的社会人口学变量、交易信息以及n系列匿名行为特征，对顾客贷款违约的可能性进行预测，并希望通过分析筛选出的显著影响因素，对信贷平台审慎发放贷款，预防违约风险提出具体建议。本文首先介绍防范贷款违约风险，对提升银行竞争力，增强银行盈利能力的重要性；其次以收集到的数据集为案例，对样本数据进行了一系列的统计描述，展现变量弱相关和分布差异大的特点；之后基于数据的特点，先后建立逻辑回归和XGBoost模型，最终实现了对目标变量的准确预测，并找到影响顾客是否流失的关键因素</w:t>
      </w:r>
      <w:r>
        <w:rPr>
          <w:rFonts w:hint="eastAsia" w:ascii="宋体" w:hAnsi="宋体" w:eastAsia="宋体"/>
          <w:sz w:val="24"/>
          <w:szCs w:val="24"/>
        </w:rPr>
        <w:t>。</w:t>
      </w:r>
    </w:p>
    <w:p>
      <w:pPr>
        <w:rPr>
          <w:rFonts w:ascii="宋体" w:hAnsi="宋体" w:eastAsia="宋体"/>
          <w:sz w:val="24"/>
          <w:szCs w:val="24"/>
        </w:rPr>
      </w:pPr>
    </w:p>
    <w:p>
      <w:pPr>
        <w:rPr>
          <w:rFonts w:hint="eastAsia" w:ascii="宋体" w:hAnsi="宋体" w:eastAsia="宋体" w:cs="Times New Roman"/>
          <w:b/>
          <w:sz w:val="24"/>
          <w:szCs w:val="24"/>
        </w:rPr>
      </w:pPr>
      <w:r>
        <w:rPr>
          <w:rFonts w:hint="eastAsia" w:ascii="宋体" w:hAnsi="宋体" w:eastAsia="宋体"/>
          <w:b/>
          <w:sz w:val="24"/>
          <w:szCs w:val="24"/>
        </w:rPr>
        <w:t>关键词：</w:t>
      </w:r>
      <w:r>
        <w:rPr>
          <w:rFonts w:hint="eastAsia" w:ascii="宋体" w:hAnsi="宋体" w:eastAsia="宋体"/>
          <w:b/>
          <w:sz w:val="24"/>
          <w:szCs w:val="24"/>
          <w:lang w:val="en-US" w:eastAsia="zh-CN"/>
        </w:rPr>
        <w:t>贷款违约</w:t>
      </w:r>
      <w:r>
        <w:rPr>
          <w:rFonts w:hint="eastAsia" w:ascii="宋体" w:hAnsi="宋体" w:eastAsia="宋体"/>
          <w:b/>
          <w:sz w:val="24"/>
          <w:szCs w:val="24"/>
        </w:rPr>
        <w:t>率，交易记录，</w:t>
      </w:r>
      <w:r>
        <w:rPr>
          <w:rFonts w:hint="eastAsia" w:ascii="宋体" w:hAnsi="宋体" w:eastAsia="宋体"/>
          <w:b/>
          <w:sz w:val="24"/>
          <w:szCs w:val="24"/>
          <w:lang w:val="en-US" w:eastAsia="zh-CN"/>
        </w:rPr>
        <w:t>逻辑回归</w:t>
      </w:r>
      <w:r>
        <w:rPr>
          <w:rFonts w:hint="eastAsia" w:ascii="宋体" w:hAnsi="宋体" w:eastAsia="宋体"/>
          <w:b/>
          <w:sz w:val="24"/>
          <w:szCs w:val="24"/>
        </w:rPr>
        <w:t>，集成学习</w:t>
      </w:r>
    </w:p>
    <w:p>
      <w:pPr>
        <w:pStyle w:val="4"/>
        <w:pageBreakBefore w:val="0"/>
        <w:kinsoku/>
        <w:wordWrap/>
        <w:overflowPunct/>
        <w:topLinePunct w:val="0"/>
        <w:autoSpaceDE/>
        <w:autoSpaceDN/>
        <w:bidi w:val="0"/>
        <w:adjustRightInd/>
        <w:snapToGrid/>
        <w:spacing w:line="360" w:lineRule="auto"/>
        <w:ind w:firstLine="482" w:firstLineChars="200"/>
        <w:outlineLvl w:val="9"/>
        <w:rPr>
          <w:rFonts w:hint="eastAsia"/>
          <w:sz w:val="24"/>
          <w:szCs w:val="24"/>
          <w:lang w:val="en-US" w:eastAsia="zh-CN"/>
        </w:rPr>
      </w:pPr>
    </w:p>
    <w:sdt>
      <w:sdtPr>
        <w:rPr>
          <w:rFonts w:ascii="宋体" w:hAnsi="宋体" w:eastAsia="宋体" w:cstheme="minorBidi"/>
          <w:kern w:val="2"/>
          <w:sz w:val="21"/>
          <w:szCs w:val="24"/>
          <w:lang w:val="en-US" w:eastAsia="zh-CN" w:bidi="ar-SA"/>
        </w:rPr>
        <w:id w:val="147466460"/>
        <w15:color w:val="DBDBDB"/>
        <w:docPartObj>
          <w:docPartGallery w:val="Table of Contents"/>
          <w:docPartUnique/>
        </w:docPartObj>
      </w:sdtPr>
      <w:sdtEndPr>
        <w:rPr>
          <w:rFonts w:hint="eastAsia" w:asciiTheme="minorHAnsi" w:hAnsiTheme="minorHAnsi" w:eastAsiaTheme="minorEastAsia"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3"/>
            <w:tabs>
              <w:tab w:val="right" w:leader="dot" w:pos="10206"/>
            </w:tabs>
            <w:rPr>
              <w:b/>
            </w:rPr>
          </w:pPr>
          <w:r>
            <w:rPr>
              <w:rFonts w:hint="eastAsia"/>
              <w:lang w:val="en-US" w:eastAsia="zh-CN"/>
            </w:rPr>
            <w:fldChar w:fldCharType="begin"/>
          </w:r>
          <w:r>
            <w:rPr>
              <w:rFonts w:hint="eastAsia"/>
              <w:lang w:val="en-US" w:eastAsia="zh-CN"/>
            </w:rPr>
            <w:instrText xml:space="preserve">TOC \o "1-2" \h \u </w:instrText>
          </w:r>
          <w:r>
            <w:rPr>
              <w:rFonts w:hint="eastAsia"/>
              <w:lang w:val="en-US" w:eastAsia="zh-CN"/>
            </w:rPr>
            <w:fldChar w:fldCharType="separate"/>
          </w:r>
          <w:r>
            <w:rPr>
              <w:rFonts w:hint="eastAsia"/>
              <w:b/>
              <w:lang w:val="en-US" w:eastAsia="zh-CN"/>
            </w:rPr>
            <w:fldChar w:fldCharType="begin"/>
          </w:r>
          <w:r>
            <w:rPr>
              <w:rFonts w:hint="eastAsia"/>
              <w:b/>
              <w:lang w:val="en-US" w:eastAsia="zh-CN"/>
            </w:rPr>
            <w:instrText xml:space="preserve"> HYPERLINK \l _Toc16640 </w:instrText>
          </w:r>
          <w:r>
            <w:rPr>
              <w:rFonts w:hint="eastAsia"/>
              <w:b/>
              <w:lang w:val="en-US" w:eastAsia="zh-CN"/>
            </w:rPr>
            <w:fldChar w:fldCharType="separate"/>
          </w:r>
          <w:r>
            <w:rPr>
              <w:rFonts w:hint="eastAsia" w:ascii="黑体" w:hAnsi="黑体" w:eastAsia="黑体" w:cs="Times New Roman"/>
              <w:b/>
              <w:bCs/>
              <w:szCs w:val="30"/>
              <w:lang w:val="en-US" w:eastAsia="zh-CN"/>
            </w:rPr>
            <w:t>1 引言</w:t>
          </w:r>
          <w:r>
            <w:rPr>
              <w:b/>
            </w:rPr>
            <w:tab/>
          </w:r>
          <w:r>
            <w:rPr>
              <w:b/>
            </w:rPr>
            <w:fldChar w:fldCharType="begin"/>
          </w:r>
          <w:r>
            <w:rPr>
              <w:b/>
            </w:rPr>
            <w:instrText xml:space="preserve"> PAGEREF _Toc16640 \h </w:instrText>
          </w:r>
          <w:r>
            <w:rPr>
              <w:b/>
            </w:rPr>
            <w:fldChar w:fldCharType="separate"/>
          </w:r>
          <w:r>
            <w:rPr>
              <w:b/>
            </w:rPr>
            <w:t>2</w:t>
          </w:r>
          <w:r>
            <w:rPr>
              <w:b/>
            </w:rPr>
            <w:fldChar w:fldCharType="end"/>
          </w:r>
          <w:r>
            <w:rPr>
              <w:rFonts w:hint="eastAsia"/>
              <w:b/>
              <w:lang w:val="en-US" w:eastAsia="zh-CN"/>
            </w:rPr>
            <w:fldChar w:fldCharType="end"/>
          </w:r>
        </w:p>
        <w:p>
          <w:pPr>
            <w:pStyle w:val="14"/>
            <w:tabs>
              <w:tab w:val="right" w:leader="dot" w:pos="10206"/>
            </w:tabs>
          </w:pPr>
          <w:r>
            <w:rPr>
              <w:rFonts w:hint="eastAsia"/>
              <w:lang w:val="en-US" w:eastAsia="zh-CN"/>
            </w:rPr>
            <w:fldChar w:fldCharType="begin"/>
          </w:r>
          <w:r>
            <w:rPr>
              <w:rFonts w:hint="eastAsia"/>
              <w:lang w:val="en-US" w:eastAsia="zh-CN"/>
            </w:rPr>
            <w:instrText xml:space="preserve"> HYPERLINK \l _Toc2827 </w:instrText>
          </w:r>
          <w:r>
            <w:rPr>
              <w:rFonts w:hint="eastAsia"/>
              <w:lang w:val="en-US" w:eastAsia="zh-CN"/>
            </w:rPr>
            <w:fldChar w:fldCharType="separate"/>
          </w:r>
          <w:r>
            <w:rPr>
              <w:rFonts w:hint="eastAsia"/>
              <w:szCs w:val="24"/>
              <w:lang w:val="en-US" w:eastAsia="zh-CN"/>
            </w:rPr>
            <w:t>1.1 研究背景</w:t>
          </w:r>
          <w:r>
            <w:tab/>
          </w:r>
          <w:r>
            <w:fldChar w:fldCharType="begin"/>
          </w:r>
          <w:r>
            <w:instrText xml:space="preserve"> PAGEREF _Toc2827 \h </w:instrText>
          </w:r>
          <w:r>
            <w:fldChar w:fldCharType="separate"/>
          </w:r>
          <w:r>
            <w:t>2</w:t>
          </w:r>
          <w:r>
            <w:fldChar w:fldCharType="end"/>
          </w:r>
          <w:r>
            <w:rPr>
              <w:rFonts w:hint="eastAsia"/>
              <w:lang w:val="en-US" w:eastAsia="zh-CN"/>
            </w:rPr>
            <w:fldChar w:fldCharType="end"/>
          </w:r>
        </w:p>
        <w:p>
          <w:pPr>
            <w:pStyle w:val="14"/>
            <w:tabs>
              <w:tab w:val="right" w:leader="dot" w:pos="10206"/>
            </w:tabs>
          </w:pPr>
          <w:r>
            <w:rPr>
              <w:rFonts w:hint="eastAsia"/>
              <w:lang w:val="en-US" w:eastAsia="zh-CN"/>
            </w:rPr>
            <w:fldChar w:fldCharType="begin"/>
          </w:r>
          <w:r>
            <w:rPr>
              <w:rFonts w:hint="eastAsia"/>
              <w:lang w:val="en-US" w:eastAsia="zh-CN"/>
            </w:rPr>
            <w:instrText xml:space="preserve"> HYPERLINK \l _Toc19896 </w:instrText>
          </w:r>
          <w:r>
            <w:rPr>
              <w:rFonts w:hint="eastAsia"/>
              <w:lang w:val="en-US" w:eastAsia="zh-CN"/>
            </w:rPr>
            <w:fldChar w:fldCharType="separate"/>
          </w:r>
          <w:r>
            <w:rPr>
              <w:rFonts w:hint="eastAsia"/>
              <w:szCs w:val="24"/>
              <w:lang w:val="en-US" w:eastAsia="zh-CN"/>
            </w:rPr>
            <w:t>1.2 文献综述</w:t>
          </w:r>
          <w:r>
            <w:tab/>
          </w:r>
          <w:r>
            <w:fldChar w:fldCharType="begin"/>
          </w:r>
          <w:r>
            <w:instrText xml:space="preserve"> PAGEREF _Toc19896 \h </w:instrText>
          </w:r>
          <w:r>
            <w:fldChar w:fldCharType="separate"/>
          </w:r>
          <w:r>
            <w:t>3</w:t>
          </w:r>
          <w:r>
            <w:fldChar w:fldCharType="end"/>
          </w:r>
          <w:r>
            <w:rPr>
              <w:rFonts w:hint="eastAsia"/>
              <w:lang w:val="en-US" w:eastAsia="zh-CN"/>
            </w:rPr>
            <w:fldChar w:fldCharType="end"/>
          </w:r>
        </w:p>
        <w:p>
          <w:pPr>
            <w:pStyle w:val="13"/>
            <w:tabs>
              <w:tab w:val="right" w:leader="dot" w:pos="10206"/>
            </w:tabs>
            <w:rPr>
              <w:b/>
            </w:rPr>
          </w:pPr>
          <w:r>
            <w:rPr>
              <w:rFonts w:hint="eastAsia"/>
              <w:b/>
              <w:lang w:val="en-US" w:eastAsia="zh-CN"/>
            </w:rPr>
            <w:fldChar w:fldCharType="begin"/>
          </w:r>
          <w:r>
            <w:rPr>
              <w:rFonts w:hint="eastAsia"/>
              <w:b/>
              <w:lang w:val="en-US" w:eastAsia="zh-CN"/>
            </w:rPr>
            <w:instrText xml:space="preserve"> HYPERLINK \l _Toc26038 </w:instrText>
          </w:r>
          <w:r>
            <w:rPr>
              <w:rFonts w:hint="eastAsia"/>
              <w:b/>
              <w:lang w:val="en-US" w:eastAsia="zh-CN"/>
            </w:rPr>
            <w:fldChar w:fldCharType="separate"/>
          </w:r>
          <w:r>
            <w:rPr>
              <w:rFonts w:hint="eastAsia"/>
              <w:b/>
              <w:szCs w:val="24"/>
              <w:lang w:val="en-US" w:eastAsia="zh-CN"/>
            </w:rPr>
            <w:t>2. 数据介绍</w:t>
          </w:r>
          <w:r>
            <w:rPr>
              <w:b/>
            </w:rPr>
            <w:tab/>
          </w:r>
          <w:r>
            <w:rPr>
              <w:b/>
            </w:rPr>
            <w:fldChar w:fldCharType="begin"/>
          </w:r>
          <w:r>
            <w:rPr>
              <w:b/>
            </w:rPr>
            <w:instrText xml:space="preserve"> PAGEREF _Toc26038 \h </w:instrText>
          </w:r>
          <w:r>
            <w:rPr>
              <w:b/>
            </w:rPr>
            <w:fldChar w:fldCharType="separate"/>
          </w:r>
          <w:r>
            <w:rPr>
              <w:b/>
            </w:rPr>
            <w:t>5</w:t>
          </w:r>
          <w:r>
            <w:rPr>
              <w:b/>
            </w:rPr>
            <w:fldChar w:fldCharType="end"/>
          </w:r>
          <w:r>
            <w:rPr>
              <w:rFonts w:hint="eastAsia"/>
              <w:b/>
              <w:lang w:val="en-US" w:eastAsia="zh-CN"/>
            </w:rPr>
            <w:fldChar w:fldCharType="end"/>
          </w:r>
        </w:p>
        <w:p>
          <w:pPr>
            <w:pStyle w:val="14"/>
            <w:tabs>
              <w:tab w:val="right" w:leader="dot" w:pos="10206"/>
            </w:tabs>
          </w:pPr>
          <w:r>
            <w:rPr>
              <w:rFonts w:hint="eastAsia"/>
              <w:lang w:val="en-US" w:eastAsia="zh-CN"/>
            </w:rPr>
            <w:fldChar w:fldCharType="begin"/>
          </w:r>
          <w:r>
            <w:rPr>
              <w:rFonts w:hint="eastAsia"/>
              <w:lang w:val="en-US" w:eastAsia="zh-CN"/>
            </w:rPr>
            <w:instrText xml:space="preserve"> HYPERLINK \l _Toc30298 </w:instrText>
          </w:r>
          <w:r>
            <w:rPr>
              <w:rFonts w:hint="eastAsia"/>
              <w:lang w:val="en-US" w:eastAsia="zh-CN"/>
            </w:rPr>
            <w:fldChar w:fldCharType="separate"/>
          </w:r>
          <w:r>
            <w:rPr>
              <w:rFonts w:hint="eastAsia"/>
              <w:szCs w:val="24"/>
              <w:lang w:val="en-US" w:eastAsia="zh-CN"/>
            </w:rPr>
            <w:t>2.1 数据来源</w:t>
          </w:r>
          <w:r>
            <w:tab/>
          </w:r>
          <w:r>
            <w:fldChar w:fldCharType="begin"/>
          </w:r>
          <w:r>
            <w:instrText xml:space="preserve"> PAGEREF _Toc30298 \h </w:instrText>
          </w:r>
          <w:r>
            <w:fldChar w:fldCharType="separate"/>
          </w:r>
          <w:r>
            <w:t>5</w:t>
          </w:r>
          <w:r>
            <w:fldChar w:fldCharType="end"/>
          </w:r>
          <w:r>
            <w:rPr>
              <w:rFonts w:hint="eastAsia"/>
              <w:lang w:val="en-US" w:eastAsia="zh-CN"/>
            </w:rPr>
            <w:fldChar w:fldCharType="end"/>
          </w:r>
        </w:p>
        <w:p>
          <w:pPr>
            <w:pStyle w:val="14"/>
            <w:tabs>
              <w:tab w:val="right" w:leader="dot" w:pos="10206"/>
            </w:tabs>
          </w:pPr>
          <w:r>
            <w:rPr>
              <w:rFonts w:hint="eastAsia"/>
              <w:lang w:val="en-US" w:eastAsia="zh-CN"/>
            </w:rPr>
            <w:fldChar w:fldCharType="begin"/>
          </w:r>
          <w:r>
            <w:rPr>
              <w:rFonts w:hint="eastAsia"/>
              <w:lang w:val="en-US" w:eastAsia="zh-CN"/>
            </w:rPr>
            <w:instrText xml:space="preserve"> HYPERLINK \l _Toc4232 </w:instrText>
          </w:r>
          <w:r>
            <w:rPr>
              <w:rFonts w:hint="eastAsia"/>
              <w:lang w:val="en-US" w:eastAsia="zh-CN"/>
            </w:rPr>
            <w:fldChar w:fldCharType="separate"/>
          </w:r>
          <w:r>
            <w:rPr>
              <w:rFonts w:hint="eastAsia"/>
              <w:szCs w:val="24"/>
              <w:lang w:val="en-US" w:eastAsia="zh-CN"/>
            </w:rPr>
            <w:t>2.2 数据预处理</w:t>
          </w:r>
          <w:r>
            <w:tab/>
          </w:r>
          <w:r>
            <w:fldChar w:fldCharType="begin"/>
          </w:r>
          <w:r>
            <w:instrText xml:space="preserve"> PAGEREF _Toc4232 \h </w:instrText>
          </w:r>
          <w:r>
            <w:fldChar w:fldCharType="separate"/>
          </w:r>
          <w:r>
            <w:t>6</w:t>
          </w:r>
          <w:r>
            <w:fldChar w:fldCharType="end"/>
          </w:r>
          <w:r>
            <w:rPr>
              <w:rFonts w:hint="eastAsia"/>
              <w:lang w:val="en-US" w:eastAsia="zh-CN"/>
            </w:rPr>
            <w:fldChar w:fldCharType="end"/>
          </w:r>
        </w:p>
        <w:p>
          <w:pPr>
            <w:pStyle w:val="14"/>
            <w:tabs>
              <w:tab w:val="right" w:leader="dot" w:pos="10206"/>
            </w:tabs>
          </w:pPr>
          <w:r>
            <w:rPr>
              <w:rFonts w:hint="eastAsia"/>
              <w:lang w:val="en-US" w:eastAsia="zh-CN"/>
            </w:rPr>
            <w:fldChar w:fldCharType="begin"/>
          </w:r>
          <w:r>
            <w:rPr>
              <w:rFonts w:hint="eastAsia"/>
              <w:lang w:val="en-US" w:eastAsia="zh-CN"/>
            </w:rPr>
            <w:instrText xml:space="preserve"> HYPERLINK \l _Toc7135 </w:instrText>
          </w:r>
          <w:r>
            <w:rPr>
              <w:rFonts w:hint="eastAsia"/>
              <w:lang w:val="en-US" w:eastAsia="zh-CN"/>
            </w:rPr>
            <w:fldChar w:fldCharType="separate"/>
          </w:r>
          <w:r>
            <w:rPr>
              <w:rFonts w:hint="eastAsia"/>
              <w:szCs w:val="24"/>
              <w:lang w:val="en-US" w:eastAsia="zh-CN"/>
            </w:rPr>
            <w:t>2.3 数据描述</w:t>
          </w:r>
          <w:r>
            <w:tab/>
          </w:r>
          <w:r>
            <w:fldChar w:fldCharType="begin"/>
          </w:r>
          <w:r>
            <w:instrText xml:space="preserve"> PAGEREF _Toc7135 \h </w:instrText>
          </w:r>
          <w:r>
            <w:fldChar w:fldCharType="separate"/>
          </w:r>
          <w:r>
            <w:t>11</w:t>
          </w:r>
          <w:r>
            <w:fldChar w:fldCharType="end"/>
          </w:r>
          <w:r>
            <w:rPr>
              <w:rFonts w:hint="eastAsia"/>
              <w:lang w:val="en-US" w:eastAsia="zh-CN"/>
            </w:rPr>
            <w:fldChar w:fldCharType="end"/>
          </w:r>
        </w:p>
        <w:p>
          <w:pPr>
            <w:pStyle w:val="13"/>
            <w:tabs>
              <w:tab w:val="right" w:leader="dot" w:pos="10206"/>
            </w:tabs>
            <w:rPr>
              <w:b/>
            </w:rPr>
          </w:pPr>
          <w:r>
            <w:rPr>
              <w:rFonts w:hint="eastAsia"/>
              <w:b/>
              <w:lang w:val="en-US" w:eastAsia="zh-CN"/>
            </w:rPr>
            <w:fldChar w:fldCharType="begin"/>
          </w:r>
          <w:r>
            <w:rPr>
              <w:rFonts w:hint="eastAsia"/>
              <w:b/>
              <w:lang w:val="en-US" w:eastAsia="zh-CN"/>
            </w:rPr>
            <w:instrText xml:space="preserve"> HYPERLINK \l _Toc29090 </w:instrText>
          </w:r>
          <w:r>
            <w:rPr>
              <w:rFonts w:hint="eastAsia"/>
              <w:b/>
              <w:lang w:val="en-US" w:eastAsia="zh-CN"/>
            </w:rPr>
            <w:fldChar w:fldCharType="separate"/>
          </w:r>
          <w:r>
            <w:rPr>
              <w:rFonts w:hint="eastAsia"/>
              <w:b/>
              <w:szCs w:val="24"/>
              <w:lang w:val="en-US" w:eastAsia="zh-CN"/>
            </w:rPr>
            <w:t>3.模型选取</w:t>
          </w:r>
          <w:r>
            <w:rPr>
              <w:b/>
            </w:rPr>
            <w:tab/>
          </w:r>
          <w:r>
            <w:rPr>
              <w:b/>
            </w:rPr>
            <w:fldChar w:fldCharType="begin"/>
          </w:r>
          <w:r>
            <w:rPr>
              <w:b/>
            </w:rPr>
            <w:instrText xml:space="preserve"> PAGEREF _Toc29090 \h </w:instrText>
          </w:r>
          <w:r>
            <w:rPr>
              <w:b/>
            </w:rPr>
            <w:fldChar w:fldCharType="separate"/>
          </w:r>
          <w:r>
            <w:rPr>
              <w:b/>
            </w:rPr>
            <w:t>14</w:t>
          </w:r>
          <w:r>
            <w:rPr>
              <w:b/>
            </w:rPr>
            <w:fldChar w:fldCharType="end"/>
          </w:r>
          <w:r>
            <w:rPr>
              <w:rFonts w:hint="eastAsia"/>
              <w:b/>
              <w:lang w:val="en-US" w:eastAsia="zh-CN"/>
            </w:rPr>
            <w:fldChar w:fldCharType="end"/>
          </w:r>
        </w:p>
        <w:p>
          <w:pPr>
            <w:pStyle w:val="14"/>
            <w:tabs>
              <w:tab w:val="right" w:leader="dot" w:pos="10206"/>
            </w:tabs>
          </w:pPr>
          <w:r>
            <w:rPr>
              <w:rFonts w:hint="eastAsia"/>
              <w:lang w:val="en-US" w:eastAsia="zh-CN"/>
            </w:rPr>
            <w:fldChar w:fldCharType="begin"/>
          </w:r>
          <w:r>
            <w:rPr>
              <w:rFonts w:hint="eastAsia"/>
              <w:lang w:val="en-US" w:eastAsia="zh-CN"/>
            </w:rPr>
            <w:instrText xml:space="preserve"> HYPERLINK \l _Toc14513 </w:instrText>
          </w:r>
          <w:r>
            <w:rPr>
              <w:rFonts w:hint="eastAsia"/>
              <w:lang w:val="en-US" w:eastAsia="zh-CN"/>
            </w:rPr>
            <w:fldChar w:fldCharType="separate"/>
          </w:r>
          <w:r>
            <w:rPr>
              <w:rFonts w:hint="eastAsia"/>
              <w:szCs w:val="24"/>
              <w:lang w:val="en-US" w:eastAsia="zh-CN"/>
            </w:rPr>
            <w:t>3.1 逻辑回归</w:t>
          </w:r>
          <w:r>
            <w:tab/>
          </w:r>
          <w:r>
            <w:fldChar w:fldCharType="begin"/>
          </w:r>
          <w:r>
            <w:instrText xml:space="preserve"> PAGEREF _Toc14513 \h </w:instrText>
          </w:r>
          <w:r>
            <w:fldChar w:fldCharType="separate"/>
          </w:r>
          <w:r>
            <w:t>14</w:t>
          </w:r>
          <w:r>
            <w:fldChar w:fldCharType="end"/>
          </w:r>
          <w:r>
            <w:rPr>
              <w:rFonts w:hint="eastAsia"/>
              <w:lang w:val="en-US" w:eastAsia="zh-CN"/>
            </w:rPr>
            <w:fldChar w:fldCharType="end"/>
          </w:r>
        </w:p>
        <w:p>
          <w:pPr>
            <w:pStyle w:val="14"/>
            <w:tabs>
              <w:tab w:val="right" w:leader="dot" w:pos="10206"/>
            </w:tabs>
          </w:pPr>
          <w:r>
            <w:rPr>
              <w:rFonts w:hint="eastAsia"/>
              <w:lang w:val="en-US" w:eastAsia="zh-CN"/>
            </w:rPr>
            <w:fldChar w:fldCharType="begin"/>
          </w:r>
          <w:r>
            <w:rPr>
              <w:rFonts w:hint="eastAsia"/>
              <w:lang w:val="en-US" w:eastAsia="zh-CN"/>
            </w:rPr>
            <w:instrText xml:space="preserve"> HYPERLINK \l _Toc15214 </w:instrText>
          </w:r>
          <w:r>
            <w:rPr>
              <w:rFonts w:hint="eastAsia"/>
              <w:lang w:val="en-US" w:eastAsia="zh-CN"/>
            </w:rPr>
            <w:fldChar w:fldCharType="separate"/>
          </w:r>
          <w:r>
            <w:rPr>
              <w:rFonts w:hint="eastAsia"/>
              <w:szCs w:val="24"/>
              <w:lang w:val="en-US" w:eastAsia="zh-CN"/>
            </w:rPr>
            <w:t>3.2 集成学习</w:t>
          </w:r>
          <w:r>
            <w:tab/>
          </w:r>
          <w:r>
            <w:fldChar w:fldCharType="begin"/>
          </w:r>
          <w:r>
            <w:instrText xml:space="preserve"> PAGEREF _Toc15214 \h </w:instrText>
          </w:r>
          <w:r>
            <w:fldChar w:fldCharType="separate"/>
          </w:r>
          <w:r>
            <w:t>16</w:t>
          </w:r>
          <w:r>
            <w:fldChar w:fldCharType="end"/>
          </w:r>
          <w:r>
            <w:rPr>
              <w:rFonts w:hint="eastAsia"/>
              <w:lang w:val="en-US" w:eastAsia="zh-CN"/>
            </w:rPr>
            <w:fldChar w:fldCharType="end"/>
          </w:r>
        </w:p>
        <w:p>
          <w:pPr>
            <w:pStyle w:val="13"/>
            <w:tabs>
              <w:tab w:val="right" w:leader="dot" w:pos="10206"/>
            </w:tabs>
            <w:rPr>
              <w:b/>
            </w:rPr>
          </w:pPr>
          <w:r>
            <w:rPr>
              <w:rFonts w:hint="eastAsia"/>
              <w:b/>
              <w:lang w:val="en-US" w:eastAsia="zh-CN"/>
            </w:rPr>
            <w:fldChar w:fldCharType="begin"/>
          </w:r>
          <w:r>
            <w:rPr>
              <w:rFonts w:hint="eastAsia"/>
              <w:b/>
              <w:lang w:val="en-US" w:eastAsia="zh-CN"/>
            </w:rPr>
            <w:instrText xml:space="preserve"> HYPERLINK \l _Toc22699 </w:instrText>
          </w:r>
          <w:r>
            <w:rPr>
              <w:rFonts w:hint="eastAsia"/>
              <w:b/>
              <w:lang w:val="en-US" w:eastAsia="zh-CN"/>
            </w:rPr>
            <w:fldChar w:fldCharType="separate"/>
          </w:r>
          <w:r>
            <w:rPr>
              <w:rFonts w:hint="eastAsia"/>
              <w:b/>
              <w:szCs w:val="24"/>
              <w:lang w:val="en-US" w:eastAsia="zh-CN"/>
            </w:rPr>
            <w:t>4 实证分析</w:t>
          </w:r>
          <w:r>
            <w:rPr>
              <w:b/>
            </w:rPr>
            <w:tab/>
          </w:r>
          <w:r>
            <w:rPr>
              <w:b/>
            </w:rPr>
            <w:fldChar w:fldCharType="begin"/>
          </w:r>
          <w:r>
            <w:rPr>
              <w:b/>
            </w:rPr>
            <w:instrText xml:space="preserve"> PAGEREF _Toc22699 \h </w:instrText>
          </w:r>
          <w:r>
            <w:rPr>
              <w:b/>
            </w:rPr>
            <w:fldChar w:fldCharType="separate"/>
          </w:r>
          <w:r>
            <w:rPr>
              <w:b/>
            </w:rPr>
            <w:t>17</w:t>
          </w:r>
          <w:r>
            <w:rPr>
              <w:b/>
            </w:rPr>
            <w:fldChar w:fldCharType="end"/>
          </w:r>
          <w:r>
            <w:rPr>
              <w:rFonts w:hint="eastAsia"/>
              <w:b/>
              <w:lang w:val="en-US" w:eastAsia="zh-CN"/>
            </w:rPr>
            <w:fldChar w:fldCharType="end"/>
          </w:r>
        </w:p>
        <w:p>
          <w:pPr>
            <w:pStyle w:val="14"/>
            <w:tabs>
              <w:tab w:val="right" w:leader="dot" w:pos="10206"/>
            </w:tabs>
          </w:pPr>
          <w:r>
            <w:rPr>
              <w:rFonts w:hint="eastAsia"/>
              <w:lang w:val="en-US" w:eastAsia="zh-CN"/>
            </w:rPr>
            <w:fldChar w:fldCharType="begin"/>
          </w:r>
          <w:r>
            <w:rPr>
              <w:rFonts w:hint="eastAsia"/>
              <w:lang w:val="en-US" w:eastAsia="zh-CN"/>
            </w:rPr>
            <w:instrText xml:space="preserve"> HYPERLINK \l _Toc18697 </w:instrText>
          </w:r>
          <w:r>
            <w:rPr>
              <w:rFonts w:hint="eastAsia"/>
              <w:lang w:val="en-US" w:eastAsia="zh-CN"/>
            </w:rPr>
            <w:fldChar w:fldCharType="separate"/>
          </w:r>
          <w:r>
            <w:rPr>
              <w:rFonts w:hint="eastAsia"/>
              <w:szCs w:val="24"/>
              <w:lang w:val="en-US" w:eastAsia="zh-CN"/>
            </w:rPr>
            <w:t>4.1 逻辑回归建模</w:t>
          </w:r>
          <w:r>
            <w:tab/>
          </w:r>
          <w:r>
            <w:fldChar w:fldCharType="begin"/>
          </w:r>
          <w:r>
            <w:instrText xml:space="preserve"> PAGEREF _Toc18697 \h </w:instrText>
          </w:r>
          <w:r>
            <w:fldChar w:fldCharType="separate"/>
          </w:r>
          <w:r>
            <w:t>18</w:t>
          </w:r>
          <w:r>
            <w:fldChar w:fldCharType="end"/>
          </w:r>
          <w:r>
            <w:rPr>
              <w:rFonts w:hint="eastAsia"/>
              <w:lang w:val="en-US" w:eastAsia="zh-CN"/>
            </w:rPr>
            <w:fldChar w:fldCharType="end"/>
          </w:r>
        </w:p>
        <w:p>
          <w:pPr>
            <w:pStyle w:val="14"/>
            <w:tabs>
              <w:tab w:val="right" w:leader="dot" w:pos="10206"/>
            </w:tabs>
          </w:pPr>
          <w:r>
            <w:rPr>
              <w:rFonts w:hint="eastAsia"/>
              <w:lang w:val="en-US" w:eastAsia="zh-CN"/>
            </w:rPr>
            <w:fldChar w:fldCharType="begin"/>
          </w:r>
          <w:r>
            <w:rPr>
              <w:rFonts w:hint="eastAsia"/>
              <w:lang w:val="en-US" w:eastAsia="zh-CN"/>
            </w:rPr>
            <w:instrText xml:space="preserve"> HYPERLINK \l _Toc13917 </w:instrText>
          </w:r>
          <w:r>
            <w:rPr>
              <w:rFonts w:hint="eastAsia"/>
              <w:lang w:val="en-US" w:eastAsia="zh-CN"/>
            </w:rPr>
            <w:fldChar w:fldCharType="separate"/>
          </w:r>
          <w:r>
            <w:rPr>
              <w:rFonts w:hint="eastAsia"/>
              <w:szCs w:val="24"/>
              <w:lang w:val="en-US" w:eastAsia="zh-CN"/>
            </w:rPr>
            <w:t>4.2 XGBoost建模</w:t>
          </w:r>
          <w:r>
            <w:tab/>
          </w:r>
          <w:r>
            <w:fldChar w:fldCharType="begin"/>
          </w:r>
          <w:r>
            <w:instrText xml:space="preserve"> PAGEREF _Toc13917 \h </w:instrText>
          </w:r>
          <w:r>
            <w:fldChar w:fldCharType="separate"/>
          </w:r>
          <w:r>
            <w:t>20</w:t>
          </w:r>
          <w:r>
            <w:fldChar w:fldCharType="end"/>
          </w:r>
          <w:r>
            <w:rPr>
              <w:rFonts w:hint="eastAsia"/>
              <w:lang w:val="en-US" w:eastAsia="zh-CN"/>
            </w:rPr>
            <w:fldChar w:fldCharType="end"/>
          </w:r>
        </w:p>
        <w:p>
          <w:pPr>
            <w:pStyle w:val="13"/>
            <w:tabs>
              <w:tab w:val="right" w:leader="dot" w:pos="10206"/>
            </w:tabs>
            <w:rPr>
              <w:b/>
            </w:rPr>
          </w:pPr>
          <w:r>
            <w:rPr>
              <w:rFonts w:hint="eastAsia"/>
              <w:b/>
              <w:lang w:val="en-US" w:eastAsia="zh-CN"/>
            </w:rPr>
            <w:fldChar w:fldCharType="begin"/>
          </w:r>
          <w:r>
            <w:rPr>
              <w:rFonts w:hint="eastAsia"/>
              <w:b/>
              <w:lang w:val="en-US" w:eastAsia="zh-CN"/>
            </w:rPr>
            <w:instrText xml:space="preserve"> HYPERLINK \l _Toc12037 </w:instrText>
          </w:r>
          <w:r>
            <w:rPr>
              <w:rFonts w:hint="eastAsia"/>
              <w:b/>
              <w:lang w:val="en-US" w:eastAsia="zh-CN"/>
            </w:rPr>
            <w:fldChar w:fldCharType="separate"/>
          </w:r>
          <w:r>
            <w:rPr>
              <w:rFonts w:hint="eastAsia"/>
              <w:b/>
              <w:szCs w:val="24"/>
              <w:lang w:val="en-US" w:eastAsia="zh-CN"/>
            </w:rPr>
            <w:t>5.总结与反思</w:t>
          </w:r>
          <w:r>
            <w:rPr>
              <w:b/>
            </w:rPr>
            <w:tab/>
          </w:r>
          <w:r>
            <w:rPr>
              <w:b/>
            </w:rPr>
            <w:fldChar w:fldCharType="begin"/>
          </w:r>
          <w:r>
            <w:rPr>
              <w:b/>
            </w:rPr>
            <w:instrText xml:space="preserve"> PAGEREF _Toc12037 \h </w:instrText>
          </w:r>
          <w:r>
            <w:rPr>
              <w:b/>
            </w:rPr>
            <w:fldChar w:fldCharType="separate"/>
          </w:r>
          <w:r>
            <w:rPr>
              <w:b/>
            </w:rPr>
            <w:t>22</w:t>
          </w:r>
          <w:r>
            <w:rPr>
              <w:b/>
            </w:rPr>
            <w:fldChar w:fldCharType="end"/>
          </w:r>
          <w:r>
            <w:rPr>
              <w:rFonts w:hint="eastAsia"/>
              <w:b/>
              <w:lang w:val="en-US" w:eastAsia="zh-CN"/>
            </w:rPr>
            <w:fldChar w:fldCharType="end"/>
          </w:r>
        </w:p>
        <w:p>
          <w:pPr>
            <w:pStyle w:val="14"/>
            <w:tabs>
              <w:tab w:val="right" w:leader="dot" w:pos="10206"/>
            </w:tabs>
          </w:pPr>
          <w:r>
            <w:rPr>
              <w:rFonts w:hint="eastAsia"/>
              <w:lang w:val="en-US" w:eastAsia="zh-CN"/>
            </w:rPr>
            <w:fldChar w:fldCharType="begin"/>
          </w:r>
          <w:r>
            <w:rPr>
              <w:rFonts w:hint="eastAsia"/>
              <w:lang w:val="en-US" w:eastAsia="zh-CN"/>
            </w:rPr>
            <w:instrText xml:space="preserve"> HYPERLINK \l _Toc20302 </w:instrText>
          </w:r>
          <w:r>
            <w:rPr>
              <w:rFonts w:hint="eastAsia"/>
              <w:lang w:val="en-US" w:eastAsia="zh-CN"/>
            </w:rPr>
            <w:fldChar w:fldCharType="separate"/>
          </w:r>
          <w:r>
            <w:rPr>
              <w:rFonts w:hint="eastAsia"/>
              <w:szCs w:val="24"/>
              <w:lang w:val="en-US" w:eastAsia="zh-CN"/>
            </w:rPr>
            <w:t>5.1 论文总结</w:t>
          </w:r>
          <w:r>
            <w:tab/>
          </w:r>
          <w:r>
            <w:fldChar w:fldCharType="begin"/>
          </w:r>
          <w:r>
            <w:instrText xml:space="preserve"> PAGEREF _Toc20302 \h </w:instrText>
          </w:r>
          <w:r>
            <w:fldChar w:fldCharType="separate"/>
          </w:r>
          <w:r>
            <w:t>22</w:t>
          </w:r>
          <w:r>
            <w:fldChar w:fldCharType="end"/>
          </w:r>
          <w:r>
            <w:rPr>
              <w:rFonts w:hint="eastAsia"/>
              <w:lang w:val="en-US" w:eastAsia="zh-CN"/>
            </w:rPr>
            <w:fldChar w:fldCharType="end"/>
          </w:r>
        </w:p>
        <w:p>
          <w:pPr>
            <w:pStyle w:val="14"/>
            <w:tabs>
              <w:tab w:val="right" w:leader="dot" w:pos="10206"/>
            </w:tabs>
          </w:pPr>
          <w:r>
            <w:rPr>
              <w:rFonts w:hint="eastAsia"/>
              <w:lang w:val="en-US" w:eastAsia="zh-CN"/>
            </w:rPr>
            <w:fldChar w:fldCharType="begin"/>
          </w:r>
          <w:r>
            <w:rPr>
              <w:rFonts w:hint="eastAsia"/>
              <w:lang w:val="en-US" w:eastAsia="zh-CN"/>
            </w:rPr>
            <w:instrText xml:space="preserve"> HYPERLINK \l _Toc11045 </w:instrText>
          </w:r>
          <w:r>
            <w:rPr>
              <w:rFonts w:hint="eastAsia"/>
              <w:lang w:val="en-US" w:eastAsia="zh-CN"/>
            </w:rPr>
            <w:fldChar w:fldCharType="separate"/>
          </w:r>
          <w:r>
            <w:rPr>
              <w:rFonts w:hint="eastAsia"/>
              <w:szCs w:val="24"/>
              <w:lang w:val="en-US" w:eastAsia="zh-CN"/>
            </w:rPr>
            <w:t>5.2 反思与不足</w:t>
          </w:r>
          <w:r>
            <w:tab/>
          </w:r>
          <w:r>
            <w:fldChar w:fldCharType="begin"/>
          </w:r>
          <w:r>
            <w:instrText xml:space="preserve"> PAGEREF _Toc11045 \h </w:instrText>
          </w:r>
          <w:r>
            <w:fldChar w:fldCharType="separate"/>
          </w:r>
          <w:r>
            <w:t>22</w:t>
          </w:r>
          <w:r>
            <w:fldChar w:fldCharType="end"/>
          </w:r>
          <w:r>
            <w:rPr>
              <w:rFonts w:hint="eastAsia"/>
              <w:lang w:val="en-US" w:eastAsia="zh-CN"/>
            </w:rPr>
            <w:fldChar w:fldCharType="end"/>
          </w:r>
        </w:p>
        <w:p>
          <w:pPr>
            <w:pStyle w:val="13"/>
            <w:tabs>
              <w:tab w:val="right" w:leader="dot" w:pos="10206"/>
            </w:tabs>
            <w:rPr>
              <w:b/>
            </w:rPr>
          </w:pPr>
          <w:r>
            <w:rPr>
              <w:rFonts w:hint="eastAsia"/>
              <w:b/>
              <w:lang w:val="en-US" w:eastAsia="zh-CN"/>
            </w:rPr>
            <w:fldChar w:fldCharType="begin"/>
          </w:r>
          <w:r>
            <w:rPr>
              <w:rFonts w:hint="eastAsia"/>
              <w:b/>
              <w:lang w:val="en-US" w:eastAsia="zh-CN"/>
            </w:rPr>
            <w:instrText xml:space="preserve"> HYPERLINK \l _Toc3904 </w:instrText>
          </w:r>
          <w:r>
            <w:rPr>
              <w:rFonts w:hint="eastAsia"/>
              <w:b/>
              <w:lang w:val="en-US" w:eastAsia="zh-CN"/>
            </w:rPr>
            <w:fldChar w:fldCharType="separate"/>
          </w:r>
          <w:r>
            <w:rPr>
              <w:rFonts w:hint="eastAsia" w:ascii="黑体" w:hAnsi="黑体" w:eastAsia="黑体" w:cs="Times New Roman"/>
              <w:b/>
              <w:bCs/>
              <w:szCs w:val="30"/>
              <w:lang w:val="en-US" w:eastAsia="zh-CN"/>
            </w:rPr>
            <w:t>参考文献</w:t>
          </w:r>
          <w:r>
            <w:rPr>
              <w:b/>
            </w:rPr>
            <w:tab/>
          </w:r>
          <w:r>
            <w:rPr>
              <w:b/>
            </w:rPr>
            <w:fldChar w:fldCharType="begin"/>
          </w:r>
          <w:r>
            <w:rPr>
              <w:b/>
            </w:rPr>
            <w:instrText xml:space="preserve"> PAGEREF _Toc3904 \h </w:instrText>
          </w:r>
          <w:r>
            <w:rPr>
              <w:b/>
            </w:rPr>
            <w:fldChar w:fldCharType="separate"/>
          </w:r>
          <w:r>
            <w:rPr>
              <w:b/>
            </w:rPr>
            <w:t>23</w:t>
          </w:r>
          <w:r>
            <w:rPr>
              <w:b/>
            </w:rPr>
            <w:fldChar w:fldCharType="end"/>
          </w:r>
          <w:r>
            <w:rPr>
              <w:rFonts w:hint="eastAsia"/>
              <w:b/>
              <w:lang w:val="en-US" w:eastAsia="zh-CN"/>
            </w:rPr>
            <w:fldChar w:fldCharType="end"/>
          </w:r>
        </w:p>
        <w:p>
          <w:pPr>
            <w:rPr>
              <w:rFonts w:hint="eastAsia"/>
              <w:lang w:val="en-US" w:eastAsia="zh-CN"/>
            </w:rPr>
          </w:pPr>
          <w:r>
            <w:rPr>
              <w:rFonts w:hint="eastAsia"/>
              <w:b/>
              <w:lang w:val="en-US" w:eastAsia="zh-CN"/>
            </w:rPr>
            <w:fldChar w:fldCharType="end"/>
          </w:r>
        </w:p>
      </w:sdtContent>
    </w:sdt>
    <w:p>
      <w:pPr>
        <w:pStyle w:val="2"/>
        <w:spacing w:beforeLines="-2147483648" w:beforeAutospacing="0" w:afterLines="-2147483648" w:afterAutospacing="0" w:line="240" w:lineRule="auto"/>
        <w:rPr>
          <w:rFonts w:hint="eastAsia" w:ascii="黑体" w:hAnsi="黑体" w:eastAsia="黑体" w:cs="Times New Roman"/>
          <w:b w:val="0"/>
          <w:bCs/>
          <w:sz w:val="30"/>
          <w:szCs w:val="30"/>
          <w:lang w:val="en-US" w:eastAsia="zh-CN"/>
        </w:rPr>
      </w:pPr>
      <w:bookmarkStart w:id="0" w:name="_Toc19608"/>
      <w:bookmarkStart w:id="1" w:name="_Toc16640"/>
      <w:r>
        <w:rPr>
          <w:rFonts w:hint="eastAsia" w:ascii="黑体" w:hAnsi="黑体" w:eastAsia="黑体" w:cs="Times New Roman"/>
          <w:b w:val="0"/>
          <w:bCs/>
          <w:sz w:val="30"/>
          <w:szCs w:val="30"/>
          <w:lang w:val="en-US" w:eastAsia="zh-CN"/>
        </w:rPr>
        <w:t>1 引言</w:t>
      </w:r>
      <w:bookmarkEnd w:id="0"/>
      <w:bookmarkEnd w:id="1"/>
    </w:p>
    <w:p>
      <w:pPr>
        <w:pStyle w:val="3"/>
        <w:pageBreakBefore w:val="0"/>
        <w:kinsoku/>
        <w:wordWrap/>
        <w:overflowPunct/>
        <w:topLinePunct w:val="0"/>
        <w:autoSpaceDE/>
        <w:autoSpaceDN/>
        <w:bidi w:val="0"/>
        <w:adjustRightInd/>
        <w:snapToGrid/>
        <w:spacing w:beforeLines="-2147483648" w:beforeAutospacing="0" w:afterLines="-2147483648" w:afterAutospacing="0" w:line="360" w:lineRule="auto"/>
        <w:ind w:firstLine="482" w:firstLineChars="200"/>
        <w:rPr>
          <w:rFonts w:hint="eastAsia"/>
          <w:b/>
          <w:sz w:val="24"/>
          <w:szCs w:val="24"/>
          <w:lang w:val="en-US" w:eastAsia="zh-CN"/>
        </w:rPr>
      </w:pPr>
      <w:bookmarkStart w:id="2" w:name="_Toc18516"/>
      <w:bookmarkStart w:id="3" w:name="_Toc2827"/>
      <w:r>
        <w:rPr>
          <w:rFonts w:hint="eastAsia"/>
          <w:b/>
          <w:sz w:val="24"/>
          <w:szCs w:val="24"/>
          <w:lang w:val="en-US" w:eastAsia="zh-CN"/>
        </w:rPr>
        <w:t>1.1 研究背景</w:t>
      </w:r>
      <w:bookmarkEnd w:id="2"/>
      <w:bookmarkEnd w:id="3"/>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贷款是商业银行的一项重要业务，是其主要盈利来源之一，对于商业银行的发展有着十分重要的意义，因此贷款风险也一直是银行业关注的重点风险。不良贷款率作为评价金融机构信贷资产安全状况的一项重要指标，是贷款风险的重要反映。在2012年到2013年上半年期间，我国商业银行不良贷款率水平较低，维持在0.9%附近。但从2013年下半年开始，不良贷款率从0.9%迅速攀升到1.7%附近，然后稳定在了较高水平，2018年期间不良贷款率达到了近年来的最高水平1.87%。不良贷款的产生和积累会造成银行资本充足率的下降，给银行发展带来瓶颈威胁，因此建立合适的模型控制贷款违约风险显得至关重要。</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银保监会曾下发文件，提出要积极发展消费金融, 增强消费对经济的拉动作用, 支持发展消费信贷, 满足人民群众日益增长的美好生活需要。在互联网金融监管收紧前, 以消费金融为主的个人短期贷款一度发展迅速。个人短期贷款快速发展一方面促进消费, 缓解了宏观经济压力, 但另一方面贷款增速过快将增加贷款违约风险, 尤其是在储蓄结构与消费结构年龄差距越来越大的背景下。</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据蚂蚁金服和福达国际《中国养老前景调查报告》显示, 中国35岁以下年轻人中56%没有储蓄, 有储蓄的年轻人中, 每月储蓄仅1389元;而在消费贷款中, 80后和90后占比高达80.77%。消费贷款进一步趋向年轻化, 储蓄趋向年老化, 年轻人借贷过多, 一旦工资增长停滞, 个人短期贷款违约不可避免。因此年龄、学历等人口特征对短期贷款违约风险的影响及基于人口特征的短期贷款违约风险预测研究, 具有重要的现实意义。</w:t>
      </w:r>
    </w:p>
    <w:p>
      <w:pPr>
        <w:pStyle w:val="3"/>
        <w:pageBreakBefore w:val="0"/>
        <w:kinsoku/>
        <w:wordWrap/>
        <w:overflowPunct/>
        <w:topLinePunct w:val="0"/>
        <w:autoSpaceDE/>
        <w:autoSpaceDN/>
        <w:bidi w:val="0"/>
        <w:adjustRightInd/>
        <w:snapToGrid/>
        <w:spacing w:beforeLines="-2147483648" w:beforeAutospacing="0" w:afterLines="-2147483648" w:afterAutospacing="0" w:line="360" w:lineRule="auto"/>
        <w:ind w:firstLine="482" w:firstLineChars="200"/>
        <w:rPr>
          <w:rFonts w:hint="eastAsia"/>
          <w:b/>
          <w:sz w:val="24"/>
          <w:szCs w:val="24"/>
          <w:lang w:val="en-US" w:eastAsia="zh-CN"/>
        </w:rPr>
      </w:pPr>
      <w:bookmarkStart w:id="4" w:name="_Toc19896"/>
      <w:bookmarkStart w:id="5" w:name="_Toc8409"/>
      <w:r>
        <w:rPr>
          <w:rFonts w:hint="eastAsia"/>
          <w:b/>
          <w:sz w:val="24"/>
          <w:szCs w:val="24"/>
          <w:lang w:val="en-US" w:eastAsia="zh-CN"/>
        </w:rPr>
        <w:t>1.2 文献综述</w:t>
      </w:r>
      <w:bookmarkEnd w:id="4"/>
      <w:bookmarkEnd w:id="5"/>
    </w:p>
    <w:p>
      <w:pPr>
        <w:pageBreakBefore w:val="0"/>
        <w:kinsoku/>
        <w:wordWrap/>
        <w:overflowPunct/>
        <w:topLinePunct w:val="0"/>
        <w:autoSpaceDE/>
        <w:autoSpaceDN/>
        <w:bidi w:val="0"/>
        <w:adjustRightInd/>
        <w:snapToGrid/>
        <w:spacing w:line="360" w:lineRule="auto"/>
        <w:ind w:firstLine="480" w:firstLineChars="200"/>
        <w:rPr>
          <w:rFonts w:hint="default"/>
          <w:sz w:val="24"/>
          <w:szCs w:val="24"/>
          <w:lang w:val="en-US" w:eastAsia="zh-CN"/>
        </w:rPr>
      </w:pPr>
      <w:r>
        <w:rPr>
          <w:rFonts w:hint="eastAsia"/>
          <w:sz w:val="24"/>
          <w:szCs w:val="24"/>
          <w:lang w:val="en-US" w:eastAsia="zh-CN"/>
        </w:rPr>
        <w:t>1.2.1 贷款违约</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关于贷款违约问题，国外的研究相对较早。早在20世纪中晚期，David和Jon通过使用贷款发放时提供的信息来确定贷款违约类与不违约类之间是否存在差异；Foster和Order基于期权的方法对信用违约进行分析，研究发现期权违约模型能够很好地分析信用违约问题。之后，随着计算机水平的发展，出现了一些新兴的贷款违约评估方法，最常用的是机器学习方法和统计方法。机器学习方法中有神经网络、随机森林、支持向量机等。比如Ma和Yang建立了短期贷款人工神经网络模型；杨保安和季海基于神经网络方法对贷款违约风险进行预测研究；方匡南等基于随机森林分析影响住房贷款违约的风险因素；Danenas和Garsva在粒子群优化技术上构建支持向量机进行违约风险研究。统计方法中最常用的是Logistic回归。比如Lobna Abid等对突尼斯某商业银行的违约数据采用Logistic回归来区分“好”和“坏”的借款人；胡毅等在Logistic回归下分析影响住房贷款违约的风险因素；舒扬和杨秋怡发现Logistic回归在分析汽车贷款违约数据时取得了良好效果。也有不少学者基于Logistic回归构建组合模型，如石庆焱组合Logistic回归与神经网络，建立了一个比Logistic回归精度更高、稳健性更好的两阶段混合模型；张奇等建立Logistic和支持向量机组合型贷款违约风险预警模型。近年来，考虑文本数据的违约建模也越来越多，比如陈林等在P2P借款陈述文本中提取了三类信息：文字特征信息、反映还款能力和还款意愿的信息以及对资金需求的情感特征信息。王小燕等在Logistic回归中通过文本挖掘技术引入了文本先验信息以体现信用风险指标的重要性。</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p>
    <w:p>
      <w:pPr>
        <w:pageBreakBefore w:val="0"/>
        <w:kinsoku/>
        <w:wordWrap/>
        <w:overflowPunct/>
        <w:topLinePunct w:val="0"/>
        <w:autoSpaceDE/>
        <w:autoSpaceDN/>
        <w:bidi w:val="0"/>
        <w:adjustRightInd/>
        <w:snapToGrid/>
        <w:spacing w:line="360" w:lineRule="auto"/>
        <w:ind w:firstLine="480" w:firstLineChars="200"/>
        <w:rPr>
          <w:rFonts w:hint="default"/>
          <w:sz w:val="24"/>
          <w:szCs w:val="24"/>
          <w:lang w:val="en-US" w:eastAsia="zh-CN"/>
        </w:rPr>
      </w:pPr>
      <w:r>
        <w:rPr>
          <w:rFonts w:hint="eastAsia"/>
          <w:sz w:val="24"/>
          <w:szCs w:val="24"/>
          <w:lang w:val="en-US" w:eastAsia="zh-CN"/>
        </w:rPr>
        <w:t xml:space="preserve">1.2.2 </w:t>
      </w:r>
      <w:r>
        <w:rPr>
          <w:rFonts w:hint="default"/>
          <w:sz w:val="24"/>
          <w:szCs w:val="24"/>
          <w:lang w:val="en-US" w:eastAsia="zh-CN"/>
        </w:rPr>
        <w:t>个人住房按揭抵押贷款</w:t>
      </w:r>
      <w:r>
        <w:rPr>
          <w:rFonts w:hint="eastAsia"/>
          <w:sz w:val="24"/>
          <w:szCs w:val="24"/>
          <w:lang w:val="en-US" w:eastAsia="zh-CN"/>
        </w:rPr>
        <w:t>违约</w:t>
      </w:r>
    </w:p>
    <w:p>
      <w:pPr>
        <w:pageBreakBefore w:val="0"/>
        <w:kinsoku/>
        <w:wordWrap/>
        <w:overflowPunct/>
        <w:topLinePunct w:val="0"/>
        <w:autoSpaceDE/>
        <w:autoSpaceDN/>
        <w:bidi w:val="0"/>
        <w:adjustRightInd/>
        <w:snapToGrid/>
        <w:spacing w:line="360" w:lineRule="auto"/>
        <w:ind w:firstLine="480" w:firstLineChars="200"/>
        <w:rPr>
          <w:rFonts w:hint="default"/>
          <w:sz w:val="24"/>
          <w:szCs w:val="24"/>
          <w:lang w:val="en-US" w:eastAsia="zh-CN"/>
        </w:rPr>
      </w:pPr>
      <w:r>
        <w:rPr>
          <w:rFonts w:hint="default"/>
          <w:sz w:val="24"/>
          <w:szCs w:val="24"/>
          <w:lang w:val="en-US" w:eastAsia="zh-CN"/>
        </w:rPr>
        <w:t>宏观层面来讲, 就业情况与住房贷款违约正相关 (Burrows, 1998) , 利率与住房贷款违约负相关 (何晓晴等, 2005) , 宏观经济越好, 就业机会越多, 收入增长带动住户还款能力增强, 利率越低, 住户还款负担越小, 违约风险越低。</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default"/>
          <w:sz w:val="24"/>
          <w:szCs w:val="24"/>
          <w:lang w:val="en-US" w:eastAsia="zh-CN"/>
        </w:rPr>
        <w:t>宏观因素只能解释群体性违约风险, 但无法解释不同个体间的违约风险差异。因此需要从借款人特征、贷款特征等微观因素层面研究住房抵押贷款违约。Davidoff和Welke (2017) 发现离婚、怀孕等情形导致的个人破产、家庭关系不和等因素增加了借贷违约风险。高广春 (2017) 认为个人贷款金额增加、贷款期限延长增加了违约风险, 进而限制了个人住房抵押贷款的增长空间。</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1.2.3 个人短期贷款</w:t>
      </w:r>
    </w:p>
    <w:p>
      <w:pPr>
        <w:pageBreakBefore w:val="0"/>
        <w:kinsoku/>
        <w:wordWrap/>
        <w:overflowPunct/>
        <w:topLinePunct w:val="0"/>
        <w:autoSpaceDE/>
        <w:autoSpaceDN/>
        <w:bidi w:val="0"/>
        <w:adjustRightInd/>
        <w:snapToGrid/>
        <w:spacing w:line="360" w:lineRule="auto"/>
        <w:ind w:firstLine="480" w:firstLineChars="200"/>
        <w:rPr>
          <w:rFonts w:hint="default"/>
          <w:sz w:val="24"/>
          <w:szCs w:val="24"/>
          <w:lang w:val="en-US" w:eastAsia="zh-CN"/>
        </w:rPr>
      </w:pPr>
      <w:r>
        <w:rPr>
          <w:rFonts w:hint="default"/>
          <w:sz w:val="24"/>
          <w:szCs w:val="24"/>
          <w:lang w:val="en-US" w:eastAsia="zh-CN"/>
        </w:rPr>
        <w:t>目前学者对个人贷款逾期违约研究, 却主要集中于个人住房按揭抵押贷款 (Mortgage) 方面, 针对个人短期贷款违约风险的研究鲜有涉及。</w:t>
      </w:r>
    </w:p>
    <w:p>
      <w:pPr>
        <w:pageBreakBefore w:val="0"/>
        <w:kinsoku/>
        <w:wordWrap/>
        <w:overflowPunct/>
        <w:topLinePunct w:val="0"/>
        <w:autoSpaceDE/>
        <w:autoSpaceDN/>
        <w:bidi w:val="0"/>
        <w:adjustRightInd/>
        <w:snapToGrid/>
        <w:spacing w:line="360" w:lineRule="auto"/>
        <w:ind w:firstLine="480" w:firstLineChars="200"/>
        <w:rPr>
          <w:rFonts w:hint="default"/>
          <w:sz w:val="24"/>
          <w:szCs w:val="24"/>
          <w:lang w:val="en-US" w:eastAsia="zh-CN"/>
        </w:rPr>
      </w:pPr>
      <w:r>
        <w:rPr>
          <w:rFonts w:hint="eastAsia"/>
          <w:sz w:val="24"/>
          <w:szCs w:val="24"/>
          <w:lang w:val="en-US" w:eastAsia="zh-CN"/>
        </w:rPr>
        <w:t>而且，</w:t>
      </w:r>
      <w:r>
        <w:rPr>
          <w:rFonts w:hint="default"/>
          <w:sz w:val="24"/>
          <w:szCs w:val="24"/>
          <w:lang w:val="en-US" w:eastAsia="zh-CN"/>
        </w:rPr>
        <w:t>上述研究均基于按揭贷款经验数据进行分析, 个人按揭贷款期限长, 且有住房作为担保物, 容易构建违约风险模型, 并对其进行预测。</w:t>
      </w:r>
    </w:p>
    <w:p>
      <w:pPr>
        <w:pageBreakBefore w:val="0"/>
        <w:kinsoku/>
        <w:wordWrap/>
        <w:overflowPunct/>
        <w:topLinePunct w:val="0"/>
        <w:autoSpaceDE/>
        <w:autoSpaceDN/>
        <w:bidi w:val="0"/>
        <w:adjustRightInd/>
        <w:snapToGrid/>
        <w:spacing w:line="360" w:lineRule="auto"/>
        <w:ind w:firstLine="480" w:firstLineChars="200"/>
        <w:rPr>
          <w:rFonts w:hint="default"/>
          <w:sz w:val="24"/>
          <w:szCs w:val="24"/>
          <w:lang w:val="en-US" w:eastAsia="zh-CN"/>
        </w:rPr>
      </w:pPr>
      <w:r>
        <w:rPr>
          <w:rFonts w:hint="eastAsia"/>
          <w:sz w:val="24"/>
          <w:szCs w:val="24"/>
          <w:lang w:val="en-US" w:eastAsia="zh-CN"/>
        </w:rPr>
        <w:t>此外，</w:t>
      </w:r>
      <w:r>
        <w:rPr>
          <w:rFonts w:hint="default"/>
          <w:sz w:val="24"/>
          <w:szCs w:val="24"/>
          <w:lang w:val="en-US" w:eastAsia="zh-CN"/>
        </w:rPr>
        <w:t>个人短期贷款期限短, 具有以下三点差异化特征:第一、期限在一年以内, 与商业按揭贷款存在明显的区别, 商业按揭贷款期限一般在五年以上。第二、贷款目的性的不同。个人短期贷款主要用于个体经营或消费需求, 经营投入对象与消费内容具有较大的分散性。而个人住房按揭贷款则主要为满足住房需求而申请的房产贷款, 投资标的较为统一。第三、贷款申请主体特征差异明显。个人短期贷款的主体以经商企业主、个体工商户、具有较高消费性需求的人群为主, 而个人按揭贷款的主体以具有购房意向的住户群体为主。</w:t>
      </w:r>
    </w:p>
    <w:p>
      <w:pPr>
        <w:pageBreakBefore w:val="0"/>
        <w:kinsoku/>
        <w:wordWrap/>
        <w:overflowPunct/>
        <w:topLinePunct w:val="0"/>
        <w:autoSpaceDE/>
        <w:autoSpaceDN/>
        <w:bidi w:val="0"/>
        <w:adjustRightInd/>
        <w:snapToGrid/>
        <w:spacing w:line="360" w:lineRule="auto"/>
        <w:ind w:firstLine="480" w:firstLineChars="200"/>
        <w:rPr>
          <w:rFonts w:hint="default"/>
          <w:sz w:val="24"/>
          <w:szCs w:val="24"/>
          <w:lang w:val="en-US" w:eastAsia="zh-CN"/>
        </w:rPr>
      </w:pPr>
      <w:r>
        <w:rPr>
          <w:rFonts w:hint="default"/>
          <w:sz w:val="24"/>
          <w:szCs w:val="24"/>
          <w:lang w:val="en-US" w:eastAsia="zh-CN"/>
        </w:rPr>
        <w:t>个人短期贷款具有的期限短、资金流向复杂等特征, 加大了违约风险研究和预测难度。再加上, 个人短期借款数据属于银行商业秘密, 一般不对外披露, 造成关于个人短期贷款违约风险的研究著述较少。</w:t>
      </w:r>
    </w:p>
    <w:p>
      <w:pPr>
        <w:pageBreakBefore w:val="0"/>
        <w:kinsoku/>
        <w:wordWrap/>
        <w:overflowPunct/>
        <w:topLinePunct w:val="0"/>
        <w:autoSpaceDE/>
        <w:autoSpaceDN/>
        <w:bidi w:val="0"/>
        <w:adjustRightInd/>
        <w:snapToGrid/>
        <w:spacing w:line="360" w:lineRule="auto"/>
        <w:ind w:firstLine="480" w:firstLineChars="200"/>
        <w:rPr>
          <w:rFonts w:hint="default"/>
          <w:sz w:val="24"/>
          <w:szCs w:val="24"/>
          <w:lang w:val="en-US" w:eastAsia="zh-CN"/>
        </w:rPr>
      </w:pPr>
      <w:r>
        <w:rPr>
          <w:rFonts w:hint="eastAsia"/>
          <w:sz w:val="24"/>
          <w:szCs w:val="24"/>
          <w:lang w:val="en-US" w:eastAsia="zh-CN"/>
        </w:rPr>
        <w:t>本文创新点主要有三个方面：第一，填补个人短期贷款违约风险研究的空缺。</w:t>
      </w:r>
      <w:r>
        <w:rPr>
          <w:rFonts w:hint="default"/>
          <w:sz w:val="24"/>
          <w:szCs w:val="24"/>
          <w:lang w:val="en-US" w:eastAsia="zh-CN"/>
        </w:rPr>
        <w:t>个人短期借款数据属于</w:t>
      </w:r>
      <w:r>
        <w:rPr>
          <w:rFonts w:hint="eastAsia"/>
          <w:sz w:val="24"/>
          <w:szCs w:val="24"/>
          <w:lang w:val="en-US" w:eastAsia="zh-CN"/>
        </w:rPr>
        <w:t>传统</w:t>
      </w:r>
      <w:r>
        <w:rPr>
          <w:rFonts w:hint="default"/>
          <w:sz w:val="24"/>
          <w:szCs w:val="24"/>
          <w:lang w:val="en-US" w:eastAsia="zh-CN"/>
        </w:rPr>
        <w:t>银行</w:t>
      </w:r>
      <w:r>
        <w:rPr>
          <w:rFonts w:hint="eastAsia"/>
          <w:sz w:val="24"/>
          <w:szCs w:val="24"/>
          <w:lang w:val="en-US" w:eastAsia="zh-CN"/>
        </w:rPr>
        <w:t>的</w:t>
      </w:r>
      <w:r>
        <w:rPr>
          <w:rFonts w:hint="default"/>
          <w:sz w:val="24"/>
          <w:szCs w:val="24"/>
          <w:lang w:val="en-US" w:eastAsia="zh-CN"/>
        </w:rPr>
        <w:t>商业秘密, 一般不对外披露, 造成关于个人短期贷款违约风险的研究著述较少。</w:t>
      </w:r>
      <w:r>
        <w:rPr>
          <w:rFonts w:hint="eastAsia"/>
          <w:sz w:val="24"/>
          <w:szCs w:val="24"/>
          <w:lang w:val="en-US" w:eastAsia="zh-CN"/>
        </w:rPr>
        <w:t>本文则乘互联网金融发展的东风，利用某信贷平台的公开数据集，抛砖引玉，试水</w:t>
      </w:r>
      <w:r>
        <w:rPr>
          <w:rFonts w:hint="default"/>
          <w:sz w:val="24"/>
          <w:szCs w:val="24"/>
          <w:lang w:val="en-US" w:eastAsia="zh-CN"/>
        </w:rPr>
        <w:t>个人短期贷款违约风险的研究</w:t>
      </w:r>
      <w:r>
        <w:rPr>
          <w:rFonts w:hint="eastAsia"/>
          <w:sz w:val="24"/>
          <w:szCs w:val="24"/>
          <w:lang w:val="en-US" w:eastAsia="zh-CN"/>
        </w:rPr>
        <w:t>；第二，数据集的样本质量更优。已有的研究样本大多是来自传统的商业银行，受限于业务模式和处理能力，已有的研究获取的样本量一般都不超过几万，样本特征一般不超过三十个。得益于大数据技术，本文的数据集则源自某信贷平台的贷款记录，总样本量为一百万条，变量达47个，不仅丰富了了传统的人口社会学因素和贷款因素下的变量范畴，还创新增加了15个贷款人行为计数特征；第三，尝试为个人贷款违约引入新研究模型。</w:t>
      </w:r>
      <w:r>
        <w:rPr>
          <w:rFonts w:hint="default"/>
          <w:sz w:val="24"/>
          <w:szCs w:val="24"/>
          <w:lang w:val="en-US" w:eastAsia="zh-CN"/>
        </w:rPr>
        <w:t>随着个人短期贷款规模迅速扩大, 其违约风险的研究价值愈发重要。因此本文在借鉴前人研究人口特征对住房按揭抵押贷款违约影响的经验基础上,</w:t>
      </w:r>
      <w:r>
        <w:rPr>
          <w:rFonts w:hint="eastAsia"/>
          <w:sz w:val="24"/>
          <w:szCs w:val="24"/>
          <w:lang w:val="en-US" w:eastAsia="zh-CN"/>
        </w:rPr>
        <w:t>利用</w:t>
      </w:r>
      <w:r>
        <w:rPr>
          <w:rFonts w:hint="default"/>
          <w:sz w:val="24"/>
          <w:szCs w:val="24"/>
          <w:lang w:val="en-US" w:eastAsia="zh-CN"/>
        </w:rPr>
        <w:t xml:space="preserve"> </w:t>
      </w:r>
      <w:r>
        <w:rPr>
          <w:rFonts w:hint="eastAsia"/>
          <w:sz w:val="24"/>
          <w:szCs w:val="24"/>
          <w:lang w:val="en-US" w:eastAsia="zh-CN"/>
        </w:rPr>
        <w:t>逻辑回归和</w:t>
      </w:r>
      <w:r>
        <w:rPr>
          <w:rFonts w:hint="default"/>
          <w:sz w:val="24"/>
          <w:szCs w:val="24"/>
          <w:lang w:val="en-US" w:eastAsia="zh-CN"/>
        </w:rPr>
        <w:t>XGBoost模</w:t>
      </w:r>
      <w:r>
        <w:rPr>
          <w:rFonts w:hint="default"/>
          <w:lang w:val="en-US" w:eastAsia="zh-CN"/>
        </w:rPr>
        <w:t>型</w:t>
      </w:r>
      <w:r>
        <w:rPr>
          <w:rFonts w:hint="eastAsia"/>
          <w:sz w:val="24"/>
          <w:szCs w:val="24"/>
          <w:lang w:val="en-US" w:eastAsia="zh-CN"/>
        </w:rPr>
        <w:t>进行数据挖掘分析。</w:t>
      </w:r>
    </w:p>
    <w:p>
      <w:pPr>
        <w:pStyle w:val="2"/>
        <w:pageBreakBefore w:val="0"/>
        <w:kinsoku/>
        <w:wordWrap/>
        <w:overflowPunct/>
        <w:topLinePunct w:val="0"/>
        <w:autoSpaceDE/>
        <w:autoSpaceDN/>
        <w:bidi w:val="0"/>
        <w:adjustRightInd/>
        <w:snapToGrid/>
        <w:spacing w:beforeLines="-2147483648" w:beforeAutospacing="0" w:afterLines="-2147483648" w:afterAutospacing="0" w:line="360" w:lineRule="auto"/>
        <w:ind w:firstLine="482" w:firstLineChars="200"/>
        <w:rPr>
          <w:rFonts w:hint="eastAsia"/>
          <w:b/>
          <w:sz w:val="24"/>
          <w:szCs w:val="24"/>
          <w:lang w:val="en-US" w:eastAsia="zh-CN"/>
        </w:rPr>
      </w:pPr>
      <w:bookmarkStart w:id="6" w:name="_Toc26038"/>
      <w:bookmarkStart w:id="7" w:name="_Toc2510"/>
      <w:r>
        <w:rPr>
          <w:rFonts w:hint="eastAsia"/>
          <w:b/>
          <w:sz w:val="24"/>
          <w:szCs w:val="24"/>
          <w:lang w:val="en-US" w:eastAsia="zh-CN"/>
        </w:rPr>
        <w:t>2. 数据介绍</w:t>
      </w:r>
      <w:bookmarkEnd w:id="6"/>
      <w:bookmarkEnd w:id="7"/>
    </w:p>
    <w:p>
      <w:pPr>
        <w:pStyle w:val="3"/>
        <w:pageBreakBefore w:val="0"/>
        <w:kinsoku/>
        <w:wordWrap/>
        <w:overflowPunct/>
        <w:topLinePunct w:val="0"/>
        <w:autoSpaceDE/>
        <w:autoSpaceDN/>
        <w:bidi w:val="0"/>
        <w:adjustRightInd/>
        <w:snapToGrid/>
        <w:spacing w:beforeLines="-2147483648" w:beforeAutospacing="0" w:afterLines="-2147483648" w:afterAutospacing="0" w:line="360" w:lineRule="auto"/>
        <w:ind w:firstLine="482" w:firstLineChars="200"/>
        <w:rPr>
          <w:rFonts w:hint="eastAsia"/>
          <w:sz w:val="24"/>
          <w:szCs w:val="24"/>
          <w:lang w:val="en-US" w:eastAsia="zh-CN"/>
        </w:rPr>
      </w:pPr>
      <w:bookmarkStart w:id="8" w:name="_Toc13908"/>
      <w:bookmarkStart w:id="9" w:name="_Toc30298"/>
      <w:r>
        <w:rPr>
          <w:rFonts w:hint="eastAsia"/>
          <w:sz w:val="24"/>
          <w:szCs w:val="24"/>
          <w:lang w:val="en-US" w:eastAsia="zh-CN"/>
        </w:rPr>
        <w:t>2</w:t>
      </w:r>
      <w:r>
        <w:rPr>
          <w:rFonts w:hint="eastAsia"/>
          <w:b/>
          <w:sz w:val="24"/>
          <w:szCs w:val="24"/>
          <w:lang w:val="en-US" w:eastAsia="zh-CN"/>
        </w:rPr>
        <w:t>.1 数据来源</w:t>
      </w:r>
      <w:bookmarkEnd w:id="8"/>
      <w:bookmarkEnd w:id="9"/>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本文的数据来自数据科学网站和鲸社区https://www.heywhale.com/home/dataset。</w:t>
      </w:r>
    </w:p>
    <w:p>
      <w:pPr>
        <w:pageBreakBefore w:val="0"/>
        <w:kinsoku/>
        <w:wordWrap/>
        <w:overflowPunct/>
        <w:topLinePunct w:val="0"/>
        <w:autoSpaceDE/>
        <w:autoSpaceDN/>
        <w:bidi w:val="0"/>
        <w:adjustRightInd/>
        <w:snapToGrid/>
        <w:spacing w:line="360" w:lineRule="auto"/>
        <w:ind w:firstLine="480" w:firstLineChars="200"/>
        <w:rPr>
          <w:sz w:val="24"/>
          <w:szCs w:val="24"/>
        </w:rPr>
      </w:pPr>
      <w:r>
        <w:rPr>
          <w:sz w:val="24"/>
          <w:szCs w:val="24"/>
        </w:rPr>
        <w:t>该数据来自某信贷平台的贷款记录，</w:t>
      </w:r>
      <w:r>
        <w:rPr>
          <w:rFonts w:hint="eastAsia"/>
          <w:sz w:val="24"/>
          <w:szCs w:val="24"/>
          <w:lang w:val="en-US" w:eastAsia="zh-CN"/>
        </w:rPr>
        <w:t>为两个csv文件，总数据量为100万条，</w:t>
      </w:r>
      <w:r>
        <w:rPr>
          <w:sz w:val="24"/>
          <w:szCs w:val="24"/>
        </w:rPr>
        <w:t>80万条为训练集，20万条为测试集A，包含47列变量信息，其中15列为匿名变量。employmentTitle、purpose、postCode和title等信息进行</w:t>
      </w:r>
      <w:r>
        <w:rPr>
          <w:rFonts w:hint="eastAsia"/>
          <w:sz w:val="24"/>
          <w:szCs w:val="24"/>
          <w:lang w:val="en-US" w:eastAsia="zh-CN"/>
        </w:rPr>
        <w:t>过</w:t>
      </w:r>
      <w:r>
        <w:rPr>
          <w:sz w:val="24"/>
          <w:szCs w:val="24"/>
        </w:rPr>
        <w:t>脱敏</w:t>
      </w:r>
      <w:r>
        <w:rPr>
          <w:rFonts w:hint="eastAsia"/>
          <w:sz w:val="24"/>
          <w:szCs w:val="24"/>
          <w:lang w:val="en-US" w:eastAsia="zh-CN"/>
        </w:rPr>
        <w:t>处理</w:t>
      </w:r>
      <w:r>
        <w:rPr>
          <w:sz w:val="24"/>
          <w:szCs w:val="24"/>
        </w:rPr>
        <w:t>。</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特征分为三大类，分别为社会人口学特征、贷款信息特征以及用户行为特征。此外，对于数值型变量中连续性和离散型的划分，本文是按数值不重复个数是否大于15的标准划分地。变量详细信息见表1：</w:t>
      </w:r>
    </w:p>
    <w:p>
      <w:pPr>
        <w:pageBreakBefore w:val="0"/>
        <w:kinsoku/>
        <w:wordWrap/>
        <w:overflowPunct/>
        <w:topLinePunct w:val="0"/>
        <w:autoSpaceDE/>
        <w:autoSpaceDN/>
        <w:bidi w:val="0"/>
        <w:adjustRightInd/>
        <w:snapToGrid/>
        <w:spacing w:line="360" w:lineRule="auto"/>
        <w:ind w:firstLine="480" w:firstLineChars="200"/>
        <w:jc w:val="center"/>
        <w:rPr>
          <w:rFonts w:hint="default"/>
          <w:sz w:val="24"/>
          <w:szCs w:val="24"/>
          <w:lang w:val="en-US" w:eastAsia="zh-CN"/>
        </w:rPr>
      </w:pPr>
      <w:r>
        <w:rPr>
          <w:rFonts w:hint="eastAsia"/>
          <w:sz w:val="24"/>
          <w:szCs w:val="24"/>
          <w:lang w:val="en-US" w:eastAsia="zh-CN"/>
        </w:rPr>
        <w:t>表1 变量名称、含义及类型</w:t>
      </w:r>
    </w:p>
    <w:tbl>
      <w:tblPr>
        <w:tblStyle w:val="7"/>
        <w:tblW w:w="9424" w:type="dxa"/>
        <w:jc w:val="center"/>
        <w:shd w:val="clear" w:color="auto" w:fill="auto"/>
        <w:tblLayout w:type="fixed"/>
        <w:tblCellMar>
          <w:top w:w="0" w:type="dxa"/>
          <w:left w:w="108" w:type="dxa"/>
          <w:bottom w:w="0" w:type="dxa"/>
          <w:right w:w="108" w:type="dxa"/>
        </w:tblCellMar>
      </w:tblPr>
      <w:tblGrid>
        <w:gridCol w:w="2779"/>
        <w:gridCol w:w="4283"/>
        <w:gridCol w:w="2362"/>
      </w:tblGrid>
      <w:tr>
        <w:tblPrEx>
          <w:shd w:val="clear" w:color="auto" w:fill="auto"/>
          <w:tblCellMar>
            <w:top w:w="0" w:type="dxa"/>
            <w:left w:w="108" w:type="dxa"/>
            <w:bottom w:w="0" w:type="dxa"/>
            <w:right w:w="108" w:type="dxa"/>
          </w:tblCellMar>
        </w:tblPrEx>
        <w:trPr>
          <w:trHeight w:val="295" w:hRule="atLeast"/>
          <w:jc w:val="center"/>
        </w:trPr>
        <w:tc>
          <w:tcPr>
            <w:tcW w:w="2779" w:type="dxa"/>
            <w:tcBorders>
              <w:top w:val="single" w:color="000000" w:sz="8" w:space="0"/>
              <w:left w:val="nil"/>
              <w:bottom w:val="single" w:color="000000" w:sz="8" w:space="0"/>
              <w:right w:val="nil"/>
            </w:tcBorders>
            <w:shd w:val="clear" w:color="auto" w:fill="auto"/>
            <w:noWrap/>
            <w:vAlign w:val="top"/>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2" w:firstLineChars="200"/>
              <w:jc w:val="center"/>
              <w:textAlignment w:val="top"/>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变量名称</w:t>
            </w:r>
          </w:p>
        </w:tc>
        <w:tc>
          <w:tcPr>
            <w:tcW w:w="4283" w:type="dxa"/>
            <w:tcBorders>
              <w:top w:val="single" w:color="000000" w:sz="8" w:space="0"/>
              <w:left w:val="nil"/>
              <w:bottom w:val="single" w:color="000000" w:sz="8" w:space="0"/>
              <w:right w:val="nil"/>
            </w:tcBorders>
            <w:shd w:val="clear" w:color="auto" w:fill="auto"/>
            <w:noWrap/>
            <w:vAlign w:val="top"/>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2" w:firstLineChars="200"/>
              <w:jc w:val="center"/>
              <w:textAlignment w:val="top"/>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变量含义</w:t>
            </w:r>
          </w:p>
        </w:tc>
        <w:tc>
          <w:tcPr>
            <w:tcW w:w="2362" w:type="dxa"/>
            <w:tcBorders>
              <w:top w:val="single" w:color="000000" w:sz="8" w:space="0"/>
              <w:left w:val="nil"/>
              <w:bottom w:val="single" w:color="000000" w:sz="8" w:space="0"/>
              <w:right w:val="nil"/>
            </w:tcBorders>
            <w:shd w:val="clear" w:color="auto" w:fill="auto"/>
            <w:noWrap/>
            <w:vAlign w:val="top"/>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2" w:firstLineChars="200"/>
              <w:jc w:val="center"/>
              <w:textAlignment w:val="top"/>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变量类型</w:t>
            </w:r>
          </w:p>
        </w:tc>
      </w:tr>
      <w:tr>
        <w:tblPrEx>
          <w:shd w:val="clear" w:color="auto" w:fill="auto"/>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id</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为贷款清单分配的唯一信用证标识</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连续型变量</w:t>
            </w:r>
          </w:p>
        </w:tc>
      </w:tr>
      <w:tr>
        <w:tblPrEx>
          <w:shd w:val="clear" w:color="auto" w:fill="auto"/>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loanAmnt</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贷款金额</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连续型变量</w:t>
            </w:r>
          </w:p>
        </w:tc>
      </w:tr>
      <w:tr>
        <w:tblPrEx>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term</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贷款期限（</w:t>
            </w:r>
            <w:r>
              <w:rPr>
                <w:rStyle w:val="10"/>
                <w:rFonts w:eastAsia="宋体"/>
                <w:sz w:val="21"/>
                <w:szCs w:val="21"/>
                <w:lang w:val="en-US" w:eastAsia="zh-CN" w:bidi="ar"/>
              </w:rPr>
              <w:t>year</w:t>
            </w:r>
            <w:r>
              <w:rPr>
                <w:rStyle w:val="9"/>
                <w:sz w:val="21"/>
                <w:szCs w:val="21"/>
                <w:lang w:val="en-US" w:eastAsia="zh-CN" w:bidi="ar"/>
              </w:rPr>
              <w:t>）</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离散型变量</w:t>
            </w:r>
          </w:p>
        </w:tc>
      </w:tr>
      <w:tr>
        <w:tblPrEx>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interestRate</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贷款利率</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连续型变量</w:t>
            </w:r>
          </w:p>
        </w:tc>
      </w:tr>
      <w:tr>
        <w:tblPrEx>
          <w:shd w:val="clear" w:color="auto" w:fill="auto"/>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installment</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分期付款金额</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连续型变量</w:t>
            </w:r>
          </w:p>
        </w:tc>
      </w:tr>
      <w:tr>
        <w:tblPrEx>
          <w:shd w:val="clear" w:color="auto" w:fill="auto"/>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grade</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贷款等级</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eastAsia" w:ascii="Times New Roman" w:hAnsi="Times New Roman" w:eastAsia="宋体" w:cs="Times New Roman"/>
                <w:i w:val="0"/>
                <w:iCs w:val="0"/>
                <w:color w:val="000000"/>
                <w:kern w:val="0"/>
                <w:sz w:val="21"/>
                <w:szCs w:val="21"/>
                <w:u w:val="none"/>
                <w:lang w:val="en-US" w:eastAsia="zh-CN" w:bidi="ar"/>
              </w:rPr>
              <w:t>字符串型变量</w:t>
            </w:r>
          </w:p>
        </w:tc>
      </w:tr>
      <w:tr>
        <w:tblPrEx>
          <w:shd w:val="clear" w:color="auto" w:fill="auto"/>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subGrade</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贷款等级之子级</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eastAsia" w:ascii="Times New Roman" w:hAnsi="Times New Roman" w:eastAsia="宋体" w:cs="Times New Roman"/>
                <w:i w:val="0"/>
                <w:iCs w:val="0"/>
                <w:color w:val="000000"/>
                <w:kern w:val="0"/>
                <w:sz w:val="21"/>
                <w:szCs w:val="21"/>
                <w:u w:val="none"/>
                <w:lang w:val="en-US" w:eastAsia="zh-CN" w:bidi="ar"/>
              </w:rPr>
              <w:t>字符串型变量</w:t>
            </w:r>
          </w:p>
        </w:tc>
      </w:tr>
      <w:tr>
        <w:tblPrEx>
          <w:shd w:val="clear" w:color="auto" w:fill="auto"/>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employmentTitle</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就业职称</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连续型变量</w:t>
            </w:r>
          </w:p>
        </w:tc>
      </w:tr>
      <w:tr>
        <w:tblPrEx>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employmentLength</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就业年限（年）</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eastAsia" w:ascii="Times New Roman" w:hAnsi="Times New Roman" w:eastAsia="宋体" w:cs="Times New Roman"/>
                <w:i w:val="0"/>
                <w:iCs w:val="0"/>
                <w:color w:val="000000"/>
                <w:kern w:val="0"/>
                <w:sz w:val="21"/>
                <w:szCs w:val="21"/>
                <w:u w:val="none"/>
                <w:lang w:val="en-US" w:eastAsia="zh-CN" w:bidi="ar"/>
              </w:rPr>
              <w:t>字符串型变量</w:t>
            </w:r>
          </w:p>
        </w:tc>
      </w:tr>
      <w:tr>
        <w:tblPrEx>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homeOwnership</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借款人在登记时提供的房屋所有权状况</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离散型变量</w:t>
            </w:r>
          </w:p>
        </w:tc>
      </w:tr>
      <w:tr>
        <w:tblPrEx>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annualIncome</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年收入</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连续型变量</w:t>
            </w:r>
          </w:p>
        </w:tc>
      </w:tr>
      <w:tr>
        <w:tblPrEx>
          <w:shd w:val="clear" w:color="auto" w:fill="auto"/>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verificationStatus</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验证状态</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离散型变量</w:t>
            </w:r>
          </w:p>
        </w:tc>
      </w:tr>
      <w:tr>
        <w:tblPrEx>
          <w:shd w:val="clear" w:color="auto" w:fill="auto"/>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issueDate</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highlight w:val="none"/>
                <w:lang w:val="en-US" w:eastAsia="zh-CN" w:bidi="ar"/>
              </w:rPr>
              <w:t>贷款发放的月份</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eastAsia" w:ascii="Times New Roman" w:hAnsi="Times New Roman" w:eastAsia="宋体" w:cs="Times New Roman"/>
                <w:i w:val="0"/>
                <w:iCs w:val="0"/>
                <w:color w:val="000000"/>
                <w:kern w:val="0"/>
                <w:sz w:val="21"/>
                <w:szCs w:val="21"/>
                <w:u w:val="none"/>
                <w:lang w:val="en-US" w:eastAsia="zh-CN" w:bidi="ar"/>
              </w:rPr>
              <w:t>字符串型变量</w:t>
            </w:r>
          </w:p>
        </w:tc>
      </w:tr>
      <w:tr>
        <w:tblPrEx>
          <w:shd w:val="clear" w:color="auto" w:fill="auto"/>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purpose</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借款人在贷款申请时的贷款用途类别</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离散型变量</w:t>
            </w:r>
          </w:p>
        </w:tc>
      </w:tr>
      <w:tr>
        <w:tblPrEx>
          <w:shd w:val="clear" w:color="auto" w:fill="auto"/>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postCode</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借款人在贷款申请中提供的邮政编码的前</w:t>
            </w:r>
            <w:r>
              <w:rPr>
                <w:rStyle w:val="10"/>
                <w:rFonts w:eastAsia="宋体"/>
                <w:sz w:val="21"/>
                <w:szCs w:val="21"/>
                <w:lang w:val="en-US" w:eastAsia="zh-CN" w:bidi="ar"/>
              </w:rPr>
              <w:t>3</w:t>
            </w:r>
            <w:r>
              <w:rPr>
                <w:rStyle w:val="9"/>
                <w:sz w:val="21"/>
                <w:szCs w:val="21"/>
                <w:lang w:val="en-US" w:eastAsia="zh-CN" w:bidi="ar"/>
              </w:rPr>
              <w:t>位数字</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连续型变量</w:t>
            </w:r>
          </w:p>
        </w:tc>
      </w:tr>
      <w:tr>
        <w:tblPrEx>
          <w:shd w:val="clear" w:color="auto" w:fill="auto"/>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regionCode</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地区编码</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连续型变量</w:t>
            </w:r>
          </w:p>
        </w:tc>
      </w:tr>
      <w:tr>
        <w:tblPrEx>
          <w:shd w:val="clear" w:color="auto" w:fill="auto"/>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dti</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债务收入比</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连续型变量</w:t>
            </w:r>
          </w:p>
        </w:tc>
      </w:tr>
      <w:tr>
        <w:tblPrEx>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delinquency_2years</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借款人过去</w:t>
            </w:r>
            <w:r>
              <w:rPr>
                <w:rStyle w:val="10"/>
                <w:rFonts w:eastAsia="宋体"/>
                <w:sz w:val="21"/>
                <w:szCs w:val="21"/>
                <w:lang w:val="en-US" w:eastAsia="zh-CN" w:bidi="ar"/>
              </w:rPr>
              <w:t>2</w:t>
            </w:r>
            <w:r>
              <w:rPr>
                <w:rStyle w:val="9"/>
                <w:sz w:val="21"/>
                <w:szCs w:val="21"/>
                <w:lang w:val="en-US" w:eastAsia="zh-CN" w:bidi="ar"/>
              </w:rPr>
              <w:t>年信用档案中逾期</w:t>
            </w:r>
            <w:r>
              <w:rPr>
                <w:rStyle w:val="10"/>
                <w:rFonts w:eastAsia="宋体"/>
                <w:sz w:val="21"/>
                <w:szCs w:val="21"/>
                <w:lang w:val="en-US" w:eastAsia="zh-CN" w:bidi="ar"/>
              </w:rPr>
              <w:t>30</w:t>
            </w:r>
            <w:r>
              <w:rPr>
                <w:rStyle w:val="9"/>
                <w:sz w:val="21"/>
                <w:szCs w:val="21"/>
                <w:lang w:val="en-US" w:eastAsia="zh-CN" w:bidi="ar"/>
              </w:rPr>
              <w:t>天以上的违约事件数</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连续型变量</w:t>
            </w:r>
          </w:p>
        </w:tc>
      </w:tr>
      <w:tr>
        <w:tblPrEx>
          <w:shd w:val="clear" w:color="auto" w:fill="auto"/>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ficoRangeLow</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借款人在贷款发放时的</w:t>
            </w:r>
            <w:r>
              <w:rPr>
                <w:rStyle w:val="10"/>
                <w:rFonts w:eastAsia="宋体"/>
                <w:sz w:val="21"/>
                <w:szCs w:val="21"/>
                <w:lang w:val="en-US" w:eastAsia="zh-CN" w:bidi="ar"/>
              </w:rPr>
              <w:t>fico</w:t>
            </w:r>
            <w:r>
              <w:rPr>
                <w:rStyle w:val="9"/>
                <w:sz w:val="21"/>
                <w:szCs w:val="21"/>
                <w:lang w:val="en-US" w:eastAsia="zh-CN" w:bidi="ar"/>
              </w:rPr>
              <w:t>所属的下限范围</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连续型变量</w:t>
            </w:r>
          </w:p>
        </w:tc>
      </w:tr>
      <w:tr>
        <w:tblPrEx>
          <w:shd w:val="clear" w:color="auto" w:fill="auto"/>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ficoRangeHigh</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借款人在贷款发放时的</w:t>
            </w:r>
            <w:r>
              <w:rPr>
                <w:rStyle w:val="10"/>
                <w:rFonts w:eastAsia="宋体"/>
                <w:sz w:val="21"/>
                <w:szCs w:val="21"/>
                <w:lang w:val="en-US" w:eastAsia="zh-CN" w:bidi="ar"/>
              </w:rPr>
              <w:t>fico</w:t>
            </w:r>
            <w:r>
              <w:rPr>
                <w:rStyle w:val="9"/>
                <w:sz w:val="21"/>
                <w:szCs w:val="21"/>
                <w:lang w:val="en-US" w:eastAsia="zh-CN" w:bidi="ar"/>
              </w:rPr>
              <w:t>所属的上限范围</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连续型变量</w:t>
            </w:r>
          </w:p>
        </w:tc>
      </w:tr>
      <w:tr>
        <w:tblPrEx>
          <w:shd w:val="clear" w:color="auto" w:fill="auto"/>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openAcc</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借款人信用档案中未结信用额度的数量</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连续型变量</w:t>
            </w:r>
          </w:p>
        </w:tc>
      </w:tr>
      <w:tr>
        <w:tblPrEx>
          <w:shd w:val="clear" w:color="auto" w:fill="auto"/>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pubRec</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贬损公共记录的数量</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连续型变量</w:t>
            </w:r>
          </w:p>
        </w:tc>
      </w:tr>
      <w:tr>
        <w:tblPrEx>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pubRecBankruptcies</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公开记录清除的数量</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离散型变量</w:t>
            </w:r>
          </w:p>
        </w:tc>
      </w:tr>
      <w:tr>
        <w:tblPrEx>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revolBal</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信贷周转余额合计</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连续型变量</w:t>
            </w:r>
          </w:p>
        </w:tc>
      </w:tr>
      <w:tr>
        <w:tblPrEx>
          <w:shd w:val="clear" w:color="auto" w:fill="auto"/>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revolUtil</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循环额度利用率，或借款人使用的相对于所有可用循环信贷的信贷金额</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连续型变量</w:t>
            </w:r>
          </w:p>
        </w:tc>
      </w:tr>
      <w:tr>
        <w:tblPrEx>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totalAcc</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借款人信用档案中当前的信用额度总数</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连续型变量</w:t>
            </w:r>
          </w:p>
        </w:tc>
      </w:tr>
      <w:tr>
        <w:tblPrEx>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initialListStatus</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贷款的初始列表状态</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离散型变量</w:t>
            </w:r>
          </w:p>
        </w:tc>
      </w:tr>
      <w:tr>
        <w:tblPrEx>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applicationType</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表明贷款是个人申请还是与两个共同借款人的联合申请</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离散型变量</w:t>
            </w:r>
          </w:p>
        </w:tc>
      </w:tr>
      <w:tr>
        <w:tblPrEx>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earliesCreditLine</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sz w:val="21"/>
                <w:szCs w:val="21"/>
                <w:lang w:val="en-US" w:eastAsia="zh-CN"/>
              </w:rPr>
              <w:t>借款人最早报告的信用额度开立的月份</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eastAsia" w:ascii="Times New Roman" w:hAnsi="Times New Roman" w:eastAsia="宋体" w:cs="Times New Roman"/>
                <w:i w:val="0"/>
                <w:iCs w:val="0"/>
                <w:color w:val="000000"/>
                <w:kern w:val="0"/>
                <w:sz w:val="21"/>
                <w:szCs w:val="21"/>
                <w:u w:val="none"/>
                <w:lang w:val="en-US" w:eastAsia="zh-CN" w:bidi="ar"/>
              </w:rPr>
              <w:t>字符串型变量</w:t>
            </w:r>
          </w:p>
        </w:tc>
      </w:tr>
      <w:tr>
        <w:tblPrEx>
          <w:shd w:val="clear" w:color="auto" w:fill="auto"/>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title</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借款人提供的贷款名称</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连续型变量</w:t>
            </w:r>
          </w:p>
        </w:tc>
      </w:tr>
      <w:tr>
        <w:tblPrEx>
          <w:tblCellMar>
            <w:top w:w="0" w:type="dxa"/>
            <w:left w:w="108" w:type="dxa"/>
            <w:bottom w:w="0" w:type="dxa"/>
            <w:right w:w="108" w:type="dxa"/>
          </w:tblCellMar>
        </w:tblPrEx>
        <w:trPr>
          <w:trHeight w:val="280" w:hRule="atLeast"/>
          <w:jc w:val="center"/>
        </w:trPr>
        <w:tc>
          <w:tcPr>
            <w:tcW w:w="2779"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policyCode</w:t>
            </w:r>
          </w:p>
        </w:tc>
        <w:tc>
          <w:tcPr>
            <w:tcW w:w="4283"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公开可用的策略</w:t>
            </w:r>
            <w:r>
              <w:rPr>
                <w:rStyle w:val="10"/>
                <w:rFonts w:eastAsia="宋体"/>
                <w:sz w:val="21"/>
                <w:szCs w:val="21"/>
                <w:lang w:val="en-US" w:eastAsia="zh-CN" w:bidi="ar"/>
              </w:rPr>
              <w:t>_</w:t>
            </w:r>
            <w:r>
              <w:rPr>
                <w:rStyle w:val="9"/>
                <w:sz w:val="21"/>
                <w:szCs w:val="21"/>
                <w:lang w:val="en-US" w:eastAsia="zh-CN" w:bidi="ar"/>
              </w:rPr>
              <w:t>代码</w:t>
            </w:r>
            <w:r>
              <w:rPr>
                <w:rStyle w:val="10"/>
                <w:rFonts w:eastAsia="宋体"/>
                <w:sz w:val="21"/>
                <w:szCs w:val="21"/>
                <w:lang w:val="en-US" w:eastAsia="zh-CN" w:bidi="ar"/>
              </w:rPr>
              <w:t>=1</w:t>
            </w:r>
            <w:r>
              <w:rPr>
                <w:rStyle w:val="9"/>
                <w:sz w:val="21"/>
                <w:szCs w:val="21"/>
                <w:lang w:val="en-US" w:eastAsia="zh-CN" w:bidi="ar"/>
              </w:rPr>
              <w:t>新产品不公开可用的策略</w:t>
            </w:r>
            <w:r>
              <w:rPr>
                <w:rStyle w:val="10"/>
                <w:rFonts w:eastAsia="宋体"/>
                <w:sz w:val="21"/>
                <w:szCs w:val="21"/>
                <w:lang w:val="en-US" w:eastAsia="zh-CN" w:bidi="ar"/>
              </w:rPr>
              <w:t>_</w:t>
            </w:r>
            <w:r>
              <w:rPr>
                <w:rStyle w:val="9"/>
                <w:sz w:val="21"/>
                <w:szCs w:val="21"/>
                <w:lang w:val="en-US" w:eastAsia="zh-CN" w:bidi="ar"/>
              </w:rPr>
              <w:t>代码</w:t>
            </w:r>
            <w:r>
              <w:rPr>
                <w:rStyle w:val="10"/>
                <w:rFonts w:eastAsia="宋体"/>
                <w:sz w:val="21"/>
                <w:szCs w:val="21"/>
                <w:lang w:val="en-US" w:eastAsia="zh-CN" w:bidi="ar"/>
              </w:rPr>
              <w:t>=2</w:t>
            </w:r>
          </w:p>
        </w:tc>
        <w:tc>
          <w:tcPr>
            <w:tcW w:w="2362" w:type="dxa"/>
            <w:tcBorders>
              <w:top w:val="nil"/>
              <w:left w:val="nil"/>
              <w:bottom w:val="nil"/>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单值变量</w:t>
            </w:r>
          </w:p>
        </w:tc>
      </w:tr>
      <w:tr>
        <w:tblPrEx>
          <w:shd w:val="clear" w:color="auto" w:fill="auto"/>
          <w:tblCellMar>
            <w:top w:w="0" w:type="dxa"/>
            <w:left w:w="108" w:type="dxa"/>
            <w:bottom w:w="0" w:type="dxa"/>
            <w:right w:w="108" w:type="dxa"/>
          </w:tblCellMar>
        </w:tblPrEx>
        <w:trPr>
          <w:trHeight w:val="295" w:hRule="atLeast"/>
          <w:jc w:val="center"/>
        </w:trPr>
        <w:tc>
          <w:tcPr>
            <w:tcW w:w="2779" w:type="dxa"/>
            <w:tcBorders>
              <w:top w:val="nil"/>
              <w:left w:val="nil"/>
              <w:bottom w:val="single" w:color="000000" w:sz="8" w:space="0"/>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w:t>
            </w:r>
            <w:r>
              <w:rPr>
                <w:rStyle w:val="9"/>
                <w:sz w:val="21"/>
                <w:szCs w:val="21"/>
                <w:lang w:val="en-US" w:eastAsia="zh-CN" w:bidi="ar"/>
              </w:rPr>
              <w:t>系列匿名特征</w:t>
            </w:r>
          </w:p>
        </w:tc>
        <w:tc>
          <w:tcPr>
            <w:tcW w:w="4283" w:type="dxa"/>
            <w:tcBorders>
              <w:top w:val="nil"/>
              <w:left w:val="nil"/>
              <w:bottom w:val="single" w:color="000000" w:sz="8" w:space="0"/>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匿名特征</w:t>
            </w:r>
            <w:r>
              <w:rPr>
                <w:rStyle w:val="10"/>
                <w:rFonts w:eastAsia="宋体"/>
                <w:sz w:val="21"/>
                <w:szCs w:val="21"/>
                <w:lang w:val="en-US" w:eastAsia="zh-CN" w:bidi="ar"/>
              </w:rPr>
              <w:t>n0-n14</w:t>
            </w:r>
            <w:r>
              <w:rPr>
                <w:rStyle w:val="9"/>
                <w:sz w:val="21"/>
                <w:szCs w:val="21"/>
                <w:lang w:val="en-US" w:eastAsia="zh-CN" w:bidi="ar"/>
              </w:rPr>
              <w:t>，为一些贷款人行为计数特征的处理</w:t>
            </w:r>
          </w:p>
        </w:tc>
        <w:tc>
          <w:tcPr>
            <w:tcW w:w="2362" w:type="dxa"/>
            <w:tcBorders>
              <w:top w:val="nil"/>
              <w:left w:val="nil"/>
              <w:bottom w:val="single" w:color="000000" w:sz="8" w:space="0"/>
              <w:right w:val="nil"/>
            </w:tcBorders>
            <w:shd w:val="clear" w:color="auto" w:fill="auto"/>
            <w:noWrap/>
            <w:vAlign w:val="bottom"/>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bottom"/>
              <w:rPr>
                <w:rFonts w:hint="default" w:ascii="Times New Roman" w:hAnsi="Times New Roman" w:eastAsia="宋体" w:cs="Times New Roman"/>
                <w:i w:val="0"/>
                <w:iCs w:val="0"/>
                <w:color w:val="000000"/>
                <w:sz w:val="21"/>
                <w:szCs w:val="21"/>
                <w:u w:val="none"/>
              </w:rPr>
            </w:pPr>
            <w:r>
              <w:rPr>
                <w:rStyle w:val="9"/>
                <w:sz w:val="21"/>
                <w:szCs w:val="21"/>
                <w:lang w:val="en-US" w:eastAsia="zh-CN" w:bidi="ar"/>
              </w:rPr>
              <w:t>连续型变量</w:t>
            </w:r>
          </w:p>
        </w:tc>
      </w:tr>
    </w:tbl>
    <w:p>
      <w:pPr>
        <w:pStyle w:val="3"/>
        <w:pageBreakBefore w:val="0"/>
        <w:kinsoku/>
        <w:wordWrap/>
        <w:overflowPunct/>
        <w:topLinePunct w:val="0"/>
        <w:autoSpaceDE/>
        <w:autoSpaceDN/>
        <w:bidi w:val="0"/>
        <w:adjustRightInd/>
        <w:snapToGrid/>
        <w:spacing w:beforeLines="-2147483648" w:beforeAutospacing="0" w:afterLines="-2147483648" w:afterAutospacing="0" w:line="360" w:lineRule="auto"/>
        <w:ind w:firstLine="482" w:firstLineChars="200"/>
        <w:rPr>
          <w:rFonts w:hint="eastAsia"/>
          <w:b/>
          <w:sz w:val="24"/>
          <w:szCs w:val="24"/>
          <w:lang w:val="en-US" w:eastAsia="zh-CN"/>
        </w:rPr>
      </w:pPr>
      <w:bookmarkStart w:id="10" w:name="_Toc32189"/>
      <w:bookmarkStart w:id="11" w:name="_Toc4232"/>
      <w:r>
        <w:rPr>
          <w:rFonts w:hint="eastAsia"/>
          <w:b/>
          <w:sz w:val="24"/>
          <w:szCs w:val="24"/>
          <w:lang w:val="en-US" w:eastAsia="zh-CN"/>
        </w:rPr>
        <w:t>2.2 数据预处理</w:t>
      </w:r>
      <w:bookmarkEnd w:id="10"/>
      <w:bookmarkEnd w:id="11"/>
    </w:p>
    <w:p>
      <w:pPr>
        <w:pageBreakBefore w:val="0"/>
        <w:kinsoku/>
        <w:wordWrap/>
        <w:overflowPunct/>
        <w:topLinePunct w:val="0"/>
        <w:autoSpaceDE/>
        <w:autoSpaceDN/>
        <w:bidi w:val="0"/>
        <w:adjustRightInd/>
        <w:snapToGrid/>
        <w:spacing w:line="360" w:lineRule="auto"/>
        <w:ind w:firstLine="480" w:firstLineChars="200"/>
        <w:rPr>
          <w:rFonts w:hint="default"/>
          <w:sz w:val="24"/>
          <w:szCs w:val="24"/>
          <w:lang w:val="en-US" w:eastAsia="zh-CN"/>
        </w:rPr>
      </w:pPr>
      <w:r>
        <w:rPr>
          <w:rFonts w:hint="eastAsia"/>
          <w:sz w:val="24"/>
          <w:szCs w:val="24"/>
          <w:lang w:val="en-US" w:eastAsia="zh-CN"/>
        </w:rPr>
        <w:t>2.2.1 缺失值</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本文数据无重复值，但存在一定的缺失值情况。图1展示了存在缺失的特征及其缺失率。可以发现，</w:t>
      </w:r>
      <w:r>
        <w:rPr>
          <w:rFonts w:hint="default"/>
          <w:sz w:val="24"/>
          <w:szCs w:val="24"/>
          <w:lang w:val="en-US" w:eastAsia="zh-CN"/>
        </w:rPr>
        <w:t>n</w:t>
      </w:r>
      <w:r>
        <w:rPr>
          <w:sz w:val="24"/>
          <w:szCs w:val="24"/>
          <w:lang w:val="en-US" w:eastAsia="zh-CN"/>
        </w:rPr>
        <w:t>系列匿名特征</w:t>
      </w:r>
      <w:r>
        <w:rPr>
          <w:rFonts w:hint="eastAsia"/>
          <w:sz w:val="24"/>
          <w:szCs w:val="24"/>
          <w:lang w:val="en-US" w:eastAsia="zh-CN"/>
        </w:rPr>
        <w:t>及employmentLength存在较为严重的缺失情况，缺失率都超过了4%。本文采用缺失值填充的办法处理缺失值。</w:t>
      </w:r>
    </w:p>
    <w:p>
      <w:pPr>
        <w:pageBreakBefore w:val="0"/>
        <w:kinsoku/>
        <w:wordWrap/>
        <w:overflowPunct/>
        <w:topLinePunct w:val="0"/>
        <w:autoSpaceDE/>
        <w:autoSpaceDN/>
        <w:bidi w:val="0"/>
        <w:adjustRightInd/>
        <w:snapToGrid/>
        <w:spacing w:line="360" w:lineRule="auto"/>
        <w:ind w:firstLine="480" w:firstLineChars="200"/>
        <w:rPr>
          <w:rFonts w:hint="default"/>
          <w:sz w:val="24"/>
          <w:szCs w:val="24"/>
          <w:lang w:val="en-US" w:eastAsia="zh-CN"/>
        </w:rPr>
      </w:pPr>
      <w:r>
        <w:rPr>
          <w:rFonts w:hint="eastAsia"/>
          <w:sz w:val="24"/>
          <w:szCs w:val="24"/>
          <w:lang w:val="en-US" w:eastAsia="zh-CN"/>
        </w:rPr>
        <w:t>对于数值型变量，本文使用变量的中位数进行填充；对于分类型变量，本文使用变量的众数进行填充；对于employmentLength（就业年限），本文采取随机森林的方法进行拟合填充。</w:t>
      </w:r>
    </w:p>
    <w:p>
      <w:pPr>
        <w:pageBreakBefore w:val="0"/>
        <w:kinsoku/>
        <w:wordWrap/>
        <w:overflowPunct/>
        <w:topLinePunct w:val="0"/>
        <w:autoSpaceDE/>
        <w:autoSpaceDN/>
        <w:bidi w:val="0"/>
        <w:adjustRightInd/>
        <w:snapToGrid/>
        <w:spacing w:line="360" w:lineRule="auto"/>
        <w:ind w:firstLine="480" w:firstLineChars="200"/>
        <w:rPr>
          <w:sz w:val="24"/>
          <w:szCs w:val="24"/>
        </w:rPr>
      </w:pPr>
      <w:r>
        <w:rPr>
          <w:sz w:val="24"/>
          <w:szCs w:val="24"/>
        </w:rPr>
        <w:drawing>
          <wp:inline distT="0" distB="0" distL="114300" distR="114300">
            <wp:extent cx="5702300" cy="209169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t="6553" r="817"/>
                    <a:stretch>
                      <a:fillRect/>
                    </a:stretch>
                  </pic:blipFill>
                  <pic:spPr>
                    <a:xfrm>
                      <a:off x="0" y="0"/>
                      <a:ext cx="5702300" cy="209169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80" w:firstLineChars="200"/>
        <w:jc w:val="center"/>
        <w:rPr>
          <w:rFonts w:hint="eastAsia"/>
          <w:sz w:val="24"/>
          <w:szCs w:val="24"/>
          <w:lang w:val="en-US" w:eastAsia="zh-CN"/>
        </w:rPr>
      </w:pPr>
      <w:r>
        <w:rPr>
          <w:rFonts w:hint="eastAsia"/>
          <w:sz w:val="24"/>
          <w:szCs w:val="24"/>
          <w:lang w:val="en-US" w:eastAsia="zh-CN"/>
        </w:rPr>
        <w:t>图1：缺失特征的分布图</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2.2.2 编码</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 xml:space="preserve">在47个变量中，“grade”, </w:t>
      </w:r>
      <w:r>
        <w:rPr>
          <w:rFonts w:hint="default"/>
          <w:sz w:val="24"/>
          <w:szCs w:val="24"/>
          <w:lang w:val="en-US" w:eastAsia="zh-CN"/>
        </w:rPr>
        <w:t>“</w:t>
      </w:r>
      <w:r>
        <w:rPr>
          <w:rFonts w:hint="eastAsia"/>
          <w:sz w:val="24"/>
          <w:szCs w:val="24"/>
          <w:lang w:val="en-US" w:eastAsia="zh-CN"/>
        </w:rPr>
        <w:t>subGrade</w:t>
      </w:r>
      <w:r>
        <w:rPr>
          <w:rFonts w:hint="default"/>
          <w:sz w:val="24"/>
          <w:szCs w:val="24"/>
          <w:lang w:val="en-US" w:eastAsia="zh-CN"/>
        </w:rPr>
        <w:t>”</w:t>
      </w:r>
      <w:r>
        <w:rPr>
          <w:rFonts w:hint="eastAsia"/>
          <w:sz w:val="24"/>
          <w:szCs w:val="24"/>
          <w:lang w:val="en-US" w:eastAsia="zh-CN"/>
        </w:rPr>
        <w:t>,“employmentLength”, “issueDate”和 “earliesCreditLine”等5个变量是字符串类型，需要进行处理。</w:t>
      </w:r>
    </w:p>
    <w:p>
      <w:pPr>
        <w:pageBreakBefore w:val="0"/>
        <w:kinsoku/>
        <w:wordWrap/>
        <w:overflowPunct/>
        <w:topLinePunct w:val="0"/>
        <w:autoSpaceDE/>
        <w:autoSpaceDN/>
        <w:bidi w:val="0"/>
        <w:adjustRightInd/>
        <w:snapToGrid/>
        <w:spacing w:line="360" w:lineRule="auto"/>
        <w:ind w:firstLine="480" w:firstLineChars="200"/>
        <w:rPr>
          <w:rFonts w:hint="default"/>
          <w:sz w:val="24"/>
          <w:szCs w:val="24"/>
          <w:lang w:val="en-US" w:eastAsia="zh-CN"/>
        </w:rPr>
      </w:pPr>
      <w:r>
        <w:rPr>
          <w:rFonts w:hint="eastAsia"/>
          <w:sz w:val="24"/>
          <w:szCs w:val="24"/>
          <w:lang w:val="en-US" w:eastAsia="zh-CN"/>
        </w:rPr>
        <w:t xml:space="preserve">对于字符串型变量“grade”, </w:t>
      </w:r>
      <w:r>
        <w:rPr>
          <w:rFonts w:hint="default"/>
          <w:sz w:val="24"/>
          <w:szCs w:val="24"/>
          <w:lang w:val="en-US" w:eastAsia="zh-CN"/>
        </w:rPr>
        <w:t>“</w:t>
      </w:r>
      <w:r>
        <w:rPr>
          <w:rFonts w:hint="eastAsia"/>
          <w:sz w:val="24"/>
          <w:szCs w:val="24"/>
          <w:lang w:val="en-US" w:eastAsia="zh-CN"/>
        </w:rPr>
        <w:t>subGrade</w:t>
      </w:r>
      <w:r>
        <w:rPr>
          <w:rFonts w:hint="default"/>
          <w:sz w:val="24"/>
          <w:szCs w:val="24"/>
          <w:lang w:val="en-US" w:eastAsia="zh-CN"/>
        </w:rPr>
        <w:t>”</w:t>
      </w:r>
      <w:r>
        <w:rPr>
          <w:rFonts w:hint="eastAsia"/>
          <w:sz w:val="24"/>
          <w:szCs w:val="24"/>
          <w:lang w:val="en-US" w:eastAsia="zh-CN"/>
        </w:rPr>
        <w:t>和“employmentLength”，可以直接转化成数值型变量；对于“issueDate”（贷款发放的月份）和 “earliesCreditLine”（借款人最早报告的信用额度开立的月份），为了便于后续数据分析以及出于可解释性的考虑，本文对这两个变量合并，即做了两者年份之差，从而形成变量“最早报告信用额度开立的到贷款发放时的时长（年）”，并以其代替之。</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在数值型变量中，“homeOwnership”,“verificationStatus”,“purpose”为分类数据，对事物进行分类但不具有内在的逻辑顺序，因此采用One-Hoe编码，给每一个类型分配一个独立的数值向量。</w:t>
      </w:r>
    </w:p>
    <w:p>
      <w:pPr>
        <w:pageBreakBefore w:val="0"/>
        <w:kinsoku/>
        <w:wordWrap/>
        <w:overflowPunct/>
        <w:topLinePunct w:val="0"/>
        <w:autoSpaceDE/>
        <w:autoSpaceDN/>
        <w:bidi w:val="0"/>
        <w:adjustRightInd/>
        <w:snapToGrid/>
        <w:spacing w:line="360" w:lineRule="auto"/>
        <w:ind w:firstLine="480" w:firstLineChars="200"/>
        <w:jc w:val="center"/>
        <w:rPr>
          <w:rFonts w:hint="default"/>
          <w:sz w:val="24"/>
          <w:szCs w:val="24"/>
          <w:lang w:val="en-US" w:eastAsia="zh-CN"/>
        </w:rPr>
      </w:pPr>
      <w:r>
        <w:rPr>
          <w:rFonts w:hint="eastAsia"/>
          <w:sz w:val="24"/>
          <w:szCs w:val="24"/>
          <w:lang w:val="en-US" w:eastAsia="zh-CN"/>
        </w:rPr>
        <w:t>表2 字符型变量处理（部分）</w:t>
      </w:r>
    </w:p>
    <w:tbl>
      <w:tblPr>
        <w:tblStyle w:val="7"/>
        <w:tblW w:w="6374" w:type="dxa"/>
        <w:jc w:val="center"/>
        <w:shd w:val="clear" w:color="auto" w:fill="auto"/>
        <w:tblLayout w:type="fixed"/>
        <w:tblCellMar>
          <w:top w:w="0" w:type="dxa"/>
          <w:left w:w="108" w:type="dxa"/>
          <w:bottom w:w="0" w:type="dxa"/>
          <w:right w:w="108" w:type="dxa"/>
        </w:tblCellMar>
      </w:tblPr>
      <w:tblGrid>
        <w:gridCol w:w="2082"/>
        <w:gridCol w:w="2050"/>
        <w:gridCol w:w="2242"/>
      </w:tblGrid>
      <w:tr>
        <w:tblPrEx>
          <w:tblCellMar>
            <w:top w:w="0" w:type="dxa"/>
            <w:left w:w="108" w:type="dxa"/>
            <w:bottom w:w="0" w:type="dxa"/>
            <w:right w:w="108" w:type="dxa"/>
          </w:tblCellMar>
        </w:tblPrEx>
        <w:trPr>
          <w:trHeight w:val="295" w:hRule="atLeast"/>
          <w:jc w:val="center"/>
        </w:trPr>
        <w:tc>
          <w:tcPr>
            <w:tcW w:w="2082" w:type="dxa"/>
            <w:tcBorders>
              <w:top w:val="single" w:color="000000" w:sz="8"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变量</w:t>
            </w:r>
          </w:p>
        </w:tc>
        <w:tc>
          <w:tcPr>
            <w:tcW w:w="2050" w:type="dxa"/>
            <w:tcBorders>
              <w:top w:val="single" w:color="000000" w:sz="8"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字符型数据（部分）</w:t>
            </w:r>
          </w:p>
        </w:tc>
        <w:tc>
          <w:tcPr>
            <w:tcW w:w="2242" w:type="dxa"/>
            <w:tcBorders>
              <w:top w:val="single" w:color="000000" w:sz="8"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数值型数据（部分）</w:t>
            </w:r>
          </w:p>
        </w:tc>
      </w:tr>
      <w:tr>
        <w:tblPrEx>
          <w:shd w:val="clear" w:color="auto" w:fill="auto"/>
          <w:tblCellMar>
            <w:top w:w="0" w:type="dxa"/>
            <w:left w:w="108" w:type="dxa"/>
            <w:bottom w:w="0" w:type="dxa"/>
            <w:right w:w="108" w:type="dxa"/>
          </w:tblCellMar>
        </w:tblPrEx>
        <w:trPr>
          <w:trHeight w:val="280" w:hRule="atLeast"/>
          <w:jc w:val="center"/>
        </w:trPr>
        <w:tc>
          <w:tcPr>
            <w:tcW w:w="2082" w:type="dxa"/>
            <w:vMerge w:val="restart"/>
            <w:tcBorders>
              <w:top w:val="single" w:color="000000" w:sz="8" w:space="0"/>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center"/>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grade（贷款等级）</w:t>
            </w:r>
          </w:p>
        </w:tc>
        <w:tc>
          <w:tcPr>
            <w:tcW w:w="2050" w:type="dxa"/>
            <w:tcBorders>
              <w:top w:val="single" w:color="000000" w:sz="8"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B</w:t>
            </w:r>
          </w:p>
        </w:tc>
        <w:tc>
          <w:tcPr>
            <w:tcW w:w="2242" w:type="dxa"/>
            <w:tcBorders>
              <w:top w:val="single" w:color="000000" w:sz="8"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2</w:t>
            </w:r>
          </w:p>
        </w:tc>
      </w:tr>
      <w:tr>
        <w:tblPrEx>
          <w:shd w:val="clear" w:color="auto" w:fill="auto"/>
          <w:tblCellMar>
            <w:top w:w="0" w:type="dxa"/>
            <w:left w:w="108" w:type="dxa"/>
            <w:bottom w:w="0" w:type="dxa"/>
            <w:right w:w="108" w:type="dxa"/>
          </w:tblCellMar>
        </w:tblPrEx>
        <w:trPr>
          <w:trHeight w:val="280" w:hRule="atLeast"/>
          <w:jc w:val="center"/>
        </w:trPr>
        <w:tc>
          <w:tcPr>
            <w:tcW w:w="2082" w:type="dxa"/>
            <w:vMerge w:val="continue"/>
            <w:tcBorders>
              <w:top w:val="single" w:color="000000" w:sz="8" w:space="0"/>
              <w:left w:val="nil"/>
              <w:bottom w:val="nil"/>
              <w:right w:val="nil"/>
            </w:tcBorders>
            <w:shd w:val="clear" w:color="auto" w:fill="auto"/>
            <w:vAlign w:val="center"/>
          </w:tcPr>
          <w:p>
            <w:pPr>
              <w:pageBreakBefore w:val="0"/>
              <w:kinsoku/>
              <w:wordWrap/>
              <w:overflowPunct/>
              <w:topLinePunct w:val="0"/>
              <w:autoSpaceDE/>
              <w:autoSpaceDN/>
              <w:bidi w:val="0"/>
              <w:adjustRightInd/>
              <w:snapToGrid/>
              <w:spacing w:line="360" w:lineRule="auto"/>
              <w:ind w:firstLine="400" w:firstLineChars="200"/>
              <w:jc w:val="center"/>
              <w:rPr>
                <w:rFonts w:hint="default" w:ascii="Times New Roman" w:hAnsi="Times New Roman" w:eastAsia="宋体" w:cs="Times New Roman"/>
                <w:i w:val="0"/>
                <w:iCs w:val="0"/>
                <w:color w:val="000000"/>
                <w:sz w:val="20"/>
                <w:szCs w:val="20"/>
                <w:u w:val="none"/>
              </w:rPr>
            </w:pPr>
          </w:p>
        </w:tc>
        <w:tc>
          <w:tcPr>
            <w:tcW w:w="205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C</w:t>
            </w:r>
          </w:p>
        </w:tc>
        <w:tc>
          <w:tcPr>
            <w:tcW w:w="224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3</w:t>
            </w:r>
          </w:p>
        </w:tc>
      </w:tr>
      <w:tr>
        <w:tblPrEx>
          <w:tblCellMar>
            <w:top w:w="0" w:type="dxa"/>
            <w:left w:w="108" w:type="dxa"/>
            <w:bottom w:w="0" w:type="dxa"/>
            <w:right w:w="108" w:type="dxa"/>
          </w:tblCellMar>
        </w:tblPrEx>
        <w:trPr>
          <w:trHeight w:val="280" w:hRule="atLeast"/>
          <w:jc w:val="center"/>
        </w:trPr>
        <w:tc>
          <w:tcPr>
            <w:tcW w:w="2082" w:type="dxa"/>
            <w:vMerge w:val="continue"/>
            <w:tcBorders>
              <w:top w:val="single" w:color="000000" w:sz="8" w:space="0"/>
              <w:left w:val="nil"/>
              <w:bottom w:val="nil"/>
              <w:right w:val="nil"/>
            </w:tcBorders>
            <w:shd w:val="clear" w:color="auto" w:fill="auto"/>
            <w:vAlign w:val="center"/>
          </w:tcPr>
          <w:p>
            <w:pPr>
              <w:pageBreakBefore w:val="0"/>
              <w:kinsoku/>
              <w:wordWrap/>
              <w:overflowPunct/>
              <w:topLinePunct w:val="0"/>
              <w:autoSpaceDE/>
              <w:autoSpaceDN/>
              <w:bidi w:val="0"/>
              <w:adjustRightInd/>
              <w:snapToGrid/>
              <w:spacing w:line="360" w:lineRule="auto"/>
              <w:ind w:firstLine="400" w:firstLineChars="200"/>
              <w:jc w:val="center"/>
              <w:rPr>
                <w:rFonts w:hint="default" w:ascii="Times New Roman" w:hAnsi="Times New Roman" w:eastAsia="宋体" w:cs="Times New Roman"/>
                <w:i w:val="0"/>
                <w:iCs w:val="0"/>
                <w:color w:val="000000"/>
                <w:sz w:val="20"/>
                <w:szCs w:val="20"/>
                <w:u w:val="none"/>
              </w:rPr>
            </w:pPr>
          </w:p>
        </w:tc>
        <w:tc>
          <w:tcPr>
            <w:tcW w:w="205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A</w:t>
            </w:r>
          </w:p>
        </w:tc>
        <w:tc>
          <w:tcPr>
            <w:tcW w:w="224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1</w:t>
            </w:r>
          </w:p>
        </w:tc>
      </w:tr>
      <w:tr>
        <w:tblPrEx>
          <w:shd w:val="clear" w:color="auto" w:fill="auto"/>
          <w:tblCellMar>
            <w:top w:w="0" w:type="dxa"/>
            <w:left w:w="108" w:type="dxa"/>
            <w:bottom w:w="0" w:type="dxa"/>
            <w:right w:w="108" w:type="dxa"/>
          </w:tblCellMar>
        </w:tblPrEx>
        <w:trPr>
          <w:trHeight w:val="280" w:hRule="atLeast"/>
          <w:jc w:val="center"/>
        </w:trPr>
        <w:tc>
          <w:tcPr>
            <w:tcW w:w="2082" w:type="dxa"/>
            <w:vMerge w:val="continue"/>
            <w:tcBorders>
              <w:top w:val="single" w:color="000000" w:sz="8" w:space="0"/>
              <w:left w:val="nil"/>
              <w:bottom w:val="nil"/>
              <w:right w:val="nil"/>
            </w:tcBorders>
            <w:shd w:val="clear" w:color="auto" w:fill="auto"/>
            <w:vAlign w:val="center"/>
          </w:tcPr>
          <w:p>
            <w:pPr>
              <w:pageBreakBefore w:val="0"/>
              <w:kinsoku/>
              <w:wordWrap/>
              <w:overflowPunct/>
              <w:topLinePunct w:val="0"/>
              <w:autoSpaceDE/>
              <w:autoSpaceDN/>
              <w:bidi w:val="0"/>
              <w:adjustRightInd/>
              <w:snapToGrid/>
              <w:spacing w:line="360" w:lineRule="auto"/>
              <w:ind w:firstLine="400" w:firstLineChars="200"/>
              <w:jc w:val="center"/>
              <w:rPr>
                <w:rFonts w:hint="default" w:ascii="Times New Roman" w:hAnsi="Times New Roman" w:eastAsia="宋体" w:cs="Times New Roman"/>
                <w:i w:val="0"/>
                <w:iCs w:val="0"/>
                <w:color w:val="000000"/>
                <w:sz w:val="20"/>
                <w:szCs w:val="20"/>
                <w:u w:val="none"/>
              </w:rPr>
            </w:pPr>
          </w:p>
        </w:tc>
        <w:tc>
          <w:tcPr>
            <w:tcW w:w="205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D</w:t>
            </w:r>
          </w:p>
        </w:tc>
        <w:tc>
          <w:tcPr>
            <w:tcW w:w="224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4</w:t>
            </w:r>
          </w:p>
        </w:tc>
      </w:tr>
      <w:tr>
        <w:tblPrEx>
          <w:shd w:val="clear" w:color="auto" w:fill="auto"/>
          <w:tblCellMar>
            <w:top w:w="0" w:type="dxa"/>
            <w:left w:w="108" w:type="dxa"/>
            <w:bottom w:w="0" w:type="dxa"/>
            <w:right w:w="108" w:type="dxa"/>
          </w:tblCellMar>
        </w:tblPrEx>
        <w:trPr>
          <w:trHeight w:val="280" w:hRule="atLeast"/>
          <w:jc w:val="center"/>
        </w:trPr>
        <w:tc>
          <w:tcPr>
            <w:tcW w:w="2082" w:type="dxa"/>
            <w:vMerge w:val="continue"/>
            <w:tcBorders>
              <w:top w:val="single" w:color="000000" w:sz="8" w:space="0"/>
              <w:left w:val="nil"/>
              <w:bottom w:val="nil"/>
              <w:right w:val="nil"/>
            </w:tcBorders>
            <w:shd w:val="clear" w:color="auto" w:fill="auto"/>
            <w:vAlign w:val="center"/>
          </w:tcPr>
          <w:p>
            <w:pPr>
              <w:pageBreakBefore w:val="0"/>
              <w:kinsoku/>
              <w:wordWrap/>
              <w:overflowPunct/>
              <w:topLinePunct w:val="0"/>
              <w:autoSpaceDE/>
              <w:autoSpaceDN/>
              <w:bidi w:val="0"/>
              <w:adjustRightInd/>
              <w:snapToGrid/>
              <w:spacing w:line="360" w:lineRule="auto"/>
              <w:ind w:firstLine="400" w:firstLineChars="200"/>
              <w:jc w:val="center"/>
              <w:rPr>
                <w:rFonts w:hint="default" w:ascii="Times New Roman" w:hAnsi="Times New Roman" w:eastAsia="宋体" w:cs="Times New Roman"/>
                <w:i w:val="0"/>
                <w:iCs w:val="0"/>
                <w:color w:val="000000"/>
                <w:sz w:val="20"/>
                <w:szCs w:val="20"/>
                <w:u w:val="none"/>
              </w:rPr>
            </w:pPr>
          </w:p>
        </w:tc>
        <w:tc>
          <w:tcPr>
            <w:tcW w:w="205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E</w:t>
            </w:r>
          </w:p>
        </w:tc>
        <w:tc>
          <w:tcPr>
            <w:tcW w:w="224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5</w:t>
            </w:r>
          </w:p>
        </w:tc>
      </w:tr>
      <w:tr>
        <w:tblPrEx>
          <w:shd w:val="clear" w:color="auto" w:fill="auto"/>
          <w:tblCellMar>
            <w:top w:w="0" w:type="dxa"/>
            <w:left w:w="108" w:type="dxa"/>
            <w:bottom w:w="0" w:type="dxa"/>
            <w:right w:w="108" w:type="dxa"/>
          </w:tblCellMar>
        </w:tblPrEx>
        <w:trPr>
          <w:trHeight w:val="280" w:hRule="atLeast"/>
          <w:jc w:val="center"/>
        </w:trPr>
        <w:tc>
          <w:tcPr>
            <w:tcW w:w="2082" w:type="dxa"/>
            <w:vMerge w:val="continue"/>
            <w:tcBorders>
              <w:top w:val="single" w:color="000000" w:sz="8" w:space="0"/>
              <w:left w:val="nil"/>
              <w:bottom w:val="nil"/>
              <w:right w:val="nil"/>
            </w:tcBorders>
            <w:shd w:val="clear" w:color="auto" w:fill="auto"/>
            <w:vAlign w:val="center"/>
          </w:tcPr>
          <w:p>
            <w:pPr>
              <w:pageBreakBefore w:val="0"/>
              <w:kinsoku/>
              <w:wordWrap/>
              <w:overflowPunct/>
              <w:topLinePunct w:val="0"/>
              <w:autoSpaceDE/>
              <w:autoSpaceDN/>
              <w:bidi w:val="0"/>
              <w:adjustRightInd/>
              <w:snapToGrid/>
              <w:spacing w:line="360" w:lineRule="auto"/>
              <w:ind w:firstLine="400" w:firstLineChars="200"/>
              <w:jc w:val="center"/>
              <w:rPr>
                <w:rFonts w:hint="default" w:ascii="Times New Roman" w:hAnsi="Times New Roman" w:eastAsia="宋体" w:cs="Times New Roman"/>
                <w:i w:val="0"/>
                <w:iCs w:val="0"/>
                <w:color w:val="000000"/>
                <w:sz w:val="20"/>
                <w:szCs w:val="20"/>
                <w:u w:val="none"/>
              </w:rPr>
            </w:pPr>
          </w:p>
        </w:tc>
        <w:tc>
          <w:tcPr>
            <w:tcW w:w="205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F</w:t>
            </w:r>
          </w:p>
        </w:tc>
        <w:tc>
          <w:tcPr>
            <w:tcW w:w="224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6</w:t>
            </w:r>
          </w:p>
        </w:tc>
      </w:tr>
      <w:tr>
        <w:tblPrEx>
          <w:tblCellMar>
            <w:top w:w="0" w:type="dxa"/>
            <w:left w:w="108" w:type="dxa"/>
            <w:bottom w:w="0" w:type="dxa"/>
            <w:right w:w="108" w:type="dxa"/>
          </w:tblCellMar>
        </w:tblPrEx>
        <w:trPr>
          <w:trHeight w:val="280" w:hRule="atLeast"/>
          <w:jc w:val="center"/>
        </w:trPr>
        <w:tc>
          <w:tcPr>
            <w:tcW w:w="2082" w:type="dxa"/>
            <w:vMerge w:val="continue"/>
            <w:tcBorders>
              <w:top w:val="single" w:color="000000" w:sz="8" w:space="0"/>
              <w:left w:val="nil"/>
              <w:bottom w:val="nil"/>
              <w:right w:val="nil"/>
            </w:tcBorders>
            <w:shd w:val="clear" w:color="auto" w:fill="auto"/>
            <w:vAlign w:val="center"/>
          </w:tcPr>
          <w:p>
            <w:pPr>
              <w:pageBreakBefore w:val="0"/>
              <w:kinsoku/>
              <w:wordWrap/>
              <w:overflowPunct/>
              <w:topLinePunct w:val="0"/>
              <w:autoSpaceDE/>
              <w:autoSpaceDN/>
              <w:bidi w:val="0"/>
              <w:adjustRightInd/>
              <w:snapToGrid/>
              <w:spacing w:line="360" w:lineRule="auto"/>
              <w:ind w:firstLine="400" w:firstLineChars="200"/>
              <w:jc w:val="center"/>
              <w:rPr>
                <w:rFonts w:hint="default" w:ascii="Times New Roman" w:hAnsi="Times New Roman" w:eastAsia="宋体" w:cs="Times New Roman"/>
                <w:i w:val="0"/>
                <w:iCs w:val="0"/>
                <w:color w:val="000000"/>
                <w:sz w:val="20"/>
                <w:szCs w:val="20"/>
                <w:u w:val="none"/>
              </w:rPr>
            </w:pPr>
          </w:p>
        </w:tc>
        <w:tc>
          <w:tcPr>
            <w:tcW w:w="205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G</w:t>
            </w:r>
          </w:p>
        </w:tc>
        <w:tc>
          <w:tcPr>
            <w:tcW w:w="224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7</w:t>
            </w:r>
          </w:p>
        </w:tc>
      </w:tr>
      <w:tr>
        <w:tblPrEx>
          <w:shd w:val="clear" w:color="auto" w:fill="auto"/>
          <w:tblCellMar>
            <w:top w:w="0" w:type="dxa"/>
            <w:left w:w="108" w:type="dxa"/>
            <w:bottom w:w="0" w:type="dxa"/>
            <w:right w:w="108" w:type="dxa"/>
          </w:tblCellMar>
        </w:tblPrEx>
        <w:trPr>
          <w:trHeight w:val="280" w:hRule="atLeast"/>
          <w:jc w:val="center"/>
        </w:trPr>
        <w:tc>
          <w:tcPr>
            <w:tcW w:w="2082" w:type="dxa"/>
            <w:vMerge w:val="restart"/>
            <w:tcBorders>
              <w:top w:val="nil"/>
              <w:left w:val="nil"/>
              <w:bottom w:val="nil"/>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center"/>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subGrade（贷款等级之子级）</w:t>
            </w:r>
          </w:p>
        </w:tc>
        <w:tc>
          <w:tcPr>
            <w:tcW w:w="205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C1</w:t>
            </w:r>
          </w:p>
        </w:tc>
        <w:tc>
          <w:tcPr>
            <w:tcW w:w="224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31</w:t>
            </w:r>
          </w:p>
        </w:tc>
      </w:tr>
      <w:tr>
        <w:tblPrEx>
          <w:shd w:val="clear" w:color="auto" w:fill="auto"/>
          <w:tblCellMar>
            <w:top w:w="0" w:type="dxa"/>
            <w:left w:w="108" w:type="dxa"/>
            <w:bottom w:w="0" w:type="dxa"/>
            <w:right w:w="108" w:type="dxa"/>
          </w:tblCellMar>
        </w:tblPrEx>
        <w:trPr>
          <w:trHeight w:val="280" w:hRule="atLeast"/>
          <w:jc w:val="center"/>
        </w:trPr>
        <w:tc>
          <w:tcPr>
            <w:tcW w:w="2082" w:type="dxa"/>
            <w:vMerge w:val="continue"/>
            <w:tcBorders>
              <w:top w:val="nil"/>
              <w:left w:val="nil"/>
              <w:bottom w:val="nil"/>
              <w:right w:val="nil"/>
            </w:tcBorders>
            <w:shd w:val="clear" w:color="auto" w:fill="auto"/>
            <w:vAlign w:val="center"/>
          </w:tcPr>
          <w:p>
            <w:pPr>
              <w:pageBreakBefore w:val="0"/>
              <w:kinsoku/>
              <w:wordWrap/>
              <w:overflowPunct/>
              <w:topLinePunct w:val="0"/>
              <w:autoSpaceDE/>
              <w:autoSpaceDN/>
              <w:bidi w:val="0"/>
              <w:adjustRightInd/>
              <w:snapToGrid/>
              <w:spacing w:line="360" w:lineRule="auto"/>
              <w:ind w:firstLine="400" w:firstLineChars="200"/>
              <w:jc w:val="center"/>
              <w:rPr>
                <w:rFonts w:hint="default" w:ascii="Times New Roman" w:hAnsi="Times New Roman" w:eastAsia="宋体" w:cs="Times New Roman"/>
                <w:i w:val="0"/>
                <w:iCs w:val="0"/>
                <w:color w:val="000000"/>
                <w:sz w:val="20"/>
                <w:szCs w:val="20"/>
                <w:u w:val="none"/>
              </w:rPr>
            </w:pPr>
          </w:p>
        </w:tc>
        <w:tc>
          <w:tcPr>
            <w:tcW w:w="205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B4</w:t>
            </w:r>
          </w:p>
        </w:tc>
        <w:tc>
          <w:tcPr>
            <w:tcW w:w="224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24</w:t>
            </w:r>
          </w:p>
        </w:tc>
      </w:tr>
      <w:tr>
        <w:tblPrEx>
          <w:shd w:val="clear" w:color="auto" w:fill="auto"/>
          <w:tblCellMar>
            <w:top w:w="0" w:type="dxa"/>
            <w:left w:w="108" w:type="dxa"/>
            <w:bottom w:w="0" w:type="dxa"/>
            <w:right w:w="108" w:type="dxa"/>
          </w:tblCellMar>
        </w:tblPrEx>
        <w:trPr>
          <w:trHeight w:val="280" w:hRule="atLeast"/>
          <w:jc w:val="center"/>
        </w:trPr>
        <w:tc>
          <w:tcPr>
            <w:tcW w:w="2082" w:type="dxa"/>
            <w:vMerge w:val="continue"/>
            <w:tcBorders>
              <w:top w:val="nil"/>
              <w:left w:val="nil"/>
              <w:bottom w:val="nil"/>
              <w:right w:val="nil"/>
            </w:tcBorders>
            <w:shd w:val="clear" w:color="auto" w:fill="auto"/>
            <w:vAlign w:val="center"/>
          </w:tcPr>
          <w:p>
            <w:pPr>
              <w:pageBreakBefore w:val="0"/>
              <w:kinsoku/>
              <w:wordWrap/>
              <w:overflowPunct/>
              <w:topLinePunct w:val="0"/>
              <w:autoSpaceDE/>
              <w:autoSpaceDN/>
              <w:bidi w:val="0"/>
              <w:adjustRightInd/>
              <w:snapToGrid/>
              <w:spacing w:line="360" w:lineRule="auto"/>
              <w:ind w:firstLine="400" w:firstLineChars="200"/>
              <w:jc w:val="center"/>
              <w:rPr>
                <w:rFonts w:hint="default" w:ascii="Times New Roman" w:hAnsi="Times New Roman" w:eastAsia="宋体" w:cs="Times New Roman"/>
                <w:i w:val="0"/>
                <w:iCs w:val="0"/>
                <w:color w:val="000000"/>
                <w:sz w:val="20"/>
                <w:szCs w:val="20"/>
                <w:u w:val="none"/>
              </w:rPr>
            </w:pPr>
          </w:p>
        </w:tc>
        <w:tc>
          <w:tcPr>
            <w:tcW w:w="205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B5</w:t>
            </w:r>
          </w:p>
        </w:tc>
        <w:tc>
          <w:tcPr>
            <w:tcW w:w="224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25</w:t>
            </w:r>
          </w:p>
        </w:tc>
      </w:tr>
      <w:tr>
        <w:tblPrEx>
          <w:tblCellMar>
            <w:top w:w="0" w:type="dxa"/>
            <w:left w:w="108" w:type="dxa"/>
            <w:bottom w:w="0" w:type="dxa"/>
            <w:right w:w="108" w:type="dxa"/>
          </w:tblCellMar>
        </w:tblPrEx>
        <w:trPr>
          <w:trHeight w:val="280" w:hRule="atLeast"/>
          <w:jc w:val="center"/>
        </w:trPr>
        <w:tc>
          <w:tcPr>
            <w:tcW w:w="2082" w:type="dxa"/>
            <w:vMerge w:val="continue"/>
            <w:tcBorders>
              <w:top w:val="nil"/>
              <w:left w:val="nil"/>
              <w:bottom w:val="nil"/>
              <w:right w:val="nil"/>
            </w:tcBorders>
            <w:shd w:val="clear" w:color="auto" w:fill="auto"/>
            <w:vAlign w:val="center"/>
          </w:tcPr>
          <w:p>
            <w:pPr>
              <w:pageBreakBefore w:val="0"/>
              <w:kinsoku/>
              <w:wordWrap/>
              <w:overflowPunct/>
              <w:topLinePunct w:val="0"/>
              <w:autoSpaceDE/>
              <w:autoSpaceDN/>
              <w:bidi w:val="0"/>
              <w:adjustRightInd/>
              <w:snapToGrid/>
              <w:spacing w:line="360" w:lineRule="auto"/>
              <w:ind w:firstLine="400" w:firstLineChars="200"/>
              <w:jc w:val="center"/>
              <w:rPr>
                <w:rFonts w:hint="default" w:ascii="Times New Roman" w:hAnsi="Times New Roman" w:eastAsia="宋体" w:cs="Times New Roman"/>
                <w:i w:val="0"/>
                <w:iCs w:val="0"/>
                <w:color w:val="000000"/>
                <w:sz w:val="20"/>
                <w:szCs w:val="20"/>
                <w:u w:val="none"/>
              </w:rPr>
            </w:pPr>
          </w:p>
        </w:tc>
        <w:tc>
          <w:tcPr>
            <w:tcW w:w="205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B3</w:t>
            </w:r>
          </w:p>
        </w:tc>
        <w:tc>
          <w:tcPr>
            <w:tcW w:w="224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23</w:t>
            </w:r>
          </w:p>
        </w:tc>
      </w:tr>
      <w:tr>
        <w:tblPrEx>
          <w:tblCellMar>
            <w:top w:w="0" w:type="dxa"/>
            <w:left w:w="108" w:type="dxa"/>
            <w:bottom w:w="0" w:type="dxa"/>
            <w:right w:w="108" w:type="dxa"/>
          </w:tblCellMar>
        </w:tblPrEx>
        <w:trPr>
          <w:trHeight w:val="280" w:hRule="atLeast"/>
          <w:jc w:val="center"/>
        </w:trPr>
        <w:tc>
          <w:tcPr>
            <w:tcW w:w="2082" w:type="dxa"/>
            <w:vMerge w:val="continue"/>
            <w:tcBorders>
              <w:top w:val="nil"/>
              <w:left w:val="nil"/>
              <w:bottom w:val="nil"/>
              <w:right w:val="nil"/>
            </w:tcBorders>
            <w:shd w:val="clear" w:color="auto" w:fill="auto"/>
            <w:vAlign w:val="center"/>
          </w:tcPr>
          <w:p>
            <w:pPr>
              <w:pageBreakBefore w:val="0"/>
              <w:kinsoku/>
              <w:wordWrap/>
              <w:overflowPunct/>
              <w:topLinePunct w:val="0"/>
              <w:autoSpaceDE/>
              <w:autoSpaceDN/>
              <w:bidi w:val="0"/>
              <w:adjustRightInd/>
              <w:snapToGrid/>
              <w:spacing w:line="360" w:lineRule="auto"/>
              <w:ind w:firstLine="400" w:firstLineChars="200"/>
              <w:jc w:val="center"/>
              <w:rPr>
                <w:rFonts w:hint="default" w:ascii="Times New Roman" w:hAnsi="Times New Roman" w:eastAsia="宋体" w:cs="Times New Roman"/>
                <w:i w:val="0"/>
                <w:iCs w:val="0"/>
                <w:color w:val="000000"/>
                <w:sz w:val="20"/>
                <w:szCs w:val="20"/>
                <w:u w:val="none"/>
              </w:rPr>
            </w:pPr>
          </w:p>
        </w:tc>
        <w:tc>
          <w:tcPr>
            <w:tcW w:w="205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C2</w:t>
            </w:r>
          </w:p>
        </w:tc>
        <w:tc>
          <w:tcPr>
            <w:tcW w:w="224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32</w:t>
            </w:r>
          </w:p>
        </w:tc>
      </w:tr>
      <w:tr>
        <w:tblPrEx>
          <w:shd w:val="clear" w:color="auto" w:fill="auto"/>
          <w:tblCellMar>
            <w:top w:w="0" w:type="dxa"/>
            <w:left w:w="108" w:type="dxa"/>
            <w:bottom w:w="0" w:type="dxa"/>
            <w:right w:w="108" w:type="dxa"/>
          </w:tblCellMar>
        </w:tblPrEx>
        <w:trPr>
          <w:trHeight w:val="280" w:hRule="atLeast"/>
          <w:jc w:val="center"/>
        </w:trPr>
        <w:tc>
          <w:tcPr>
            <w:tcW w:w="2082" w:type="dxa"/>
            <w:vMerge w:val="continue"/>
            <w:tcBorders>
              <w:top w:val="nil"/>
              <w:left w:val="nil"/>
              <w:bottom w:val="nil"/>
              <w:right w:val="nil"/>
            </w:tcBorders>
            <w:shd w:val="clear" w:color="auto" w:fill="auto"/>
            <w:vAlign w:val="center"/>
          </w:tcPr>
          <w:p>
            <w:pPr>
              <w:pageBreakBefore w:val="0"/>
              <w:kinsoku/>
              <w:wordWrap/>
              <w:overflowPunct/>
              <w:topLinePunct w:val="0"/>
              <w:autoSpaceDE/>
              <w:autoSpaceDN/>
              <w:bidi w:val="0"/>
              <w:adjustRightInd/>
              <w:snapToGrid/>
              <w:spacing w:line="360" w:lineRule="auto"/>
              <w:ind w:firstLine="400" w:firstLineChars="200"/>
              <w:jc w:val="center"/>
              <w:rPr>
                <w:rFonts w:hint="default" w:ascii="Times New Roman" w:hAnsi="Times New Roman" w:eastAsia="宋体" w:cs="Times New Roman"/>
                <w:i w:val="0"/>
                <w:iCs w:val="0"/>
                <w:color w:val="000000"/>
                <w:sz w:val="20"/>
                <w:szCs w:val="20"/>
                <w:u w:val="none"/>
              </w:rPr>
            </w:pPr>
          </w:p>
        </w:tc>
        <w:tc>
          <w:tcPr>
            <w:tcW w:w="205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C3</w:t>
            </w:r>
          </w:p>
        </w:tc>
        <w:tc>
          <w:tcPr>
            <w:tcW w:w="224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33</w:t>
            </w:r>
          </w:p>
        </w:tc>
      </w:tr>
      <w:tr>
        <w:tblPrEx>
          <w:shd w:val="clear" w:color="auto" w:fill="auto"/>
          <w:tblCellMar>
            <w:top w:w="0" w:type="dxa"/>
            <w:left w:w="108" w:type="dxa"/>
            <w:bottom w:w="0" w:type="dxa"/>
            <w:right w:w="108" w:type="dxa"/>
          </w:tblCellMar>
        </w:tblPrEx>
        <w:trPr>
          <w:trHeight w:val="280" w:hRule="atLeast"/>
          <w:jc w:val="center"/>
        </w:trPr>
        <w:tc>
          <w:tcPr>
            <w:tcW w:w="2082" w:type="dxa"/>
            <w:vMerge w:val="continue"/>
            <w:tcBorders>
              <w:top w:val="nil"/>
              <w:left w:val="nil"/>
              <w:bottom w:val="nil"/>
              <w:right w:val="nil"/>
            </w:tcBorders>
            <w:shd w:val="clear" w:color="auto" w:fill="auto"/>
            <w:vAlign w:val="center"/>
          </w:tcPr>
          <w:p>
            <w:pPr>
              <w:pageBreakBefore w:val="0"/>
              <w:kinsoku/>
              <w:wordWrap/>
              <w:overflowPunct/>
              <w:topLinePunct w:val="0"/>
              <w:autoSpaceDE/>
              <w:autoSpaceDN/>
              <w:bidi w:val="0"/>
              <w:adjustRightInd/>
              <w:snapToGrid/>
              <w:spacing w:line="360" w:lineRule="auto"/>
              <w:ind w:firstLine="400" w:firstLineChars="200"/>
              <w:jc w:val="center"/>
              <w:rPr>
                <w:rFonts w:hint="default" w:ascii="Times New Roman" w:hAnsi="Times New Roman" w:eastAsia="宋体" w:cs="Times New Roman"/>
                <w:i w:val="0"/>
                <w:iCs w:val="0"/>
                <w:color w:val="000000"/>
                <w:sz w:val="20"/>
                <w:szCs w:val="20"/>
                <w:u w:val="none"/>
              </w:rPr>
            </w:pPr>
          </w:p>
        </w:tc>
        <w:tc>
          <w:tcPr>
            <w:tcW w:w="205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C4</w:t>
            </w:r>
          </w:p>
        </w:tc>
        <w:tc>
          <w:tcPr>
            <w:tcW w:w="224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34</w:t>
            </w:r>
          </w:p>
        </w:tc>
      </w:tr>
      <w:tr>
        <w:tblPrEx>
          <w:shd w:val="clear" w:color="auto" w:fill="auto"/>
          <w:tblCellMar>
            <w:top w:w="0" w:type="dxa"/>
            <w:left w:w="108" w:type="dxa"/>
            <w:bottom w:w="0" w:type="dxa"/>
            <w:right w:w="108" w:type="dxa"/>
          </w:tblCellMar>
        </w:tblPrEx>
        <w:trPr>
          <w:trHeight w:val="280" w:hRule="atLeast"/>
          <w:jc w:val="center"/>
        </w:trPr>
        <w:tc>
          <w:tcPr>
            <w:tcW w:w="2082" w:type="dxa"/>
            <w:vMerge w:val="restart"/>
            <w:tcBorders>
              <w:top w:val="nil"/>
              <w:left w:val="nil"/>
              <w:bottom w:val="single" w:color="000000" w:sz="8" w:space="0"/>
              <w:right w:val="nil"/>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center"/>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employmentLength（就业年限（年））</w:t>
            </w:r>
          </w:p>
        </w:tc>
        <w:tc>
          <w:tcPr>
            <w:tcW w:w="205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10+ years</w:t>
            </w:r>
          </w:p>
        </w:tc>
        <w:tc>
          <w:tcPr>
            <w:tcW w:w="224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0</w:t>
            </w:r>
          </w:p>
        </w:tc>
      </w:tr>
      <w:tr>
        <w:tblPrEx>
          <w:tblCellMar>
            <w:top w:w="0" w:type="dxa"/>
            <w:left w:w="108" w:type="dxa"/>
            <w:bottom w:w="0" w:type="dxa"/>
            <w:right w:w="108" w:type="dxa"/>
          </w:tblCellMar>
        </w:tblPrEx>
        <w:trPr>
          <w:trHeight w:val="280" w:hRule="atLeast"/>
          <w:jc w:val="center"/>
        </w:trPr>
        <w:tc>
          <w:tcPr>
            <w:tcW w:w="2082" w:type="dxa"/>
            <w:vMerge w:val="continue"/>
            <w:tcBorders>
              <w:top w:val="nil"/>
              <w:left w:val="nil"/>
              <w:bottom w:val="single" w:color="000000" w:sz="8" w:space="0"/>
              <w:right w:val="nil"/>
            </w:tcBorders>
            <w:shd w:val="clear" w:color="auto" w:fill="auto"/>
            <w:vAlign w:val="center"/>
          </w:tcPr>
          <w:p>
            <w:pPr>
              <w:pageBreakBefore w:val="0"/>
              <w:kinsoku/>
              <w:wordWrap/>
              <w:overflowPunct/>
              <w:topLinePunct w:val="0"/>
              <w:autoSpaceDE/>
              <w:autoSpaceDN/>
              <w:bidi w:val="0"/>
              <w:adjustRightInd/>
              <w:snapToGrid/>
              <w:spacing w:line="360" w:lineRule="auto"/>
              <w:ind w:firstLine="400" w:firstLineChars="200"/>
              <w:jc w:val="center"/>
              <w:rPr>
                <w:rFonts w:hint="default" w:ascii="Times New Roman" w:hAnsi="Times New Roman" w:eastAsia="宋体" w:cs="Times New Roman"/>
                <w:i w:val="0"/>
                <w:iCs w:val="0"/>
                <w:color w:val="000000"/>
                <w:sz w:val="20"/>
                <w:szCs w:val="20"/>
                <w:u w:val="none"/>
              </w:rPr>
            </w:pPr>
          </w:p>
        </w:tc>
        <w:tc>
          <w:tcPr>
            <w:tcW w:w="205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2 years</w:t>
            </w:r>
          </w:p>
        </w:tc>
        <w:tc>
          <w:tcPr>
            <w:tcW w:w="224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2</w:t>
            </w:r>
          </w:p>
        </w:tc>
      </w:tr>
      <w:tr>
        <w:tblPrEx>
          <w:shd w:val="clear" w:color="auto" w:fill="auto"/>
          <w:tblCellMar>
            <w:top w:w="0" w:type="dxa"/>
            <w:left w:w="108" w:type="dxa"/>
            <w:bottom w:w="0" w:type="dxa"/>
            <w:right w:w="108" w:type="dxa"/>
          </w:tblCellMar>
        </w:tblPrEx>
        <w:trPr>
          <w:trHeight w:val="280" w:hRule="atLeast"/>
          <w:jc w:val="center"/>
        </w:trPr>
        <w:tc>
          <w:tcPr>
            <w:tcW w:w="2082" w:type="dxa"/>
            <w:vMerge w:val="continue"/>
            <w:tcBorders>
              <w:top w:val="nil"/>
              <w:left w:val="nil"/>
              <w:bottom w:val="single" w:color="000000" w:sz="8" w:space="0"/>
              <w:right w:val="nil"/>
            </w:tcBorders>
            <w:shd w:val="clear" w:color="auto" w:fill="auto"/>
            <w:vAlign w:val="center"/>
          </w:tcPr>
          <w:p>
            <w:pPr>
              <w:pageBreakBefore w:val="0"/>
              <w:kinsoku/>
              <w:wordWrap/>
              <w:overflowPunct/>
              <w:topLinePunct w:val="0"/>
              <w:autoSpaceDE/>
              <w:autoSpaceDN/>
              <w:bidi w:val="0"/>
              <w:adjustRightInd/>
              <w:snapToGrid/>
              <w:spacing w:line="360" w:lineRule="auto"/>
              <w:ind w:firstLine="400" w:firstLineChars="200"/>
              <w:jc w:val="center"/>
              <w:rPr>
                <w:rFonts w:hint="default" w:ascii="Times New Roman" w:hAnsi="Times New Roman" w:eastAsia="宋体" w:cs="Times New Roman"/>
                <w:i w:val="0"/>
                <w:iCs w:val="0"/>
                <w:color w:val="000000"/>
                <w:sz w:val="20"/>
                <w:szCs w:val="20"/>
                <w:u w:val="none"/>
              </w:rPr>
            </w:pPr>
          </w:p>
        </w:tc>
        <w:tc>
          <w:tcPr>
            <w:tcW w:w="205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&lt; 1 year</w:t>
            </w:r>
          </w:p>
        </w:tc>
        <w:tc>
          <w:tcPr>
            <w:tcW w:w="224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5</w:t>
            </w:r>
          </w:p>
        </w:tc>
      </w:tr>
      <w:tr>
        <w:tblPrEx>
          <w:tblCellMar>
            <w:top w:w="0" w:type="dxa"/>
            <w:left w:w="108" w:type="dxa"/>
            <w:bottom w:w="0" w:type="dxa"/>
            <w:right w:w="108" w:type="dxa"/>
          </w:tblCellMar>
        </w:tblPrEx>
        <w:trPr>
          <w:trHeight w:val="280" w:hRule="atLeast"/>
          <w:jc w:val="center"/>
        </w:trPr>
        <w:tc>
          <w:tcPr>
            <w:tcW w:w="2082" w:type="dxa"/>
            <w:vMerge w:val="continue"/>
            <w:tcBorders>
              <w:top w:val="nil"/>
              <w:left w:val="nil"/>
              <w:bottom w:val="single" w:color="000000" w:sz="8" w:space="0"/>
              <w:right w:val="nil"/>
            </w:tcBorders>
            <w:shd w:val="clear" w:color="auto" w:fill="auto"/>
            <w:vAlign w:val="center"/>
          </w:tcPr>
          <w:p>
            <w:pPr>
              <w:pageBreakBefore w:val="0"/>
              <w:kinsoku/>
              <w:wordWrap/>
              <w:overflowPunct/>
              <w:topLinePunct w:val="0"/>
              <w:autoSpaceDE/>
              <w:autoSpaceDN/>
              <w:bidi w:val="0"/>
              <w:adjustRightInd/>
              <w:snapToGrid/>
              <w:spacing w:line="360" w:lineRule="auto"/>
              <w:ind w:firstLine="400" w:firstLineChars="200"/>
              <w:jc w:val="center"/>
              <w:rPr>
                <w:rFonts w:hint="default" w:ascii="Times New Roman" w:hAnsi="Times New Roman" w:eastAsia="宋体" w:cs="Times New Roman"/>
                <w:i w:val="0"/>
                <w:iCs w:val="0"/>
                <w:color w:val="000000"/>
                <w:sz w:val="20"/>
                <w:szCs w:val="20"/>
                <w:u w:val="none"/>
              </w:rPr>
            </w:pPr>
          </w:p>
        </w:tc>
        <w:tc>
          <w:tcPr>
            <w:tcW w:w="205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3 years</w:t>
            </w:r>
          </w:p>
        </w:tc>
        <w:tc>
          <w:tcPr>
            <w:tcW w:w="224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8</w:t>
            </w:r>
          </w:p>
        </w:tc>
      </w:tr>
      <w:tr>
        <w:tblPrEx>
          <w:tblCellMar>
            <w:top w:w="0" w:type="dxa"/>
            <w:left w:w="108" w:type="dxa"/>
            <w:bottom w:w="0" w:type="dxa"/>
            <w:right w:w="108" w:type="dxa"/>
          </w:tblCellMar>
        </w:tblPrEx>
        <w:trPr>
          <w:trHeight w:val="280" w:hRule="atLeast"/>
          <w:jc w:val="center"/>
        </w:trPr>
        <w:tc>
          <w:tcPr>
            <w:tcW w:w="2082" w:type="dxa"/>
            <w:vMerge w:val="continue"/>
            <w:tcBorders>
              <w:top w:val="nil"/>
              <w:left w:val="nil"/>
              <w:bottom w:val="single" w:color="000000" w:sz="8" w:space="0"/>
              <w:right w:val="nil"/>
            </w:tcBorders>
            <w:shd w:val="clear" w:color="auto" w:fill="auto"/>
            <w:vAlign w:val="center"/>
          </w:tcPr>
          <w:p>
            <w:pPr>
              <w:pageBreakBefore w:val="0"/>
              <w:kinsoku/>
              <w:wordWrap/>
              <w:overflowPunct/>
              <w:topLinePunct w:val="0"/>
              <w:autoSpaceDE/>
              <w:autoSpaceDN/>
              <w:bidi w:val="0"/>
              <w:adjustRightInd/>
              <w:snapToGrid/>
              <w:spacing w:line="360" w:lineRule="auto"/>
              <w:ind w:firstLine="400" w:firstLineChars="200"/>
              <w:jc w:val="center"/>
              <w:rPr>
                <w:rFonts w:hint="default" w:ascii="Times New Roman" w:hAnsi="Times New Roman" w:eastAsia="宋体" w:cs="Times New Roman"/>
                <w:i w:val="0"/>
                <w:iCs w:val="0"/>
                <w:color w:val="000000"/>
                <w:sz w:val="20"/>
                <w:szCs w:val="20"/>
                <w:u w:val="none"/>
              </w:rPr>
            </w:pPr>
          </w:p>
        </w:tc>
        <w:tc>
          <w:tcPr>
            <w:tcW w:w="205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1 year</w:t>
            </w:r>
          </w:p>
        </w:tc>
        <w:tc>
          <w:tcPr>
            <w:tcW w:w="224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10</w:t>
            </w:r>
          </w:p>
        </w:tc>
      </w:tr>
      <w:tr>
        <w:tblPrEx>
          <w:shd w:val="clear" w:color="auto" w:fill="auto"/>
          <w:tblCellMar>
            <w:top w:w="0" w:type="dxa"/>
            <w:left w:w="108" w:type="dxa"/>
            <w:bottom w:w="0" w:type="dxa"/>
            <w:right w:w="108" w:type="dxa"/>
          </w:tblCellMar>
        </w:tblPrEx>
        <w:trPr>
          <w:trHeight w:val="280" w:hRule="atLeast"/>
          <w:jc w:val="center"/>
        </w:trPr>
        <w:tc>
          <w:tcPr>
            <w:tcW w:w="2082" w:type="dxa"/>
            <w:vMerge w:val="continue"/>
            <w:tcBorders>
              <w:top w:val="nil"/>
              <w:left w:val="nil"/>
              <w:bottom w:val="single" w:color="000000" w:sz="8" w:space="0"/>
              <w:right w:val="nil"/>
            </w:tcBorders>
            <w:shd w:val="clear" w:color="auto" w:fill="auto"/>
            <w:vAlign w:val="center"/>
          </w:tcPr>
          <w:p>
            <w:pPr>
              <w:pageBreakBefore w:val="0"/>
              <w:kinsoku/>
              <w:wordWrap/>
              <w:overflowPunct/>
              <w:topLinePunct w:val="0"/>
              <w:autoSpaceDE/>
              <w:autoSpaceDN/>
              <w:bidi w:val="0"/>
              <w:adjustRightInd/>
              <w:snapToGrid/>
              <w:spacing w:line="360" w:lineRule="auto"/>
              <w:ind w:firstLine="400" w:firstLineChars="200"/>
              <w:jc w:val="center"/>
              <w:rPr>
                <w:rFonts w:hint="default" w:ascii="Times New Roman" w:hAnsi="Times New Roman" w:eastAsia="宋体" w:cs="Times New Roman"/>
                <w:i w:val="0"/>
                <w:iCs w:val="0"/>
                <w:color w:val="000000"/>
                <w:sz w:val="20"/>
                <w:szCs w:val="20"/>
                <w:u w:val="none"/>
              </w:rPr>
            </w:pPr>
          </w:p>
        </w:tc>
        <w:tc>
          <w:tcPr>
            <w:tcW w:w="205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5 years</w:t>
            </w:r>
          </w:p>
        </w:tc>
        <w:tc>
          <w:tcPr>
            <w:tcW w:w="224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7</w:t>
            </w:r>
          </w:p>
        </w:tc>
      </w:tr>
      <w:tr>
        <w:tblPrEx>
          <w:shd w:val="clear" w:color="auto" w:fill="auto"/>
          <w:tblCellMar>
            <w:top w:w="0" w:type="dxa"/>
            <w:left w:w="108" w:type="dxa"/>
            <w:bottom w:w="0" w:type="dxa"/>
            <w:right w:w="108" w:type="dxa"/>
          </w:tblCellMar>
        </w:tblPrEx>
        <w:trPr>
          <w:trHeight w:val="280" w:hRule="atLeast"/>
          <w:jc w:val="center"/>
        </w:trPr>
        <w:tc>
          <w:tcPr>
            <w:tcW w:w="2082" w:type="dxa"/>
            <w:vMerge w:val="continue"/>
            <w:tcBorders>
              <w:top w:val="nil"/>
              <w:left w:val="nil"/>
              <w:bottom w:val="single" w:color="000000" w:sz="8" w:space="0"/>
              <w:right w:val="nil"/>
            </w:tcBorders>
            <w:shd w:val="clear" w:color="auto" w:fill="auto"/>
            <w:vAlign w:val="center"/>
          </w:tcPr>
          <w:p>
            <w:pPr>
              <w:pageBreakBefore w:val="0"/>
              <w:kinsoku/>
              <w:wordWrap/>
              <w:overflowPunct/>
              <w:topLinePunct w:val="0"/>
              <w:autoSpaceDE/>
              <w:autoSpaceDN/>
              <w:bidi w:val="0"/>
              <w:adjustRightInd/>
              <w:snapToGrid/>
              <w:spacing w:line="360" w:lineRule="auto"/>
              <w:ind w:firstLine="400" w:firstLineChars="200"/>
              <w:jc w:val="center"/>
              <w:rPr>
                <w:rFonts w:hint="default" w:ascii="Times New Roman" w:hAnsi="Times New Roman" w:eastAsia="宋体" w:cs="Times New Roman"/>
                <w:i w:val="0"/>
                <w:iCs w:val="0"/>
                <w:color w:val="000000"/>
                <w:sz w:val="20"/>
                <w:szCs w:val="20"/>
                <w:u w:val="none"/>
              </w:rPr>
            </w:pPr>
          </w:p>
        </w:tc>
        <w:tc>
          <w:tcPr>
            <w:tcW w:w="205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4 years</w:t>
            </w:r>
          </w:p>
        </w:tc>
        <w:tc>
          <w:tcPr>
            <w:tcW w:w="224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9</w:t>
            </w:r>
          </w:p>
        </w:tc>
      </w:tr>
      <w:tr>
        <w:tblPrEx>
          <w:tblCellMar>
            <w:top w:w="0" w:type="dxa"/>
            <w:left w:w="108" w:type="dxa"/>
            <w:bottom w:w="0" w:type="dxa"/>
            <w:right w:w="108" w:type="dxa"/>
          </w:tblCellMar>
        </w:tblPrEx>
        <w:trPr>
          <w:trHeight w:val="280" w:hRule="atLeast"/>
          <w:jc w:val="center"/>
        </w:trPr>
        <w:tc>
          <w:tcPr>
            <w:tcW w:w="2082" w:type="dxa"/>
            <w:vMerge w:val="continue"/>
            <w:tcBorders>
              <w:top w:val="nil"/>
              <w:left w:val="nil"/>
              <w:bottom w:val="single" w:color="000000" w:sz="8" w:space="0"/>
              <w:right w:val="nil"/>
            </w:tcBorders>
            <w:shd w:val="clear" w:color="auto" w:fill="auto"/>
            <w:vAlign w:val="center"/>
          </w:tcPr>
          <w:p>
            <w:pPr>
              <w:pageBreakBefore w:val="0"/>
              <w:kinsoku/>
              <w:wordWrap/>
              <w:overflowPunct/>
              <w:topLinePunct w:val="0"/>
              <w:autoSpaceDE/>
              <w:autoSpaceDN/>
              <w:bidi w:val="0"/>
              <w:adjustRightInd/>
              <w:snapToGrid/>
              <w:spacing w:line="360" w:lineRule="auto"/>
              <w:ind w:firstLine="400" w:firstLineChars="200"/>
              <w:jc w:val="center"/>
              <w:rPr>
                <w:rFonts w:hint="default" w:ascii="Times New Roman" w:hAnsi="Times New Roman" w:eastAsia="宋体" w:cs="Times New Roman"/>
                <w:i w:val="0"/>
                <w:iCs w:val="0"/>
                <w:color w:val="000000"/>
                <w:sz w:val="20"/>
                <w:szCs w:val="20"/>
                <w:u w:val="none"/>
              </w:rPr>
            </w:pPr>
          </w:p>
        </w:tc>
        <w:tc>
          <w:tcPr>
            <w:tcW w:w="205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6 years</w:t>
            </w:r>
          </w:p>
        </w:tc>
        <w:tc>
          <w:tcPr>
            <w:tcW w:w="224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1</w:t>
            </w:r>
          </w:p>
        </w:tc>
      </w:tr>
      <w:tr>
        <w:tblPrEx>
          <w:tblCellMar>
            <w:top w:w="0" w:type="dxa"/>
            <w:left w:w="108" w:type="dxa"/>
            <w:bottom w:w="0" w:type="dxa"/>
            <w:right w:w="108" w:type="dxa"/>
          </w:tblCellMar>
        </w:tblPrEx>
        <w:trPr>
          <w:trHeight w:val="295" w:hRule="atLeast"/>
          <w:jc w:val="center"/>
        </w:trPr>
        <w:tc>
          <w:tcPr>
            <w:tcW w:w="2082" w:type="dxa"/>
            <w:vMerge w:val="continue"/>
            <w:tcBorders>
              <w:top w:val="nil"/>
              <w:left w:val="nil"/>
              <w:bottom w:val="single" w:color="000000" w:sz="8" w:space="0"/>
              <w:right w:val="nil"/>
            </w:tcBorders>
            <w:shd w:val="clear" w:color="auto" w:fill="auto"/>
            <w:vAlign w:val="center"/>
          </w:tcPr>
          <w:p>
            <w:pPr>
              <w:pageBreakBefore w:val="0"/>
              <w:kinsoku/>
              <w:wordWrap/>
              <w:overflowPunct/>
              <w:topLinePunct w:val="0"/>
              <w:autoSpaceDE/>
              <w:autoSpaceDN/>
              <w:bidi w:val="0"/>
              <w:adjustRightInd/>
              <w:snapToGrid/>
              <w:spacing w:line="360" w:lineRule="auto"/>
              <w:ind w:firstLine="400" w:firstLineChars="200"/>
              <w:jc w:val="center"/>
              <w:rPr>
                <w:rFonts w:hint="default" w:ascii="Times New Roman" w:hAnsi="Times New Roman" w:eastAsia="宋体" w:cs="Times New Roman"/>
                <w:i w:val="0"/>
                <w:iCs w:val="0"/>
                <w:color w:val="000000"/>
                <w:sz w:val="20"/>
                <w:szCs w:val="20"/>
                <w:u w:val="none"/>
              </w:rPr>
            </w:pPr>
          </w:p>
        </w:tc>
        <w:tc>
          <w:tcPr>
            <w:tcW w:w="205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8 years</w:t>
            </w:r>
          </w:p>
        </w:tc>
        <w:tc>
          <w:tcPr>
            <w:tcW w:w="224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3</w:t>
            </w:r>
          </w:p>
        </w:tc>
      </w:tr>
      <w:tr>
        <w:tblPrEx>
          <w:shd w:val="clear" w:color="auto" w:fill="auto"/>
          <w:tblCellMar>
            <w:top w:w="0" w:type="dxa"/>
            <w:left w:w="108" w:type="dxa"/>
            <w:bottom w:w="0" w:type="dxa"/>
            <w:right w:w="108" w:type="dxa"/>
          </w:tblCellMar>
        </w:tblPrEx>
        <w:trPr>
          <w:trHeight w:val="280" w:hRule="atLeast"/>
          <w:jc w:val="center"/>
        </w:trPr>
        <w:tc>
          <w:tcPr>
            <w:tcW w:w="2082" w:type="dxa"/>
            <w:vMerge w:val="continue"/>
            <w:tcBorders>
              <w:top w:val="nil"/>
              <w:left w:val="nil"/>
              <w:bottom w:val="single" w:color="000000" w:sz="8" w:space="0"/>
              <w:right w:val="nil"/>
            </w:tcBorders>
            <w:shd w:val="clear" w:color="auto" w:fill="auto"/>
            <w:vAlign w:val="center"/>
          </w:tcPr>
          <w:p>
            <w:pPr>
              <w:pageBreakBefore w:val="0"/>
              <w:kinsoku/>
              <w:wordWrap/>
              <w:overflowPunct/>
              <w:topLinePunct w:val="0"/>
              <w:autoSpaceDE/>
              <w:autoSpaceDN/>
              <w:bidi w:val="0"/>
              <w:adjustRightInd/>
              <w:snapToGrid/>
              <w:spacing w:line="360" w:lineRule="auto"/>
              <w:ind w:firstLine="400" w:firstLineChars="200"/>
              <w:jc w:val="center"/>
              <w:rPr>
                <w:rFonts w:hint="default" w:ascii="Times New Roman" w:hAnsi="Times New Roman" w:eastAsia="宋体" w:cs="Times New Roman"/>
                <w:i w:val="0"/>
                <w:iCs w:val="0"/>
                <w:color w:val="000000"/>
                <w:sz w:val="20"/>
                <w:szCs w:val="20"/>
                <w:u w:val="none"/>
              </w:rPr>
            </w:pPr>
          </w:p>
        </w:tc>
        <w:tc>
          <w:tcPr>
            <w:tcW w:w="205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7 years</w:t>
            </w:r>
          </w:p>
        </w:tc>
        <w:tc>
          <w:tcPr>
            <w:tcW w:w="224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left"/>
              <w:textAlignment w:val="center"/>
              <w:rPr>
                <w:rFonts w:hint="default" w:ascii="Times New Roman" w:hAnsi="Times New Roman" w:eastAsia="宋体" w:cs="Times New Roman"/>
                <w:i w:val="0"/>
                <w:iCs w:val="0"/>
                <w:color w:val="000000"/>
                <w:sz w:val="20"/>
                <w:szCs w:val="20"/>
                <w:u w:val="none"/>
              </w:rPr>
            </w:pPr>
            <w:r>
              <w:rPr>
                <w:rFonts w:hint="default" w:ascii="Times New Roman" w:hAnsi="Times New Roman" w:eastAsia="宋体" w:cs="Times New Roman"/>
                <w:i w:val="0"/>
                <w:iCs w:val="0"/>
                <w:color w:val="000000"/>
                <w:kern w:val="0"/>
                <w:sz w:val="20"/>
                <w:szCs w:val="20"/>
                <w:u w:val="none"/>
                <w:lang w:val="en-US" w:eastAsia="zh-CN" w:bidi="ar"/>
              </w:rPr>
              <w:t>4</w:t>
            </w:r>
          </w:p>
        </w:tc>
      </w:tr>
      <w:tr>
        <w:tblPrEx>
          <w:shd w:val="clear" w:color="auto" w:fill="auto"/>
          <w:tblCellMar>
            <w:top w:w="0" w:type="dxa"/>
            <w:left w:w="108" w:type="dxa"/>
            <w:bottom w:w="0" w:type="dxa"/>
            <w:right w:w="108" w:type="dxa"/>
          </w:tblCellMar>
        </w:tblPrEx>
        <w:trPr>
          <w:trHeight w:val="295" w:hRule="atLeast"/>
          <w:jc w:val="center"/>
        </w:trPr>
        <w:tc>
          <w:tcPr>
            <w:tcW w:w="2082" w:type="dxa"/>
            <w:vMerge w:val="continue"/>
            <w:tcBorders>
              <w:top w:val="nil"/>
              <w:left w:val="nil"/>
              <w:bottom w:val="single" w:color="000000" w:sz="8" w:space="0"/>
              <w:right w:val="nil"/>
            </w:tcBorders>
            <w:shd w:val="clear" w:color="auto" w:fill="auto"/>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default" w:ascii="Times New Roman" w:hAnsi="Times New Roman" w:eastAsia="宋体" w:cs="Times New Roman"/>
                <w:i w:val="0"/>
                <w:iCs w:val="0"/>
                <w:color w:val="000000"/>
                <w:sz w:val="21"/>
                <w:szCs w:val="21"/>
                <w:u w:val="none"/>
              </w:rPr>
            </w:pPr>
          </w:p>
        </w:tc>
        <w:tc>
          <w:tcPr>
            <w:tcW w:w="2050" w:type="dxa"/>
            <w:tcBorders>
              <w:top w:val="nil"/>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9 years</w:t>
            </w:r>
          </w:p>
        </w:tc>
        <w:tc>
          <w:tcPr>
            <w:tcW w:w="2242" w:type="dxa"/>
            <w:tcBorders>
              <w:top w:val="nil"/>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6</w:t>
            </w:r>
          </w:p>
        </w:tc>
      </w:tr>
    </w:tbl>
    <w:p>
      <w:pPr>
        <w:pageBreakBefore w:val="0"/>
        <w:kinsoku/>
        <w:wordWrap/>
        <w:overflowPunct/>
        <w:topLinePunct w:val="0"/>
        <w:autoSpaceDE/>
        <w:autoSpaceDN/>
        <w:bidi w:val="0"/>
        <w:adjustRightInd/>
        <w:snapToGrid/>
        <w:spacing w:line="360" w:lineRule="auto"/>
        <w:jc w:val="both"/>
        <w:rPr>
          <w:rStyle w:val="9"/>
          <w:rFonts w:hint="eastAsia"/>
          <w:sz w:val="24"/>
          <w:szCs w:val="24"/>
          <w:lang w:val="en-US" w:eastAsia="zh-CN" w:bidi="ar"/>
        </w:rPr>
      </w:pPr>
    </w:p>
    <w:p>
      <w:pPr>
        <w:pageBreakBefore w:val="0"/>
        <w:kinsoku/>
        <w:wordWrap/>
        <w:overflowPunct/>
        <w:topLinePunct w:val="0"/>
        <w:autoSpaceDE/>
        <w:autoSpaceDN/>
        <w:bidi w:val="0"/>
        <w:adjustRightInd/>
        <w:snapToGrid/>
        <w:spacing w:line="360" w:lineRule="auto"/>
        <w:ind w:firstLine="480" w:firstLineChars="200"/>
        <w:jc w:val="center"/>
        <w:rPr>
          <w:rStyle w:val="9"/>
          <w:rFonts w:hint="default"/>
          <w:sz w:val="24"/>
          <w:szCs w:val="24"/>
          <w:lang w:val="en-US" w:eastAsia="zh-CN" w:bidi="ar"/>
        </w:rPr>
      </w:pPr>
      <w:r>
        <w:rPr>
          <w:rStyle w:val="9"/>
          <w:rFonts w:hint="eastAsia"/>
          <w:sz w:val="24"/>
          <w:szCs w:val="24"/>
          <w:lang w:val="en-US" w:eastAsia="zh-CN" w:bidi="ar"/>
        </w:rPr>
        <w:t>表3：对“</w:t>
      </w:r>
      <w:r>
        <w:rPr>
          <w:rFonts w:hint="default" w:ascii="Times New Roman" w:hAnsi="Times New Roman" w:eastAsia="宋体" w:cs="Times New Roman"/>
          <w:i w:val="0"/>
          <w:iCs w:val="0"/>
          <w:color w:val="000000"/>
          <w:kern w:val="0"/>
          <w:sz w:val="24"/>
          <w:szCs w:val="24"/>
          <w:u w:val="none"/>
          <w:lang w:val="en-US" w:eastAsia="zh-CN" w:bidi="ar"/>
        </w:rPr>
        <w:t>issueDate</w:t>
      </w:r>
      <w:r>
        <w:rPr>
          <w:rStyle w:val="9"/>
          <w:rFonts w:hint="eastAsia"/>
          <w:sz w:val="24"/>
          <w:szCs w:val="24"/>
          <w:lang w:val="en-US" w:eastAsia="zh-CN" w:bidi="ar"/>
        </w:rPr>
        <w:t>”和“</w:t>
      </w:r>
      <w:r>
        <w:rPr>
          <w:rFonts w:hint="default" w:ascii="Times New Roman" w:hAnsi="Times New Roman" w:eastAsia="宋体" w:cs="Times New Roman"/>
          <w:i w:val="0"/>
          <w:iCs w:val="0"/>
          <w:color w:val="000000"/>
          <w:kern w:val="0"/>
          <w:sz w:val="24"/>
          <w:szCs w:val="24"/>
          <w:u w:val="none"/>
          <w:lang w:val="en-US" w:eastAsia="zh-CN" w:bidi="ar"/>
        </w:rPr>
        <w:t>earliesCreditLine</w:t>
      </w:r>
      <w:r>
        <w:rPr>
          <w:rStyle w:val="9"/>
          <w:rFonts w:hint="eastAsia"/>
          <w:sz w:val="24"/>
          <w:szCs w:val="24"/>
          <w:lang w:val="en-US" w:eastAsia="zh-CN" w:bidi="ar"/>
        </w:rPr>
        <w:t>”合并为“</w:t>
      </w:r>
      <w:r>
        <w:rPr>
          <w:rFonts w:hint="default" w:ascii="Times New Roman" w:hAnsi="Times New Roman" w:eastAsia="宋体" w:cs="Times New Roman"/>
          <w:i w:val="0"/>
          <w:iCs w:val="0"/>
          <w:color w:val="000000"/>
          <w:kern w:val="0"/>
          <w:sz w:val="24"/>
          <w:szCs w:val="24"/>
          <w:u w:val="none"/>
          <w:lang w:val="en-US" w:eastAsia="zh-CN" w:bidi="ar"/>
        </w:rPr>
        <w:t>CreditLine</w:t>
      </w:r>
      <w:r>
        <w:rPr>
          <w:rStyle w:val="9"/>
          <w:rFonts w:hint="eastAsia"/>
          <w:sz w:val="24"/>
          <w:szCs w:val="24"/>
          <w:lang w:val="en-US" w:eastAsia="zh-CN" w:bidi="ar"/>
        </w:rPr>
        <w:t>”（</w:t>
      </w:r>
      <w:r>
        <w:rPr>
          <w:rStyle w:val="9"/>
          <w:rFonts w:hint="eastAsia"/>
          <w:i w:val="0"/>
          <w:iCs w:val="0"/>
          <w:color w:val="000000"/>
          <w:sz w:val="24"/>
          <w:szCs w:val="24"/>
          <w:lang w:val="en-US" w:eastAsia="zh-CN" w:bidi="ar"/>
        </w:rPr>
        <w:t>最早报告信用</w:t>
      </w:r>
      <w:r>
        <w:rPr>
          <w:rStyle w:val="9"/>
          <w:rFonts w:hint="eastAsia"/>
          <w:i w:val="0"/>
          <w:iCs w:val="0"/>
          <w:color w:val="000000"/>
          <w:sz w:val="24"/>
          <w:szCs w:val="24"/>
          <w:lang w:val="en-US" w:eastAsia="zh-CN" w:bidi="ar"/>
        </w:rPr>
        <w:tab/>
      </w:r>
      <w:r>
        <w:rPr>
          <w:rStyle w:val="9"/>
          <w:rFonts w:hint="eastAsia"/>
          <w:i w:val="0"/>
          <w:iCs w:val="0"/>
          <w:color w:val="000000"/>
          <w:sz w:val="24"/>
          <w:szCs w:val="24"/>
          <w:lang w:val="en-US" w:eastAsia="zh-CN" w:bidi="ar"/>
        </w:rPr>
        <w:tab/>
      </w:r>
      <w:r>
        <w:rPr>
          <w:rStyle w:val="9"/>
          <w:rFonts w:hint="eastAsia"/>
          <w:i w:val="0"/>
          <w:iCs w:val="0"/>
          <w:color w:val="000000"/>
          <w:sz w:val="24"/>
          <w:szCs w:val="24"/>
          <w:lang w:val="en-US" w:eastAsia="zh-CN" w:bidi="ar"/>
        </w:rPr>
        <w:t>额度开立的到贷款发放时的时长（年）</w:t>
      </w:r>
      <w:r>
        <w:rPr>
          <w:rStyle w:val="9"/>
          <w:rFonts w:hint="eastAsia"/>
          <w:sz w:val="24"/>
          <w:szCs w:val="24"/>
          <w:lang w:val="en-US" w:eastAsia="zh-CN" w:bidi="ar"/>
        </w:rPr>
        <w:t>）</w:t>
      </w:r>
    </w:p>
    <w:tbl>
      <w:tblPr>
        <w:tblStyle w:val="7"/>
        <w:tblW w:w="7124" w:type="dxa"/>
        <w:jc w:val="center"/>
        <w:shd w:val="clear" w:color="auto" w:fill="auto"/>
        <w:tblLayout w:type="fixed"/>
        <w:tblCellMar>
          <w:top w:w="0" w:type="dxa"/>
          <w:left w:w="108" w:type="dxa"/>
          <w:bottom w:w="0" w:type="dxa"/>
          <w:right w:w="108" w:type="dxa"/>
        </w:tblCellMar>
      </w:tblPr>
      <w:tblGrid>
        <w:gridCol w:w="1924"/>
        <w:gridCol w:w="2733"/>
        <w:gridCol w:w="2467"/>
      </w:tblGrid>
      <w:tr>
        <w:tblPrEx>
          <w:shd w:val="clear" w:color="auto" w:fill="auto"/>
          <w:tblCellMar>
            <w:top w:w="0" w:type="dxa"/>
            <w:left w:w="108" w:type="dxa"/>
            <w:bottom w:w="0" w:type="dxa"/>
            <w:right w:w="108" w:type="dxa"/>
          </w:tblCellMar>
        </w:tblPrEx>
        <w:trPr>
          <w:trHeight w:val="295" w:hRule="atLeast"/>
          <w:jc w:val="center"/>
        </w:trPr>
        <w:tc>
          <w:tcPr>
            <w:tcW w:w="1924" w:type="dxa"/>
            <w:tcBorders>
              <w:top w:val="single" w:color="000000" w:sz="8" w:space="0"/>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issueDate</w:t>
            </w:r>
            <w:r>
              <w:rPr>
                <w:rFonts w:hint="eastAsia" w:ascii="Times New Roman" w:hAnsi="Times New Roman" w:eastAsia="宋体" w:cs="Times New Roman"/>
                <w:i w:val="0"/>
                <w:iCs w:val="0"/>
                <w:color w:val="000000"/>
                <w:kern w:val="0"/>
                <w:sz w:val="21"/>
                <w:szCs w:val="21"/>
                <w:u w:val="none"/>
                <w:lang w:val="en-US" w:eastAsia="zh-CN" w:bidi="ar"/>
              </w:rPr>
              <w:t>（部分）</w:t>
            </w:r>
          </w:p>
        </w:tc>
        <w:tc>
          <w:tcPr>
            <w:tcW w:w="2733" w:type="dxa"/>
            <w:tcBorders>
              <w:top w:val="single" w:color="000000" w:sz="8" w:space="0"/>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earliesCreditLine</w:t>
            </w:r>
            <w:r>
              <w:rPr>
                <w:rFonts w:hint="eastAsia" w:ascii="Times New Roman" w:hAnsi="Times New Roman" w:eastAsia="宋体" w:cs="Times New Roman"/>
                <w:i w:val="0"/>
                <w:iCs w:val="0"/>
                <w:color w:val="000000"/>
                <w:kern w:val="0"/>
                <w:sz w:val="21"/>
                <w:szCs w:val="21"/>
                <w:u w:val="none"/>
                <w:lang w:val="en-US" w:eastAsia="zh-CN" w:bidi="ar"/>
              </w:rPr>
              <w:t>（部分）</w:t>
            </w:r>
          </w:p>
        </w:tc>
        <w:tc>
          <w:tcPr>
            <w:tcW w:w="2467" w:type="dxa"/>
            <w:tcBorders>
              <w:top w:val="single" w:color="000000" w:sz="8" w:space="0"/>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CreditLine</w:t>
            </w:r>
            <w:r>
              <w:rPr>
                <w:rFonts w:hint="eastAsia" w:ascii="宋体" w:hAnsi="宋体" w:eastAsia="宋体" w:cs="宋体"/>
                <w:i w:val="0"/>
                <w:iCs w:val="0"/>
                <w:color w:val="000000"/>
                <w:kern w:val="0"/>
                <w:sz w:val="21"/>
                <w:szCs w:val="21"/>
                <w:u w:val="none"/>
                <w:lang w:val="en-US" w:eastAsia="zh-CN" w:bidi="ar"/>
              </w:rPr>
              <w:t>（年）</w:t>
            </w:r>
          </w:p>
        </w:tc>
      </w:tr>
      <w:tr>
        <w:tblPrEx>
          <w:shd w:val="clear" w:color="auto" w:fill="auto"/>
          <w:tblCellMar>
            <w:top w:w="0" w:type="dxa"/>
            <w:left w:w="108" w:type="dxa"/>
            <w:bottom w:w="0" w:type="dxa"/>
            <w:right w:w="108" w:type="dxa"/>
          </w:tblCellMar>
        </w:tblPrEx>
        <w:trPr>
          <w:trHeight w:val="295" w:hRule="atLeast"/>
          <w:jc w:val="center"/>
        </w:trPr>
        <w:tc>
          <w:tcPr>
            <w:tcW w:w="192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2014/7/1</w:t>
            </w:r>
          </w:p>
        </w:tc>
        <w:tc>
          <w:tcPr>
            <w:tcW w:w="2733"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Aug-01</w:t>
            </w:r>
          </w:p>
        </w:tc>
        <w:tc>
          <w:tcPr>
            <w:tcW w:w="246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13</w:t>
            </w:r>
          </w:p>
        </w:tc>
      </w:tr>
      <w:tr>
        <w:tblPrEx>
          <w:tblCellMar>
            <w:top w:w="0" w:type="dxa"/>
            <w:left w:w="108" w:type="dxa"/>
            <w:bottom w:w="0" w:type="dxa"/>
            <w:right w:w="108" w:type="dxa"/>
          </w:tblCellMar>
        </w:tblPrEx>
        <w:trPr>
          <w:trHeight w:val="280" w:hRule="atLeast"/>
          <w:jc w:val="center"/>
        </w:trPr>
        <w:tc>
          <w:tcPr>
            <w:tcW w:w="192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2012/8/1</w:t>
            </w:r>
          </w:p>
        </w:tc>
        <w:tc>
          <w:tcPr>
            <w:tcW w:w="2733"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May-02</w:t>
            </w:r>
          </w:p>
        </w:tc>
        <w:tc>
          <w:tcPr>
            <w:tcW w:w="246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10</w:t>
            </w:r>
          </w:p>
        </w:tc>
      </w:tr>
      <w:tr>
        <w:tblPrEx>
          <w:tblCellMar>
            <w:top w:w="0" w:type="dxa"/>
            <w:left w:w="108" w:type="dxa"/>
            <w:bottom w:w="0" w:type="dxa"/>
            <w:right w:w="108" w:type="dxa"/>
          </w:tblCellMar>
        </w:tblPrEx>
        <w:trPr>
          <w:trHeight w:val="280" w:hRule="atLeast"/>
          <w:jc w:val="center"/>
        </w:trPr>
        <w:tc>
          <w:tcPr>
            <w:tcW w:w="192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2015/10/1</w:t>
            </w:r>
          </w:p>
        </w:tc>
        <w:tc>
          <w:tcPr>
            <w:tcW w:w="2733"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May-06</w:t>
            </w:r>
          </w:p>
        </w:tc>
        <w:tc>
          <w:tcPr>
            <w:tcW w:w="246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9</w:t>
            </w:r>
          </w:p>
        </w:tc>
      </w:tr>
      <w:tr>
        <w:tblPrEx>
          <w:shd w:val="clear" w:color="auto" w:fill="auto"/>
          <w:tblCellMar>
            <w:top w:w="0" w:type="dxa"/>
            <w:left w:w="108" w:type="dxa"/>
            <w:bottom w:w="0" w:type="dxa"/>
            <w:right w:w="108" w:type="dxa"/>
          </w:tblCellMar>
        </w:tblPrEx>
        <w:trPr>
          <w:trHeight w:val="280" w:hRule="atLeast"/>
          <w:jc w:val="center"/>
        </w:trPr>
        <w:tc>
          <w:tcPr>
            <w:tcW w:w="192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2015/8/1</w:t>
            </w:r>
          </w:p>
        </w:tc>
        <w:tc>
          <w:tcPr>
            <w:tcW w:w="2733"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May-99</w:t>
            </w:r>
          </w:p>
        </w:tc>
        <w:tc>
          <w:tcPr>
            <w:tcW w:w="246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16</w:t>
            </w:r>
          </w:p>
        </w:tc>
      </w:tr>
      <w:tr>
        <w:tblPrEx>
          <w:shd w:val="clear" w:color="auto" w:fill="auto"/>
          <w:tblCellMar>
            <w:top w:w="0" w:type="dxa"/>
            <w:left w:w="108" w:type="dxa"/>
            <w:bottom w:w="0" w:type="dxa"/>
            <w:right w:w="108" w:type="dxa"/>
          </w:tblCellMar>
        </w:tblPrEx>
        <w:trPr>
          <w:trHeight w:val="295" w:hRule="atLeast"/>
          <w:jc w:val="center"/>
        </w:trPr>
        <w:tc>
          <w:tcPr>
            <w:tcW w:w="1924" w:type="dxa"/>
            <w:tcBorders>
              <w:top w:val="nil"/>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2016/3/1</w:t>
            </w:r>
          </w:p>
        </w:tc>
        <w:tc>
          <w:tcPr>
            <w:tcW w:w="2733" w:type="dxa"/>
            <w:tcBorders>
              <w:top w:val="nil"/>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Aug-77</w:t>
            </w:r>
          </w:p>
        </w:tc>
        <w:tc>
          <w:tcPr>
            <w:tcW w:w="2467" w:type="dxa"/>
            <w:tcBorders>
              <w:top w:val="nil"/>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39</w:t>
            </w:r>
          </w:p>
        </w:tc>
      </w:tr>
    </w:tbl>
    <w:p>
      <w:pPr>
        <w:pageBreakBefore w:val="0"/>
        <w:kinsoku/>
        <w:wordWrap/>
        <w:overflowPunct/>
        <w:topLinePunct w:val="0"/>
        <w:autoSpaceDE/>
        <w:autoSpaceDN/>
        <w:bidi w:val="0"/>
        <w:adjustRightInd/>
        <w:snapToGrid/>
        <w:spacing w:line="360" w:lineRule="auto"/>
        <w:jc w:val="both"/>
        <w:rPr>
          <w:rStyle w:val="9"/>
          <w:rFonts w:hint="eastAsia"/>
          <w:sz w:val="24"/>
          <w:szCs w:val="24"/>
          <w:lang w:val="en-US" w:eastAsia="zh-CN" w:bidi="ar"/>
        </w:rPr>
      </w:pPr>
    </w:p>
    <w:p>
      <w:pPr>
        <w:pageBreakBefore w:val="0"/>
        <w:kinsoku/>
        <w:wordWrap/>
        <w:overflowPunct/>
        <w:topLinePunct w:val="0"/>
        <w:autoSpaceDE/>
        <w:autoSpaceDN/>
        <w:bidi w:val="0"/>
        <w:adjustRightInd/>
        <w:snapToGrid/>
        <w:spacing w:line="360" w:lineRule="auto"/>
        <w:ind w:left="420" w:leftChars="0" w:firstLine="480" w:firstLineChars="200"/>
        <w:jc w:val="center"/>
        <w:rPr>
          <w:rStyle w:val="9"/>
          <w:rFonts w:hint="default"/>
          <w:sz w:val="24"/>
          <w:szCs w:val="24"/>
          <w:lang w:val="en-US" w:eastAsia="zh-CN" w:bidi="ar"/>
        </w:rPr>
      </w:pPr>
      <w:r>
        <w:rPr>
          <w:rStyle w:val="9"/>
          <w:rFonts w:hint="eastAsia"/>
          <w:sz w:val="24"/>
          <w:szCs w:val="24"/>
          <w:lang w:val="en-US" w:eastAsia="zh-CN" w:bidi="ar"/>
        </w:rPr>
        <w:t>表4： 对部分变量的One-hot编码</w:t>
      </w:r>
    </w:p>
    <w:tbl>
      <w:tblPr>
        <w:tblStyle w:val="7"/>
        <w:tblW w:w="5487" w:type="dxa"/>
        <w:jc w:val="center"/>
        <w:shd w:val="clear" w:color="auto" w:fill="auto"/>
        <w:tblLayout w:type="fixed"/>
        <w:tblCellMar>
          <w:top w:w="0" w:type="dxa"/>
          <w:left w:w="108" w:type="dxa"/>
          <w:bottom w:w="0" w:type="dxa"/>
          <w:right w:w="108" w:type="dxa"/>
        </w:tblCellMar>
      </w:tblPr>
      <w:tblGrid>
        <w:gridCol w:w="2268"/>
        <w:gridCol w:w="1225"/>
        <w:gridCol w:w="1994"/>
      </w:tblGrid>
      <w:tr>
        <w:tblPrEx>
          <w:shd w:val="clear" w:color="auto" w:fill="auto"/>
          <w:tblCellMar>
            <w:top w:w="0" w:type="dxa"/>
            <w:left w:w="108" w:type="dxa"/>
            <w:bottom w:w="0" w:type="dxa"/>
            <w:right w:w="108" w:type="dxa"/>
          </w:tblCellMar>
        </w:tblPrEx>
        <w:trPr>
          <w:trHeight w:val="295" w:hRule="atLeast"/>
          <w:jc w:val="center"/>
        </w:trPr>
        <w:tc>
          <w:tcPr>
            <w:tcW w:w="2268" w:type="dxa"/>
            <w:tcBorders>
              <w:top w:val="single" w:color="000000" w:sz="8" w:space="0"/>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变量</w:t>
            </w:r>
          </w:p>
        </w:tc>
        <w:tc>
          <w:tcPr>
            <w:tcW w:w="1225" w:type="dxa"/>
            <w:tcBorders>
              <w:top w:val="single" w:color="000000" w:sz="8" w:space="0"/>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eastAsia" w:ascii="Times New Roman" w:hAnsi="Times New Roman" w:eastAsia="宋体" w:cs="Times New Roman"/>
                <w:i w:val="0"/>
                <w:iCs w:val="0"/>
                <w:color w:val="000000"/>
                <w:kern w:val="0"/>
                <w:sz w:val="21"/>
                <w:szCs w:val="21"/>
                <w:u w:val="none"/>
                <w:lang w:val="en-US" w:eastAsia="zh-CN" w:bidi="ar"/>
              </w:rPr>
              <w:t>水平</w:t>
            </w:r>
          </w:p>
        </w:tc>
        <w:tc>
          <w:tcPr>
            <w:tcW w:w="1994" w:type="dxa"/>
            <w:tcBorders>
              <w:top w:val="single" w:color="000000" w:sz="8" w:space="0"/>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lang w:val="en-US" w:eastAsia="zh-CN"/>
              </w:rPr>
            </w:pPr>
            <w:r>
              <w:rPr>
                <w:rFonts w:hint="eastAsia" w:ascii="Times New Roman" w:hAnsi="Times New Roman" w:eastAsia="宋体" w:cs="Times New Roman"/>
                <w:i w:val="0"/>
                <w:iCs w:val="0"/>
                <w:color w:val="000000"/>
                <w:sz w:val="21"/>
                <w:szCs w:val="21"/>
                <w:u w:val="none"/>
                <w:lang w:val="en-US" w:eastAsia="zh-CN"/>
              </w:rPr>
              <w:t>One-hot编码</w:t>
            </w:r>
            <w:bookmarkStart w:id="34" w:name="_GoBack"/>
            <w:bookmarkEnd w:id="34"/>
          </w:p>
        </w:tc>
      </w:tr>
      <w:tr>
        <w:tblPrEx>
          <w:shd w:val="clear" w:color="auto" w:fill="auto"/>
          <w:tblCellMar>
            <w:top w:w="0" w:type="dxa"/>
            <w:left w:w="108" w:type="dxa"/>
            <w:bottom w:w="0" w:type="dxa"/>
            <w:right w:w="108" w:type="dxa"/>
          </w:tblCellMar>
        </w:tblPrEx>
        <w:trPr>
          <w:trHeight w:val="280" w:hRule="atLeast"/>
          <w:jc w:val="center"/>
        </w:trPr>
        <w:tc>
          <w:tcPr>
            <w:tcW w:w="2268" w:type="dxa"/>
            <w:vMerge w:val="restar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homeOwnership</w:t>
            </w:r>
          </w:p>
        </w:tc>
        <w:tc>
          <w:tcPr>
            <w:tcW w:w="122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x0_0</w:t>
            </w:r>
          </w:p>
        </w:tc>
        <w:tc>
          <w:tcPr>
            <w:tcW w:w="199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w:t>
            </w:r>
          </w:p>
        </w:tc>
      </w:tr>
      <w:tr>
        <w:tblPrEx>
          <w:shd w:val="clear" w:color="auto" w:fill="auto"/>
          <w:tblCellMar>
            <w:top w:w="0" w:type="dxa"/>
            <w:left w:w="108" w:type="dxa"/>
            <w:bottom w:w="0" w:type="dxa"/>
            <w:right w:w="108" w:type="dxa"/>
          </w:tblCellMar>
        </w:tblPrEx>
        <w:trPr>
          <w:trHeight w:val="280" w:hRule="atLeast"/>
          <w:jc w:val="center"/>
        </w:trPr>
        <w:tc>
          <w:tcPr>
            <w:tcW w:w="2268" w:type="dxa"/>
            <w:vMerge w:val="continue"/>
            <w:tcBorders>
              <w:top w:val="nil"/>
              <w:left w:val="nil"/>
              <w:bottom w:val="nil"/>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default" w:ascii="Times New Roman" w:hAnsi="Times New Roman" w:eastAsia="宋体" w:cs="Times New Roman"/>
                <w:i w:val="0"/>
                <w:iCs w:val="0"/>
                <w:color w:val="000000"/>
                <w:sz w:val="21"/>
                <w:szCs w:val="21"/>
                <w:u w:val="none"/>
              </w:rPr>
            </w:pPr>
          </w:p>
        </w:tc>
        <w:tc>
          <w:tcPr>
            <w:tcW w:w="122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x0_1</w:t>
            </w:r>
          </w:p>
        </w:tc>
        <w:tc>
          <w:tcPr>
            <w:tcW w:w="199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w:t>
            </w:r>
          </w:p>
        </w:tc>
      </w:tr>
      <w:tr>
        <w:tblPrEx>
          <w:shd w:val="clear" w:color="auto" w:fill="auto"/>
          <w:tblCellMar>
            <w:top w:w="0" w:type="dxa"/>
            <w:left w:w="108" w:type="dxa"/>
            <w:bottom w:w="0" w:type="dxa"/>
            <w:right w:w="108" w:type="dxa"/>
          </w:tblCellMar>
        </w:tblPrEx>
        <w:trPr>
          <w:trHeight w:val="280" w:hRule="atLeast"/>
          <w:jc w:val="center"/>
        </w:trPr>
        <w:tc>
          <w:tcPr>
            <w:tcW w:w="2268" w:type="dxa"/>
            <w:vMerge w:val="continue"/>
            <w:tcBorders>
              <w:top w:val="nil"/>
              <w:left w:val="nil"/>
              <w:bottom w:val="nil"/>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default" w:ascii="Times New Roman" w:hAnsi="Times New Roman" w:eastAsia="宋体" w:cs="Times New Roman"/>
                <w:i w:val="0"/>
                <w:iCs w:val="0"/>
                <w:color w:val="000000"/>
                <w:sz w:val="21"/>
                <w:szCs w:val="21"/>
                <w:u w:val="none"/>
              </w:rPr>
            </w:pPr>
          </w:p>
        </w:tc>
        <w:tc>
          <w:tcPr>
            <w:tcW w:w="122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x0_2</w:t>
            </w:r>
          </w:p>
        </w:tc>
        <w:tc>
          <w:tcPr>
            <w:tcW w:w="199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w:t>
            </w:r>
          </w:p>
        </w:tc>
      </w:tr>
      <w:tr>
        <w:tblPrEx>
          <w:shd w:val="clear" w:color="auto" w:fill="auto"/>
          <w:tblCellMar>
            <w:top w:w="0" w:type="dxa"/>
            <w:left w:w="108" w:type="dxa"/>
            <w:bottom w:w="0" w:type="dxa"/>
            <w:right w:w="108" w:type="dxa"/>
          </w:tblCellMar>
        </w:tblPrEx>
        <w:trPr>
          <w:trHeight w:val="280" w:hRule="atLeast"/>
          <w:jc w:val="center"/>
        </w:trPr>
        <w:tc>
          <w:tcPr>
            <w:tcW w:w="2268" w:type="dxa"/>
            <w:vMerge w:val="continue"/>
            <w:tcBorders>
              <w:top w:val="nil"/>
              <w:left w:val="nil"/>
              <w:bottom w:val="nil"/>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default" w:ascii="Times New Roman" w:hAnsi="Times New Roman" w:eastAsia="宋体" w:cs="Times New Roman"/>
                <w:i w:val="0"/>
                <w:iCs w:val="0"/>
                <w:color w:val="000000"/>
                <w:sz w:val="21"/>
                <w:szCs w:val="21"/>
                <w:u w:val="none"/>
              </w:rPr>
            </w:pPr>
          </w:p>
        </w:tc>
        <w:tc>
          <w:tcPr>
            <w:tcW w:w="122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x0_3</w:t>
            </w:r>
          </w:p>
        </w:tc>
        <w:tc>
          <w:tcPr>
            <w:tcW w:w="199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w:t>
            </w:r>
          </w:p>
        </w:tc>
      </w:tr>
      <w:tr>
        <w:tblPrEx>
          <w:shd w:val="clear" w:color="auto" w:fill="auto"/>
          <w:tblCellMar>
            <w:top w:w="0" w:type="dxa"/>
            <w:left w:w="108" w:type="dxa"/>
            <w:bottom w:w="0" w:type="dxa"/>
            <w:right w:w="108" w:type="dxa"/>
          </w:tblCellMar>
        </w:tblPrEx>
        <w:trPr>
          <w:trHeight w:val="280" w:hRule="atLeast"/>
          <w:jc w:val="center"/>
        </w:trPr>
        <w:tc>
          <w:tcPr>
            <w:tcW w:w="2268" w:type="dxa"/>
            <w:vMerge w:val="continue"/>
            <w:tcBorders>
              <w:top w:val="nil"/>
              <w:left w:val="nil"/>
              <w:bottom w:val="nil"/>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default" w:ascii="Times New Roman" w:hAnsi="Times New Roman" w:eastAsia="宋体" w:cs="Times New Roman"/>
                <w:i w:val="0"/>
                <w:iCs w:val="0"/>
                <w:color w:val="000000"/>
                <w:sz w:val="21"/>
                <w:szCs w:val="21"/>
                <w:u w:val="none"/>
              </w:rPr>
            </w:pPr>
          </w:p>
        </w:tc>
        <w:tc>
          <w:tcPr>
            <w:tcW w:w="122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x0_4</w:t>
            </w:r>
          </w:p>
        </w:tc>
        <w:tc>
          <w:tcPr>
            <w:tcW w:w="199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4</w:t>
            </w:r>
          </w:p>
        </w:tc>
      </w:tr>
      <w:tr>
        <w:tblPrEx>
          <w:shd w:val="clear" w:color="auto" w:fill="auto"/>
          <w:tblCellMar>
            <w:top w:w="0" w:type="dxa"/>
            <w:left w:w="108" w:type="dxa"/>
            <w:bottom w:w="0" w:type="dxa"/>
            <w:right w:w="108" w:type="dxa"/>
          </w:tblCellMar>
        </w:tblPrEx>
        <w:trPr>
          <w:trHeight w:val="280" w:hRule="atLeast"/>
          <w:jc w:val="center"/>
        </w:trPr>
        <w:tc>
          <w:tcPr>
            <w:tcW w:w="2268" w:type="dxa"/>
            <w:vMerge w:val="continue"/>
            <w:tcBorders>
              <w:top w:val="nil"/>
              <w:left w:val="nil"/>
              <w:bottom w:val="nil"/>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default" w:ascii="Times New Roman" w:hAnsi="Times New Roman" w:eastAsia="宋体" w:cs="Times New Roman"/>
                <w:i w:val="0"/>
                <w:iCs w:val="0"/>
                <w:color w:val="000000"/>
                <w:sz w:val="21"/>
                <w:szCs w:val="21"/>
                <w:u w:val="none"/>
              </w:rPr>
            </w:pPr>
          </w:p>
        </w:tc>
        <w:tc>
          <w:tcPr>
            <w:tcW w:w="122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x0_5</w:t>
            </w:r>
          </w:p>
        </w:tc>
        <w:tc>
          <w:tcPr>
            <w:tcW w:w="199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5</w:t>
            </w:r>
          </w:p>
        </w:tc>
      </w:tr>
      <w:tr>
        <w:tblPrEx>
          <w:shd w:val="clear" w:color="auto" w:fill="auto"/>
          <w:tblCellMar>
            <w:top w:w="0" w:type="dxa"/>
            <w:left w:w="108" w:type="dxa"/>
            <w:bottom w:w="0" w:type="dxa"/>
            <w:right w:w="108" w:type="dxa"/>
          </w:tblCellMar>
        </w:tblPrEx>
        <w:trPr>
          <w:trHeight w:val="280" w:hRule="atLeast"/>
          <w:jc w:val="center"/>
        </w:trPr>
        <w:tc>
          <w:tcPr>
            <w:tcW w:w="2268" w:type="dxa"/>
            <w:vMerge w:val="restar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verificationStatus</w:t>
            </w:r>
          </w:p>
        </w:tc>
        <w:tc>
          <w:tcPr>
            <w:tcW w:w="122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x1_0</w:t>
            </w:r>
          </w:p>
        </w:tc>
        <w:tc>
          <w:tcPr>
            <w:tcW w:w="199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6</w:t>
            </w:r>
          </w:p>
        </w:tc>
      </w:tr>
      <w:tr>
        <w:tblPrEx>
          <w:shd w:val="clear" w:color="auto" w:fill="auto"/>
          <w:tblCellMar>
            <w:top w:w="0" w:type="dxa"/>
            <w:left w:w="108" w:type="dxa"/>
            <w:bottom w:w="0" w:type="dxa"/>
            <w:right w:w="108" w:type="dxa"/>
          </w:tblCellMar>
        </w:tblPrEx>
        <w:trPr>
          <w:trHeight w:val="280" w:hRule="atLeast"/>
          <w:jc w:val="center"/>
        </w:trPr>
        <w:tc>
          <w:tcPr>
            <w:tcW w:w="2268" w:type="dxa"/>
            <w:vMerge w:val="continue"/>
            <w:tcBorders>
              <w:top w:val="nil"/>
              <w:left w:val="nil"/>
              <w:bottom w:val="nil"/>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default" w:ascii="Times New Roman" w:hAnsi="Times New Roman" w:eastAsia="宋体" w:cs="Times New Roman"/>
                <w:i w:val="0"/>
                <w:iCs w:val="0"/>
                <w:color w:val="000000"/>
                <w:sz w:val="21"/>
                <w:szCs w:val="21"/>
                <w:u w:val="none"/>
              </w:rPr>
            </w:pPr>
          </w:p>
        </w:tc>
        <w:tc>
          <w:tcPr>
            <w:tcW w:w="122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x1_1</w:t>
            </w:r>
          </w:p>
        </w:tc>
        <w:tc>
          <w:tcPr>
            <w:tcW w:w="199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7</w:t>
            </w:r>
          </w:p>
        </w:tc>
      </w:tr>
      <w:tr>
        <w:tblPrEx>
          <w:shd w:val="clear" w:color="auto" w:fill="auto"/>
          <w:tblCellMar>
            <w:top w:w="0" w:type="dxa"/>
            <w:left w:w="108" w:type="dxa"/>
            <w:bottom w:w="0" w:type="dxa"/>
            <w:right w:w="108" w:type="dxa"/>
          </w:tblCellMar>
        </w:tblPrEx>
        <w:trPr>
          <w:trHeight w:val="280" w:hRule="atLeast"/>
          <w:jc w:val="center"/>
        </w:trPr>
        <w:tc>
          <w:tcPr>
            <w:tcW w:w="2268" w:type="dxa"/>
            <w:vMerge w:val="continue"/>
            <w:tcBorders>
              <w:top w:val="nil"/>
              <w:left w:val="nil"/>
              <w:bottom w:val="nil"/>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default" w:ascii="Times New Roman" w:hAnsi="Times New Roman" w:eastAsia="宋体" w:cs="Times New Roman"/>
                <w:i w:val="0"/>
                <w:iCs w:val="0"/>
                <w:color w:val="000000"/>
                <w:sz w:val="21"/>
                <w:szCs w:val="21"/>
                <w:u w:val="none"/>
              </w:rPr>
            </w:pPr>
          </w:p>
        </w:tc>
        <w:tc>
          <w:tcPr>
            <w:tcW w:w="122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x1_2</w:t>
            </w:r>
          </w:p>
        </w:tc>
        <w:tc>
          <w:tcPr>
            <w:tcW w:w="199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8</w:t>
            </w:r>
          </w:p>
        </w:tc>
      </w:tr>
      <w:tr>
        <w:tblPrEx>
          <w:shd w:val="clear" w:color="auto" w:fill="auto"/>
          <w:tblCellMar>
            <w:top w:w="0" w:type="dxa"/>
            <w:left w:w="108" w:type="dxa"/>
            <w:bottom w:w="0" w:type="dxa"/>
            <w:right w:w="108" w:type="dxa"/>
          </w:tblCellMar>
        </w:tblPrEx>
        <w:trPr>
          <w:trHeight w:val="280" w:hRule="atLeast"/>
          <w:jc w:val="center"/>
        </w:trPr>
        <w:tc>
          <w:tcPr>
            <w:tcW w:w="2268" w:type="dxa"/>
            <w:vMerge w:val="restart"/>
            <w:tcBorders>
              <w:top w:val="nil"/>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purpose</w:t>
            </w:r>
          </w:p>
        </w:tc>
        <w:tc>
          <w:tcPr>
            <w:tcW w:w="122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x2_0</w:t>
            </w:r>
          </w:p>
        </w:tc>
        <w:tc>
          <w:tcPr>
            <w:tcW w:w="199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9</w:t>
            </w:r>
          </w:p>
        </w:tc>
      </w:tr>
      <w:tr>
        <w:tblPrEx>
          <w:shd w:val="clear" w:color="auto" w:fill="auto"/>
          <w:tblCellMar>
            <w:top w:w="0" w:type="dxa"/>
            <w:left w:w="108" w:type="dxa"/>
            <w:bottom w:w="0" w:type="dxa"/>
            <w:right w:w="108" w:type="dxa"/>
          </w:tblCellMar>
        </w:tblPrEx>
        <w:trPr>
          <w:trHeight w:val="280" w:hRule="atLeast"/>
          <w:jc w:val="center"/>
        </w:trPr>
        <w:tc>
          <w:tcPr>
            <w:tcW w:w="2268" w:type="dxa"/>
            <w:vMerge w:val="continue"/>
            <w:tcBorders>
              <w:top w:val="nil"/>
              <w:left w:val="nil"/>
              <w:bottom w:val="single" w:color="000000" w:sz="8" w:space="0"/>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default" w:ascii="Times New Roman" w:hAnsi="Times New Roman" w:eastAsia="宋体" w:cs="Times New Roman"/>
                <w:i w:val="0"/>
                <w:iCs w:val="0"/>
                <w:color w:val="000000"/>
                <w:sz w:val="21"/>
                <w:szCs w:val="21"/>
                <w:u w:val="none"/>
              </w:rPr>
            </w:pPr>
          </w:p>
        </w:tc>
        <w:tc>
          <w:tcPr>
            <w:tcW w:w="122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x2_1</w:t>
            </w:r>
          </w:p>
        </w:tc>
        <w:tc>
          <w:tcPr>
            <w:tcW w:w="199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10</w:t>
            </w:r>
          </w:p>
        </w:tc>
      </w:tr>
      <w:tr>
        <w:tblPrEx>
          <w:shd w:val="clear" w:color="auto" w:fill="auto"/>
          <w:tblCellMar>
            <w:top w:w="0" w:type="dxa"/>
            <w:left w:w="108" w:type="dxa"/>
            <w:bottom w:w="0" w:type="dxa"/>
            <w:right w:w="108" w:type="dxa"/>
          </w:tblCellMar>
        </w:tblPrEx>
        <w:trPr>
          <w:trHeight w:val="280" w:hRule="atLeast"/>
          <w:jc w:val="center"/>
        </w:trPr>
        <w:tc>
          <w:tcPr>
            <w:tcW w:w="2268" w:type="dxa"/>
            <w:vMerge w:val="continue"/>
            <w:tcBorders>
              <w:top w:val="nil"/>
              <w:left w:val="nil"/>
              <w:bottom w:val="single" w:color="000000" w:sz="8" w:space="0"/>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default" w:ascii="Times New Roman" w:hAnsi="Times New Roman" w:eastAsia="宋体" w:cs="Times New Roman"/>
                <w:i w:val="0"/>
                <w:iCs w:val="0"/>
                <w:color w:val="000000"/>
                <w:sz w:val="21"/>
                <w:szCs w:val="21"/>
                <w:u w:val="none"/>
              </w:rPr>
            </w:pPr>
          </w:p>
        </w:tc>
        <w:tc>
          <w:tcPr>
            <w:tcW w:w="122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x2_2</w:t>
            </w:r>
          </w:p>
        </w:tc>
        <w:tc>
          <w:tcPr>
            <w:tcW w:w="199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11</w:t>
            </w:r>
          </w:p>
        </w:tc>
      </w:tr>
      <w:tr>
        <w:tblPrEx>
          <w:shd w:val="clear" w:color="auto" w:fill="auto"/>
          <w:tblCellMar>
            <w:top w:w="0" w:type="dxa"/>
            <w:left w:w="108" w:type="dxa"/>
            <w:bottom w:w="0" w:type="dxa"/>
            <w:right w:w="108" w:type="dxa"/>
          </w:tblCellMar>
        </w:tblPrEx>
        <w:trPr>
          <w:trHeight w:val="280" w:hRule="atLeast"/>
          <w:jc w:val="center"/>
        </w:trPr>
        <w:tc>
          <w:tcPr>
            <w:tcW w:w="2268" w:type="dxa"/>
            <w:vMerge w:val="continue"/>
            <w:tcBorders>
              <w:top w:val="nil"/>
              <w:left w:val="nil"/>
              <w:bottom w:val="single" w:color="000000" w:sz="8" w:space="0"/>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default" w:ascii="Times New Roman" w:hAnsi="Times New Roman" w:eastAsia="宋体" w:cs="Times New Roman"/>
                <w:i w:val="0"/>
                <w:iCs w:val="0"/>
                <w:color w:val="000000"/>
                <w:sz w:val="21"/>
                <w:szCs w:val="21"/>
                <w:u w:val="none"/>
              </w:rPr>
            </w:pPr>
          </w:p>
        </w:tc>
        <w:tc>
          <w:tcPr>
            <w:tcW w:w="122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x2_3</w:t>
            </w:r>
          </w:p>
        </w:tc>
        <w:tc>
          <w:tcPr>
            <w:tcW w:w="199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12</w:t>
            </w:r>
          </w:p>
        </w:tc>
      </w:tr>
      <w:tr>
        <w:tblPrEx>
          <w:shd w:val="clear" w:color="auto" w:fill="auto"/>
          <w:tblCellMar>
            <w:top w:w="0" w:type="dxa"/>
            <w:left w:w="108" w:type="dxa"/>
            <w:bottom w:w="0" w:type="dxa"/>
            <w:right w:w="108" w:type="dxa"/>
          </w:tblCellMar>
        </w:tblPrEx>
        <w:trPr>
          <w:trHeight w:val="280" w:hRule="atLeast"/>
          <w:jc w:val="center"/>
        </w:trPr>
        <w:tc>
          <w:tcPr>
            <w:tcW w:w="2268" w:type="dxa"/>
            <w:vMerge w:val="continue"/>
            <w:tcBorders>
              <w:top w:val="nil"/>
              <w:left w:val="nil"/>
              <w:bottom w:val="single" w:color="000000" w:sz="8" w:space="0"/>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default" w:ascii="Times New Roman" w:hAnsi="Times New Roman" w:eastAsia="宋体" w:cs="Times New Roman"/>
                <w:i w:val="0"/>
                <w:iCs w:val="0"/>
                <w:color w:val="000000"/>
                <w:sz w:val="21"/>
                <w:szCs w:val="21"/>
                <w:u w:val="none"/>
              </w:rPr>
            </w:pPr>
          </w:p>
        </w:tc>
        <w:tc>
          <w:tcPr>
            <w:tcW w:w="122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x2_4</w:t>
            </w:r>
          </w:p>
        </w:tc>
        <w:tc>
          <w:tcPr>
            <w:tcW w:w="199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13</w:t>
            </w:r>
          </w:p>
        </w:tc>
      </w:tr>
      <w:tr>
        <w:tblPrEx>
          <w:shd w:val="clear" w:color="auto" w:fill="auto"/>
          <w:tblCellMar>
            <w:top w:w="0" w:type="dxa"/>
            <w:left w:w="108" w:type="dxa"/>
            <w:bottom w:w="0" w:type="dxa"/>
            <w:right w:w="108" w:type="dxa"/>
          </w:tblCellMar>
        </w:tblPrEx>
        <w:trPr>
          <w:trHeight w:val="280" w:hRule="atLeast"/>
          <w:jc w:val="center"/>
        </w:trPr>
        <w:tc>
          <w:tcPr>
            <w:tcW w:w="2268" w:type="dxa"/>
            <w:vMerge w:val="continue"/>
            <w:tcBorders>
              <w:top w:val="nil"/>
              <w:left w:val="nil"/>
              <w:bottom w:val="single" w:color="000000" w:sz="8" w:space="0"/>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default" w:ascii="Times New Roman" w:hAnsi="Times New Roman" w:eastAsia="宋体" w:cs="Times New Roman"/>
                <w:i w:val="0"/>
                <w:iCs w:val="0"/>
                <w:color w:val="000000"/>
                <w:sz w:val="21"/>
                <w:szCs w:val="21"/>
                <w:u w:val="none"/>
              </w:rPr>
            </w:pPr>
          </w:p>
        </w:tc>
        <w:tc>
          <w:tcPr>
            <w:tcW w:w="122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x2_5</w:t>
            </w:r>
          </w:p>
        </w:tc>
        <w:tc>
          <w:tcPr>
            <w:tcW w:w="199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14</w:t>
            </w:r>
          </w:p>
        </w:tc>
      </w:tr>
      <w:tr>
        <w:tblPrEx>
          <w:shd w:val="clear" w:color="auto" w:fill="auto"/>
          <w:tblCellMar>
            <w:top w:w="0" w:type="dxa"/>
            <w:left w:w="108" w:type="dxa"/>
            <w:bottom w:w="0" w:type="dxa"/>
            <w:right w:w="108" w:type="dxa"/>
          </w:tblCellMar>
        </w:tblPrEx>
        <w:trPr>
          <w:trHeight w:val="280" w:hRule="atLeast"/>
          <w:jc w:val="center"/>
        </w:trPr>
        <w:tc>
          <w:tcPr>
            <w:tcW w:w="2268" w:type="dxa"/>
            <w:vMerge w:val="continue"/>
            <w:tcBorders>
              <w:top w:val="nil"/>
              <w:left w:val="nil"/>
              <w:bottom w:val="single" w:color="000000" w:sz="8" w:space="0"/>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default" w:ascii="Times New Roman" w:hAnsi="Times New Roman" w:eastAsia="宋体" w:cs="Times New Roman"/>
                <w:i w:val="0"/>
                <w:iCs w:val="0"/>
                <w:color w:val="000000"/>
                <w:sz w:val="21"/>
                <w:szCs w:val="21"/>
                <w:u w:val="none"/>
              </w:rPr>
            </w:pPr>
          </w:p>
        </w:tc>
        <w:tc>
          <w:tcPr>
            <w:tcW w:w="122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x2_6</w:t>
            </w:r>
          </w:p>
        </w:tc>
        <w:tc>
          <w:tcPr>
            <w:tcW w:w="199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15</w:t>
            </w:r>
          </w:p>
        </w:tc>
      </w:tr>
      <w:tr>
        <w:tblPrEx>
          <w:shd w:val="clear" w:color="auto" w:fill="auto"/>
          <w:tblCellMar>
            <w:top w:w="0" w:type="dxa"/>
            <w:left w:w="108" w:type="dxa"/>
            <w:bottom w:w="0" w:type="dxa"/>
            <w:right w:w="108" w:type="dxa"/>
          </w:tblCellMar>
        </w:tblPrEx>
        <w:trPr>
          <w:trHeight w:val="280" w:hRule="atLeast"/>
          <w:jc w:val="center"/>
        </w:trPr>
        <w:tc>
          <w:tcPr>
            <w:tcW w:w="2268" w:type="dxa"/>
            <w:vMerge w:val="continue"/>
            <w:tcBorders>
              <w:top w:val="nil"/>
              <w:left w:val="nil"/>
              <w:bottom w:val="single" w:color="000000" w:sz="8" w:space="0"/>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default" w:ascii="Times New Roman" w:hAnsi="Times New Roman" w:eastAsia="宋体" w:cs="Times New Roman"/>
                <w:i w:val="0"/>
                <w:iCs w:val="0"/>
                <w:color w:val="000000"/>
                <w:sz w:val="21"/>
                <w:szCs w:val="21"/>
                <w:u w:val="none"/>
              </w:rPr>
            </w:pPr>
          </w:p>
        </w:tc>
        <w:tc>
          <w:tcPr>
            <w:tcW w:w="122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x2_7</w:t>
            </w:r>
          </w:p>
        </w:tc>
        <w:tc>
          <w:tcPr>
            <w:tcW w:w="199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16</w:t>
            </w:r>
          </w:p>
        </w:tc>
      </w:tr>
      <w:tr>
        <w:tblPrEx>
          <w:shd w:val="clear" w:color="auto" w:fill="auto"/>
          <w:tblCellMar>
            <w:top w:w="0" w:type="dxa"/>
            <w:left w:w="108" w:type="dxa"/>
            <w:bottom w:w="0" w:type="dxa"/>
            <w:right w:w="108" w:type="dxa"/>
          </w:tblCellMar>
        </w:tblPrEx>
        <w:trPr>
          <w:trHeight w:val="280" w:hRule="atLeast"/>
          <w:jc w:val="center"/>
        </w:trPr>
        <w:tc>
          <w:tcPr>
            <w:tcW w:w="2268" w:type="dxa"/>
            <w:vMerge w:val="continue"/>
            <w:tcBorders>
              <w:top w:val="nil"/>
              <w:left w:val="nil"/>
              <w:bottom w:val="single" w:color="000000" w:sz="8" w:space="0"/>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default" w:ascii="Times New Roman" w:hAnsi="Times New Roman" w:eastAsia="宋体" w:cs="Times New Roman"/>
                <w:i w:val="0"/>
                <w:iCs w:val="0"/>
                <w:color w:val="000000"/>
                <w:sz w:val="21"/>
                <w:szCs w:val="21"/>
                <w:u w:val="none"/>
              </w:rPr>
            </w:pPr>
          </w:p>
        </w:tc>
        <w:tc>
          <w:tcPr>
            <w:tcW w:w="122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x2_8</w:t>
            </w:r>
          </w:p>
        </w:tc>
        <w:tc>
          <w:tcPr>
            <w:tcW w:w="199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17</w:t>
            </w:r>
          </w:p>
        </w:tc>
      </w:tr>
      <w:tr>
        <w:tblPrEx>
          <w:shd w:val="clear" w:color="auto" w:fill="auto"/>
          <w:tblCellMar>
            <w:top w:w="0" w:type="dxa"/>
            <w:left w:w="108" w:type="dxa"/>
            <w:bottom w:w="0" w:type="dxa"/>
            <w:right w:w="108" w:type="dxa"/>
          </w:tblCellMar>
        </w:tblPrEx>
        <w:trPr>
          <w:trHeight w:val="280" w:hRule="atLeast"/>
          <w:jc w:val="center"/>
        </w:trPr>
        <w:tc>
          <w:tcPr>
            <w:tcW w:w="2268" w:type="dxa"/>
            <w:vMerge w:val="continue"/>
            <w:tcBorders>
              <w:top w:val="nil"/>
              <w:left w:val="nil"/>
              <w:bottom w:val="single" w:color="000000" w:sz="8" w:space="0"/>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default" w:ascii="Times New Roman" w:hAnsi="Times New Roman" w:eastAsia="宋体" w:cs="Times New Roman"/>
                <w:i w:val="0"/>
                <w:iCs w:val="0"/>
                <w:color w:val="000000"/>
                <w:sz w:val="21"/>
                <w:szCs w:val="21"/>
                <w:u w:val="none"/>
              </w:rPr>
            </w:pPr>
          </w:p>
        </w:tc>
        <w:tc>
          <w:tcPr>
            <w:tcW w:w="122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x2_9</w:t>
            </w:r>
          </w:p>
        </w:tc>
        <w:tc>
          <w:tcPr>
            <w:tcW w:w="199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18</w:t>
            </w:r>
          </w:p>
        </w:tc>
      </w:tr>
      <w:tr>
        <w:tblPrEx>
          <w:shd w:val="clear" w:color="auto" w:fill="auto"/>
          <w:tblCellMar>
            <w:top w:w="0" w:type="dxa"/>
            <w:left w:w="108" w:type="dxa"/>
            <w:bottom w:w="0" w:type="dxa"/>
            <w:right w:w="108" w:type="dxa"/>
          </w:tblCellMar>
        </w:tblPrEx>
        <w:trPr>
          <w:trHeight w:val="280" w:hRule="atLeast"/>
          <w:jc w:val="center"/>
        </w:trPr>
        <w:tc>
          <w:tcPr>
            <w:tcW w:w="2268" w:type="dxa"/>
            <w:vMerge w:val="continue"/>
            <w:tcBorders>
              <w:top w:val="nil"/>
              <w:left w:val="nil"/>
              <w:bottom w:val="single" w:color="000000" w:sz="8" w:space="0"/>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default" w:ascii="Times New Roman" w:hAnsi="Times New Roman" w:eastAsia="宋体" w:cs="Times New Roman"/>
                <w:i w:val="0"/>
                <w:iCs w:val="0"/>
                <w:color w:val="000000"/>
                <w:sz w:val="21"/>
                <w:szCs w:val="21"/>
                <w:u w:val="none"/>
              </w:rPr>
            </w:pPr>
          </w:p>
        </w:tc>
        <w:tc>
          <w:tcPr>
            <w:tcW w:w="122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x2_10</w:t>
            </w:r>
          </w:p>
        </w:tc>
        <w:tc>
          <w:tcPr>
            <w:tcW w:w="199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19</w:t>
            </w:r>
          </w:p>
        </w:tc>
      </w:tr>
      <w:tr>
        <w:tblPrEx>
          <w:shd w:val="clear" w:color="auto" w:fill="auto"/>
          <w:tblCellMar>
            <w:top w:w="0" w:type="dxa"/>
            <w:left w:w="108" w:type="dxa"/>
            <w:bottom w:w="0" w:type="dxa"/>
            <w:right w:w="108" w:type="dxa"/>
          </w:tblCellMar>
        </w:tblPrEx>
        <w:trPr>
          <w:trHeight w:val="295" w:hRule="atLeast"/>
          <w:jc w:val="center"/>
        </w:trPr>
        <w:tc>
          <w:tcPr>
            <w:tcW w:w="2268" w:type="dxa"/>
            <w:vMerge w:val="continue"/>
            <w:tcBorders>
              <w:top w:val="nil"/>
              <w:left w:val="nil"/>
              <w:bottom w:val="single" w:color="000000" w:sz="8" w:space="0"/>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default" w:ascii="Times New Roman" w:hAnsi="Times New Roman" w:eastAsia="宋体" w:cs="Times New Roman"/>
                <w:i w:val="0"/>
                <w:iCs w:val="0"/>
                <w:color w:val="000000"/>
                <w:sz w:val="21"/>
                <w:szCs w:val="21"/>
                <w:u w:val="none"/>
              </w:rPr>
            </w:pPr>
          </w:p>
        </w:tc>
        <w:tc>
          <w:tcPr>
            <w:tcW w:w="122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x2_11</w:t>
            </w:r>
          </w:p>
        </w:tc>
        <w:tc>
          <w:tcPr>
            <w:tcW w:w="199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20</w:t>
            </w:r>
          </w:p>
        </w:tc>
      </w:tr>
      <w:tr>
        <w:tblPrEx>
          <w:shd w:val="clear" w:color="auto" w:fill="auto"/>
          <w:tblCellMar>
            <w:top w:w="0" w:type="dxa"/>
            <w:left w:w="108" w:type="dxa"/>
            <w:bottom w:w="0" w:type="dxa"/>
            <w:right w:w="108" w:type="dxa"/>
          </w:tblCellMar>
        </w:tblPrEx>
        <w:trPr>
          <w:trHeight w:val="280" w:hRule="atLeast"/>
          <w:jc w:val="center"/>
        </w:trPr>
        <w:tc>
          <w:tcPr>
            <w:tcW w:w="2268" w:type="dxa"/>
            <w:vMerge w:val="continue"/>
            <w:tcBorders>
              <w:top w:val="nil"/>
              <w:left w:val="nil"/>
              <w:bottom w:val="single" w:color="000000" w:sz="8" w:space="0"/>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default" w:ascii="Times New Roman" w:hAnsi="Times New Roman" w:eastAsia="宋体" w:cs="Times New Roman"/>
                <w:i w:val="0"/>
                <w:iCs w:val="0"/>
                <w:color w:val="000000"/>
                <w:sz w:val="21"/>
                <w:szCs w:val="21"/>
                <w:u w:val="none"/>
              </w:rPr>
            </w:pPr>
          </w:p>
        </w:tc>
        <w:tc>
          <w:tcPr>
            <w:tcW w:w="122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x2_12</w:t>
            </w:r>
          </w:p>
        </w:tc>
        <w:tc>
          <w:tcPr>
            <w:tcW w:w="199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21</w:t>
            </w:r>
          </w:p>
        </w:tc>
      </w:tr>
      <w:tr>
        <w:tblPrEx>
          <w:shd w:val="clear" w:color="auto" w:fill="auto"/>
          <w:tblCellMar>
            <w:top w:w="0" w:type="dxa"/>
            <w:left w:w="108" w:type="dxa"/>
            <w:bottom w:w="0" w:type="dxa"/>
            <w:right w:w="108" w:type="dxa"/>
          </w:tblCellMar>
        </w:tblPrEx>
        <w:trPr>
          <w:trHeight w:val="295" w:hRule="atLeast"/>
          <w:jc w:val="center"/>
        </w:trPr>
        <w:tc>
          <w:tcPr>
            <w:tcW w:w="2268" w:type="dxa"/>
            <w:vMerge w:val="continue"/>
            <w:tcBorders>
              <w:top w:val="nil"/>
              <w:left w:val="nil"/>
              <w:bottom w:val="single" w:color="000000" w:sz="8" w:space="0"/>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default" w:ascii="Times New Roman" w:hAnsi="Times New Roman" w:eastAsia="宋体" w:cs="Times New Roman"/>
                <w:i w:val="0"/>
                <w:iCs w:val="0"/>
                <w:color w:val="000000"/>
                <w:sz w:val="21"/>
                <w:szCs w:val="21"/>
                <w:u w:val="none"/>
              </w:rPr>
            </w:pPr>
          </w:p>
        </w:tc>
        <w:tc>
          <w:tcPr>
            <w:tcW w:w="1225" w:type="dxa"/>
            <w:tcBorders>
              <w:top w:val="nil"/>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x2_13</w:t>
            </w:r>
          </w:p>
        </w:tc>
        <w:tc>
          <w:tcPr>
            <w:tcW w:w="1994" w:type="dxa"/>
            <w:tcBorders>
              <w:top w:val="nil"/>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22</w:t>
            </w:r>
          </w:p>
        </w:tc>
      </w:tr>
    </w:tbl>
    <w:p>
      <w:pPr>
        <w:pageBreakBefore w:val="0"/>
        <w:kinsoku/>
        <w:wordWrap/>
        <w:overflowPunct/>
        <w:topLinePunct w:val="0"/>
        <w:autoSpaceDE/>
        <w:autoSpaceDN/>
        <w:bidi w:val="0"/>
        <w:adjustRightInd/>
        <w:snapToGrid/>
        <w:spacing w:line="360" w:lineRule="auto"/>
        <w:ind w:firstLine="480" w:firstLineChars="200"/>
        <w:rPr>
          <w:rFonts w:hint="default"/>
          <w:sz w:val="24"/>
          <w:szCs w:val="24"/>
          <w:lang w:val="en-US" w:eastAsia="zh-CN"/>
        </w:rPr>
      </w:pPr>
      <w:r>
        <w:rPr>
          <w:rFonts w:hint="eastAsia"/>
          <w:sz w:val="24"/>
          <w:szCs w:val="24"/>
          <w:lang w:val="en-US" w:eastAsia="zh-CN"/>
        </w:rPr>
        <w:t>2.2.3高相关变量的处理</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对数值型变量的相关系数进行初步的计算。相关系数是统计学分析变量之间相关性的最基础的手段。相关系数越接近1，则变量之间的相关性越强。</w:t>
      </w:r>
    </w:p>
    <w:p>
      <w:pPr>
        <w:pageBreakBefore w:val="0"/>
        <w:kinsoku/>
        <w:wordWrap/>
        <w:overflowPunct/>
        <w:topLinePunct w:val="0"/>
        <w:autoSpaceDE/>
        <w:autoSpaceDN/>
        <w:bidi w:val="0"/>
        <w:adjustRightInd/>
        <w:snapToGrid/>
        <w:spacing w:line="360" w:lineRule="auto"/>
        <w:ind w:firstLine="480" w:firstLineChars="200"/>
        <w:rPr>
          <w:rFonts w:hint="default"/>
          <w:sz w:val="24"/>
          <w:szCs w:val="24"/>
          <w:lang w:val="en-US" w:eastAsia="zh-CN"/>
        </w:rPr>
      </w:pPr>
      <w:r>
        <w:rPr>
          <w:rFonts w:hint="eastAsia"/>
          <w:sz w:val="24"/>
          <w:szCs w:val="24"/>
          <w:lang w:val="en-US" w:eastAsia="zh-CN"/>
        </w:rPr>
        <w:t>由图2可知，少数变量之间的相关系数达到0.75以上，具有较为显著的线性相关。表4则展示了相关性系数大于0.75的相关关系。为了避免因相关性过高对模型表现性能的制约，本文从变量的解释性出发，剔除“installment”，“interestRate”，“grade”和“ficoRangeLow”等四个解释性与其他变量重复的变量。对于其余的高相关变量，本文则通过主成分分析法进行降维处理。</w:t>
      </w:r>
    </w:p>
    <w:p>
      <w:pPr>
        <w:pageBreakBefore w:val="0"/>
        <w:kinsoku/>
        <w:wordWrap/>
        <w:overflowPunct/>
        <w:topLinePunct w:val="0"/>
        <w:autoSpaceDE/>
        <w:autoSpaceDN/>
        <w:bidi w:val="0"/>
        <w:adjustRightInd/>
        <w:snapToGrid/>
        <w:spacing w:line="360" w:lineRule="auto"/>
        <w:ind w:firstLine="480" w:firstLineChars="200"/>
        <w:jc w:val="center"/>
        <w:rPr>
          <w:rStyle w:val="9"/>
          <w:rFonts w:hint="default"/>
          <w:sz w:val="24"/>
          <w:szCs w:val="24"/>
          <w:lang w:val="en-US" w:eastAsia="zh-CN" w:bidi="ar"/>
        </w:rPr>
      </w:pPr>
      <w:r>
        <w:rPr>
          <w:rStyle w:val="9"/>
          <w:rFonts w:hint="default"/>
          <w:sz w:val="24"/>
          <w:szCs w:val="24"/>
          <w:lang w:val="en-US" w:eastAsia="zh-CN" w:bidi="ar"/>
        </w:rPr>
        <w:drawing>
          <wp:inline distT="0" distB="0" distL="114300" distR="114300">
            <wp:extent cx="5517515" cy="5174615"/>
            <wp:effectExtent l="0" t="0" r="6985" b="6985"/>
            <wp:docPr id="8" name="图片 8" descr="所以变量的热力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所以变量的热力图"/>
                    <pic:cNvPicPr>
                      <a:picLocks noChangeAspect="1"/>
                    </pic:cNvPicPr>
                  </pic:nvPicPr>
                  <pic:blipFill>
                    <a:blip r:embed="rId6"/>
                    <a:srcRect t="9742" r="11695"/>
                    <a:stretch>
                      <a:fillRect/>
                    </a:stretch>
                  </pic:blipFill>
                  <pic:spPr>
                    <a:xfrm>
                      <a:off x="0" y="0"/>
                      <a:ext cx="5517515" cy="517461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80" w:firstLineChars="200"/>
        <w:jc w:val="center"/>
        <w:rPr>
          <w:rStyle w:val="9"/>
          <w:rFonts w:hint="eastAsia"/>
          <w:sz w:val="24"/>
          <w:szCs w:val="24"/>
          <w:lang w:val="en-US" w:eastAsia="zh-CN" w:bidi="ar"/>
        </w:rPr>
      </w:pPr>
      <w:r>
        <w:rPr>
          <w:rStyle w:val="9"/>
          <w:rFonts w:hint="eastAsia"/>
          <w:sz w:val="24"/>
          <w:szCs w:val="24"/>
          <w:lang w:val="en-US" w:eastAsia="zh-CN" w:bidi="ar"/>
        </w:rPr>
        <w:t>图2：相关性热力图</w:t>
      </w:r>
    </w:p>
    <w:p>
      <w:pPr>
        <w:pageBreakBefore w:val="0"/>
        <w:kinsoku/>
        <w:wordWrap/>
        <w:overflowPunct/>
        <w:topLinePunct w:val="0"/>
        <w:autoSpaceDE/>
        <w:autoSpaceDN/>
        <w:bidi w:val="0"/>
        <w:adjustRightInd/>
        <w:snapToGrid/>
        <w:spacing w:line="360" w:lineRule="auto"/>
        <w:ind w:firstLine="480" w:firstLineChars="200"/>
        <w:jc w:val="center"/>
        <w:rPr>
          <w:rStyle w:val="9"/>
          <w:rFonts w:hint="default"/>
          <w:sz w:val="24"/>
          <w:szCs w:val="24"/>
          <w:lang w:val="en-US" w:eastAsia="zh-CN" w:bidi="ar"/>
        </w:rPr>
      </w:pPr>
      <w:r>
        <w:rPr>
          <w:rStyle w:val="9"/>
          <w:rFonts w:hint="eastAsia"/>
          <w:sz w:val="24"/>
          <w:szCs w:val="24"/>
          <w:lang w:val="en-US" w:eastAsia="zh-CN" w:bidi="ar"/>
        </w:rPr>
        <w:t>表5：相关性大于0.75的变量</w:t>
      </w:r>
    </w:p>
    <w:tbl>
      <w:tblPr>
        <w:tblStyle w:val="7"/>
        <w:tblW w:w="6715" w:type="dxa"/>
        <w:jc w:val="center"/>
        <w:shd w:val="clear" w:color="auto" w:fill="auto"/>
        <w:tblLayout w:type="fixed"/>
        <w:tblCellMar>
          <w:top w:w="0" w:type="dxa"/>
          <w:left w:w="108" w:type="dxa"/>
          <w:bottom w:w="0" w:type="dxa"/>
          <w:right w:w="108" w:type="dxa"/>
        </w:tblCellMar>
      </w:tblPr>
      <w:tblGrid>
        <w:gridCol w:w="2349"/>
        <w:gridCol w:w="2166"/>
        <w:gridCol w:w="2200"/>
      </w:tblGrid>
      <w:tr>
        <w:tblPrEx>
          <w:shd w:val="clear" w:color="auto" w:fill="auto"/>
          <w:tblCellMar>
            <w:top w:w="0" w:type="dxa"/>
            <w:left w:w="108" w:type="dxa"/>
            <w:bottom w:w="0" w:type="dxa"/>
            <w:right w:w="108" w:type="dxa"/>
          </w:tblCellMar>
        </w:tblPrEx>
        <w:trPr>
          <w:trHeight w:val="295" w:hRule="atLeast"/>
          <w:jc w:val="center"/>
        </w:trPr>
        <w:tc>
          <w:tcPr>
            <w:tcW w:w="2349" w:type="dxa"/>
            <w:tcBorders>
              <w:top w:val="single" w:color="000000" w:sz="8" w:space="0"/>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feature_x</w:t>
            </w:r>
          </w:p>
        </w:tc>
        <w:tc>
          <w:tcPr>
            <w:tcW w:w="2166" w:type="dxa"/>
            <w:tcBorders>
              <w:top w:val="single" w:color="000000" w:sz="8" w:space="0"/>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feature_y</w:t>
            </w:r>
          </w:p>
        </w:tc>
        <w:tc>
          <w:tcPr>
            <w:tcW w:w="2200" w:type="dxa"/>
            <w:tcBorders>
              <w:top w:val="single" w:color="000000" w:sz="8" w:space="0"/>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correlation</w:t>
            </w:r>
          </w:p>
        </w:tc>
      </w:tr>
      <w:tr>
        <w:tblPrEx>
          <w:shd w:val="clear" w:color="auto" w:fill="auto"/>
          <w:tblCellMar>
            <w:top w:w="0" w:type="dxa"/>
            <w:left w:w="108" w:type="dxa"/>
            <w:bottom w:w="0" w:type="dxa"/>
            <w:right w:w="108" w:type="dxa"/>
          </w:tblCellMar>
        </w:tblPrEx>
        <w:trPr>
          <w:trHeight w:val="280" w:hRule="atLeast"/>
          <w:jc w:val="center"/>
        </w:trPr>
        <w:tc>
          <w:tcPr>
            <w:tcW w:w="234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n2</w:t>
            </w:r>
          </w:p>
        </w:tc>
        <w:tc>
          <w:tcPr>
            <w:tcW w:w="216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n3</w:t>
            </w:r>
          </w:p>
        </w:tc>
        <w:tc>
          <w:tcPr>
            <w:tcW w:w="220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w:t>
            </w:r>
          </w:p>
        </w:tc>
      </w:tr>
      <w:tr>
        <w:tblPrEx>
          <w:shd w:val="clear" w:color="auto" w:fill="auto"/>
          <w:tblCellMar>
            <w:top w:w="0" w:type="dxa"/>
            <w:left w:w="108" w:type="dxa"/>
            <w:bottom w:w="0" w:type="dxa"/>
            <w:right w:w="108" w:type="dxa"/>
          </w:tblCellMar>
        </w:tblPrEx>
        <w:trPr>
          <w:trHeight w:val="280" w:hRule="atLeast"/>
          <w:jc w:val="center"/>
        </w:trPr>
        <w:tc>
          <w:tcPr>
            <w:tcW w:w="234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ficoRangeLow</w:t>
            </w:r>
          </w:p>
        </w:tc>
        <w:tc>
          <w:tcPr>
            <w:tcW w:w="216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ficoRangeHigh</w:t>
            </w:r>
          </w:p>
        </w:tc>
        <w:tc>
          <w:tcPr>
            <w:tcW w:w="220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0.9999999</w:t>
            </w:r>
          </w:p>
        </w:tc>
      </w:tr>
      <w:tr>
        <w:tblPrEx>
          <w:shd w:val="clear" w:color="auto" w:fill="auto"/>
          <w:tblCellMar>
            <w:top w:w="0" w:type="dxa"/>
            <w:left w:w="108" w:type="dxa"/>
            <w:bottom w:w="0" w:type="dxa"/>
            <w:right w:w="108" w:type="dxa"/>
          </w:tblCellMar>
        </w:tblPrEx>
        <w:trPr>
          <w:trHeight w:val="280" w:hRule="atLeast"/>
          <w:jc w:val="center"/>
        </w:trPr>
        <w:tc>
          <w:tcPr>
            <w:tcW w:w="234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grade</w:t>
            </w:r>
          </w:p>
        </w:tc>
        <w:tc>
          <w:tcPr>
            <w:tcW w:w="216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subGrade</w:t>
            </w:r>
          </w:p>
        </w:tc>
        <w:tc>
          <w:tcPr>
            <w:tcW w:w="220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0.9939067</w:t>
            </w:r>
          </w:p>
        </w:tc>
      </w:tr>
      <w:tr>
        <w:tblPrEx>
          <w:shd w:val="clear" w:color="auto" w:fill="auto"/>
          <w:tblCellMar>
            <w:top w:w="0" w:type="dxa"/>
            <w:left w:w="108" w:type="dxa"/>
            <w:bottom w:w="0" w:type="dxa"/>
            <w:right w:w="108" w:type="dxa"/>
          </w:tblCellMar>
        </w:tblPrEx>
        <w:trPr>
          <w:trHeight w:val="280" w:hRule="atLeast"/>
          <w:jc w:val="center"/>
        </w:trPr>
        <w:tc>
          <w:tcPr>
            <w:tcW w:w="234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openAcc</w:t>
            </w:r>
          </w:p>
        </w:tc>
        <w:tc>
          <w:tcPr>
            <w:tcW w:w="216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n10</w:t>
            </w:r>
          </w:p>
        </w:tc>
        <w:tc>
          <w:tcPr>
            <w:tcW w:w="220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0.9838900</w:t>
            </w:r>
          </w:p>
        </w:tc>
      </w:tr>
      <w:tr>
        <w:tblPrEx>
          <w:shd w:val="clear" w:color="auto" w:fill="auto"/>
          <w:tblCellMar>
            <w:top w:w="0" w:type="dxa"/>
            <w:left w:w="108" w:type="dxa"/>
            <w:bottom w:w="0" w:type="dxa"/>
            <w:right w:w="108" w:type="dxa"/>
          </w:tblCellMar>
        </w:tblPrEx>
        <w:trPr>
          <w:trHeight w:val="280" w:hRule="atLeast"/>
          <w:jc w:val="center"/>
        </w:trPr>
        <w:tc>
          <w:tcPr>
            <w:tcW w:w="234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n2</w:t>
            </w:r>
          </w:p>
        </w:tc>
        <w:tc>
          <w:tcPr>
            <w:tcW w:w="216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n9</w:t>
            </w:r>
          </w:p>
        </w:tc>
        <w:tc>
          <w:tcPr>
            <w:tcW w:w="220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0.9820449</w:t>
            </w:r>
          </w:p>
        </w:tc>
      </w:tr>
      <w:tr>
        <w:tblPrEx>
          <w:shd w:val="clear" w:color="auto" w:fill="auto"/>
          <w:tblCellMar>
            <w:top w:w="0" w:type="dxa"/>
            <w:left w:w="108" w:type="dxa"/>
            <w:bottom w:w="0" w:type="dxa"/>
            <w:right w:w="108" w:type="dxa"/>
          </w:tblCellMar>
        </w:tblPrEx>
        <w:trPr>
          <w:trHeight w:val="280" w:hRule="atLeast"/>
          <w:jc w:val="center"/>
        </w:trPr>
        <w:tc>
          <w:tcPr>
            <w:tcW w:w="234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n3</w:t>
            </w:r>
          </w:p>
        </w:tc>
        <w:tc>
          <w:tcPr>
            <w:tcW w:w="216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n9</w:t>
            </w:r>
          </w:p>
        </w:tc>
        <w:tc>
          <w:tcPr>
            <w:tcW w:w="220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0.9820449</w:t>
            </w:r>
          </w:p>
        </w:tc>
      </w:tr>
      <w:tr>
        <w:tblPrEx>
          <w:shd w:val="clear" w:color="auto" w:fill="auto"/>
          <w:tblCellMar>
            <w:top w:w="0" w:type="dxa"/>
            <w:left w:w="108" w:type="dxa"/>
            <w:bottom w:w="0" w:type="dxa"/>
            <w:right w:w="108" w:type="dxa"/>
          </w:tblCellMar>
        </w:tblPrEx>
        <w:trPr>
          <w:trHeight w:val="280" w:hRule="atLeast"/>
          <w:jc w:val="center"/>
        </w:trPr>
        <w:tc>
          <w:tcPr>
            <w:tcW w:w="234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interestRate</w:t>
            </w:r>
          </w:p>
        </w:tc>
        <w:tc>
          <w:tcPr>
            <w:tcW w:w="216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subGrade</w:t>
            </w:r>
          </w:p>
        </w:tc>
        <w:tc>
          <w:tcPr>
            <w:tcW w:w="220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0.9708469</w:t>
            </w:r>
          </w:p>
        </w:tc>
      </w:tr>
      <w:tr>
        <w:tblPrEx>
          <w:shd w:val="clear" w:color="auto" w:fill="auto"/>
          <w:tblCellMar>
            <w:top w:w="0" w:type="dxa"/>
            <w:left w:w="108" w:type="dxa"/>
            <w:bottom w:w="0" w:type="dxa"/>
            <w:right w:w="108" w:type="dxa"/>
          </w:tblCellMar>
        </w:tblPrEx>
        <w:trPr>
          <w:trHeight w:val="280" w:hRule="atLeast"/>
          <w:jc w:val="center"/>
        </w:trPr>
        <w:tc>
          <w:tcPr>
            <w:tcW w:w="234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loanAmnt</w:t>
            </w:r>
          </w:p>
        </w:tc>
        <w:tc>
          <w:tcPr>
            <w:tcW w:w="216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installment</w:t>
            </w:r>
          </w:p>
        </w:tc>
        <w:tc>
          <w:tcPr>
            <w:tcW w:w="220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0.9533693</w:t>
            </w:r>
          </w:p>
        </w:tc>
      </w:tr>
      <w:tr>
        <w:tblPrEx>
          <w:shd w:val="clear" w:color="auto" w:fill="auto"/>
          <w:tblCellMar>
            <w:top w:w="0" w:type="dxa"/>
            <w:left w:w="108" w:type="dxa"/>
            <w:bottom w:w="0" w:type="dxa"/>
            <w:right w:w="108" w:type="dxa"/>
          </w:tblCellMar>
        </w:tblPrEx>
        <w:trPr>
          <w:trHeight w:val="280" w:hRule="atLeast"/>
          <w:jc w:val="center"/>
        </w:trPr>
        <w:tc>
          <w:tcPr>
            <w:tcW w:w="234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interestRate</w:t>
            </w:r>
          </w:p>
        </w:tc>
        <w:tc>
          <w:tcPr>
            <w:tcW w:w="216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grade</w:t>
            </w:r>
          </w:p>
        </w:tc>
        <w:tc>
          <w:tcPr>
            <w:tcW w:w="220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0.9532686</w:t>
            </w:r>
          </w:p>
        </w:tc>
      </w:tr>
      <w:tr>
        <w:tblPrEx>
          <w:shd w:val="clear" w:color="auto" w:fill="auto"/>
          <w:tblCellMar>
            <w:top w:w="0" w:type="dxa"/>
            <w:left w:w="108" w:type="dxa"/>
            <w:bottom w:w="0" w:type="dxa"/>
            <w:right w:w="108" w:type="dxa"/>
          </w:tblCellMar>
        </w:tblPrEx>
        <w:trPr>
          <w:trHeight w:val="280" w:hRule="atLeast"/>
          <w:jc w:val="center"/>
        </w:trPr>
        <w:tc>
          <w:tcPr>
            <w:tcW w:w="234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n5</w:t>
            </w:r>
          </w:p>
        </w:tc>
        <w:tc>
          <w:tcPr>
            <w:tcW w:w="216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n8</w:t>
            </w:r>
          </w:p>
        </w:tc>
        <w:tc>
          <w:tcPr>
            <w:tcW w:w="220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0.8384203</w:t>
            </w:r>
          </w:p>
        </w:tc>
      </w:tr>
      <w:tr>
        <w:tblPrEx>
          <w:shd w:val="clear" w:color="auto" w:fill="auto"/>
          <w:tblCellMar>
            <w:top w:w="0" w:type="dxa"/>
            <w:left w:w="108" w:type="dxa"/>
            <w:bottom w:w="0" w:type="dxa"/>
            <w:right w:w="108" w:type="dxa"/>
          </w:tblCellMar>
        </w:tblPrEx>
        <w:trPr>
          <w:trHeight w:val="280" w:hRule="atLeast"/>
          <w:jc w:val="center"/>
        </w:trPr>
        <w:tc>
          <w:tcPr>
            <w:tcW w:w="234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n7</w:t>
            </w:r>
          </w:p>
        </w:tc>
        <w:tc>
          <w:tcPr>
            <w:tcW w:w="216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n10</w:t>
            </w:r>
          </w:p>
        </w:tc>
        <w:tc>
          <w:tcPr>
            <w:tcW w:w="220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0.8268071</w:t>
            </w:r>
          </w:p>
        </w:tc>
      </w:tr>
      <w:tr>
        <w:tblPrEx>
          <w:shd w:val="clear" w:color="auto" w:fill="auto"/>
          <w:tblCellMar>
            <w:top w:w="0" w:type="dxa"/>
            <w:left w:w="108" w:type="dxa"/>
            <w:bottom w:w="0" w:type="dxa"/>
            <w:right w:w="108" w:type="dxa"/>
          </w:tblCellMar>
        </w:tblPrEx>
        <w:trPr>
          <w:trHeight w:val="280" w:hRule="atLeast"/>
          <w:jc w:val="center"/>
        </w:trPr>
        <w:tc>
          <w:tcPr>
            <w:tcW w:w="234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n1</w:t>
            </w:r>
          </w:p>
        </w:tc>
        <w:tc>
          <w:tcPr>
            <w:tcW w:w="216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n4</w:t>
            </w:r>
          </w:p>
        </w:tc>
        <w:tc>
          <w:tcPr>
            <w:tcW w:w="220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0.8266510</w:t>
            </w:r>
          </w:p>
        </w:tc>
      </w:tr>
      <w:tr>
        <w:tblPrEx>
          <w:shd w:val="clear" w:color="auto" w:fill="auto"/>
          <w:tblCellMar>
            <w:top w:w="0" w:type="dxa"/>
            <w:left w:w="108" w:type="dxa"/>
            <w:bottom w:w="0" w:type="dxa"/>
            <w:right w:w="108" w:type="dxa"/>
          </w:tblCellMar>
        </w:tblPrEx>
        <w:trPr>
          <w:trHeight w:val="280" w:hRule="atLeast"/>
          <w:jc w:val="center"/>
        </w:trPr>
        <w:tc>
          <w:tcPr>
            <w:tcW w:w="234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openAcc</w:t>
            </w:r>
          </w:p>
        </w:tc>
        <w:tc>
          <w:tcPr>
            <w:tcW w:w="216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n7</w:t>
            </w:r>
          </w:p>
        </w:tc>
        <w:tc>
          <w:tcPr>
            <w:tcW w:w="220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0.8175235</w:t>
            </w:r>
          </w:p>
        </w:tc>
      </w:tr>
      <w:tr>
        <w:tblPrEx>
          <w:shd w:val="clear" w:color="auto" w:fill="auto"/>
          <w:tblCellMar>
            <w:top w:w="0" w:type="dxa"/>
            <w:left w:w="108" w:type="dxa"/>
            <w:bottom w:w="0" w:type="dxa"/>
            <w:right w:w="108" w:type="dxa"/>
          </w:tblCellMar>
        </w:tblPrEx>
        <w:trPr>
          <w:trHeight w:val="280" w:hRule="atLeast"/>
          <w:jc w:val="center"/>
        </w:trPr>
        <w:tc>
          <w:tcPr>
            <w:tcW w:w="234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n1</w:t>
            </w:r>
          </w:p>
        </w:tc>
        <w:tc>
          <w:tcPr>
            <w:tcW w:w="216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n2</w:t>
            </w:r>
          </w:p>
        </w:tc>
        <w:tc>
          <w:tcPr>
            <w:tcW w:w="220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0.8081573</w:t>
            </w:r>
          </w:p>
        </w:tc>
      </w:tr>
      <w:tr>
        <w:tblPrEx>
          <w:shd w:val="clear" w:color="auto" w:fill="auto"/>
          <w:tblCellMar>
            <w:top w:w="0" w:type="dxa"/>
            <w:left w:w="108" w:type="dxa"/>
            <w:bottom w:w="0" w:type="dxa"/>
            <w:right w:w="108" w:type="dxa"/>
          </w:tblCellMar>
        </w:tblPrEx>
        <w:trPr>
          <w:trHeight w:val="280" w:hRule="atLeast"/>
          <w:jc w:val="center"/>
        </w:trPr>
        <w:tc>
          <w:tcPr>
            <w:tcW w:w="234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n1</w:t>
            </w:r>
          </w:p>
        </w:tc>
        <w:tc>
          <w:tcPr>
            <w:tcW w:w="216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n3</w:t>
            </w:r>
          </w:p>
        </w:tc>
        <w:tc>
          <w:tcPr>
            <w:tcW w:w="220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0.8081573</w:t>
            </w:r>
          </w:p>
        </w:tc>
      </w:tr>
      <w:tr>
        <w:tblPrEx>
          <w:shd w:val="clear" w:color="auto" w:fill="auto"/>
          <w:tblCellMar>
            <w:top w:w="0" w:type="dxa"/>
            <w:left w:w="108" w:type="dxa"/>
            <w:bottom w:w="0" w:type="dxa"/>
            <w:right w:w="108" w:type="dxa"/>
          </w:tblCellMar>
        </w:tblPrEx>
        <w:trPr>
          <w:trHeight w:val="280" w:hRule="atLeast"/>
          <w:jc w:val="center"/>
        </w:trPr>
        <w:tc>
          <w:tcPr>
            <w:tcW w:w="234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n1</w:t>
            </w:r>
          </w:p>
        </w:tc>
        <w:tc>
          <w:tcPr>
            <w:tcW w:w="216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n9</w:t>
            </w:r>
          </w:p>
        </w:tc>
        <w:tc>
          <w:tcPr>
            <w:tcW w:w="220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0.8012436</w:t>
            </w:r>
          </w:p>
        </w:tc>
      </w:tr>
      <w:tr>
        <w:tblPrEx>
          <w:shd w:val="clear" w:color="auto" w:fill="auto"/>
          <w:tblCellMar>
            <w:top w:w="0" w:type="dxa"/>
            <w:left w:w="108" w:type="dxa"/>
            <w:bottom w:w="0" w:type="dxa"/>
            <w:right w:w="108" w:type="dxa"/>
          </w:tblCellMar>
        </w:tblPrEx>
        <w:trPr>
          <w:trHeight w:val="280" w:hRule="atLeast"/>
          <w:jc w:val="center"/>
        </w:trPr>
        <w:tc>
          <w:tcPr>
            <w:tcW w:w="234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n7</w:t>
            </w:r>
          </w:p>
        </w:tc>
        <w:tc>
          <w:tcPr>
            <w:tcW w:w="216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n9</w:t>
            </w:r>
          </w:p>
        </w:tc>
        <w:tc>
          <w:tcPr>
            <w:tcW w:w="220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0.7948123</w:t>
            </w:r>
          </w:p>
        </w:tc>
      </w:tr>
      <w:tr>
        <w:tblPrEx>
          <w:shd w:val="clear" w:color="auto" w:fill="auto"/>
          <w:tblCellMar>
            <w:top w:w="0" w:type="dxa"/>
            <w:left w:w="108" w:type="dxa"/>
            <w:bottom w:w="0" w:type="dxa"/>
            <w:right w:w="108" w:type="dxa"/>
          </w:tblCellMar>
        </w:tblPrEx>
        <w:trPr>
          <w:trHeight w:val="280" w:hRule="atLeast"/>
          <w:jc w:val="center"/>
        </w:trPr>
        <w:tc>
          <w:tcPr>
            <w:tcW w:w="234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n2</w:t>
            </w:r>
          </w:p>
        </w:tc>
        <w:tc>
          <w:tcPr>
            <w:tcW w:w="216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n7</w:t>
            </w:r>
          </w:p>
        </w:tc>
        <w:tc>
          <w:tcPr>
            <w:tcW w:w="220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0.7907639</w:t>
            </w:r>
          </w:p>
        </w:tc>
      </w:tr>
      <w:tr>
        <w:tblPrEx>
          <w:shd w:val="clear" w:color="auto" w:fill="auto"/>
          <w:tblCellMar>
            <w:top w:w="0" w:type="dxa"/>
            <w:left w:w="108" w:type="dxa"/>
            <w:bottom w:w="0" w:type="dxa"/>
            <w:right w:w="108" w:type="dxa"/>
          </w:tblCellMar>
        </w:tblPrEx>
        <w:trPr>
          <w:trHeight w:val="280" w:hRule="atLeast"/>
          <w:jc w:val="center"/>
        </w:trPr>
        <w:tc>
          <w:tcPr>
            <w:tcW w:w="234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n3</w:t>
            </w:r>
          </w:p>
        </w:tc>
        <w:tc>
          <w:tcPr>
            <w:tcW w:w="216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n7</w:t>
            </w:r>
          </w:p>
        </w:tc>
        <w:tc>
          <w:tcPr>
            <w:tcW w:w="220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0.7907639</w:t>
            </w:r>
          </w:p>
        </w:tc>
      </w:tr>
      <w:tr>
        <w:tblPrEx>
          <w:shd w:val="clear" w:color="auto" w:fill="auto"/>
          <w:tblCellMar>
            <w:top w:w="0" w:type="dxa"/>
            <w:left w:w="108" w:type="dxa"/>
            <w:bottom w:w="0" w:type="dxa"/>
            <w:right w:w="108" w:type="dxa"/>
          </w:tblCellMar>
        </w:tblPrEx>
        <w:trPr>
          <w:trHeight w:val="295" w:hRule="atLeast"/>
          <w:jc w:val="center"/>
        </w:trPr>
        <w:tc>
          <w:tcPr>
            <w:tcW w:w="2349" w:type="dxa"/>
            <w:tcBorders>
              <w:top w:val="nil"/>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n7</w:t>
            </w:r>
          </w:p>
        </w:tc>
        <w:tc>
          <w:tcPr>
            <w:tcW w:w="2166" w:type="dxa"/>
            <w:tcBorders>
              <w:top w:val="nil"/>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n8</w:t>
            </w:r>
          </w:p>
        </w:tc>
        <w:tc>
          <w:tcPr>
            <w:tcW w:w="2200" w:type="dxa"/>
            <w:tcBorders>
              <w:top w:val="nil"/>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0.7754596</w:t>
            </w:r>
          </w:p>
        </w:tc>
      </w:tr>
    </w:tbl>
    <w:p>
      <w:pPr>
        <w:pStyle w:val="3"/>
        <w:pageBreakBefore w:val="0"/>
        <w:kinsoku/>
        <w:wordWrap/>
        <w:overflowPunct/>
        <w:topLinePunct w:val="0"/>
        <w:autoSpaceDE/>
        <w:autoSpaceDN/>
        <w:bidi w:val="0"/>
        <w:adjustRightInd/>
        <w:snapToGrid/>
        <w:spacing w:beforeLines="-2147483648" w:beforeAutospacing="0" w:afterLines="-2147483648" w:afterAutospacing="0" w:line="360" w:lineRule="auto"/>
        <w:ind w:firstLine="482" w:firstLineChars="200"/>
        <w:rPr>
          <w:rFonts w:hint="eastAsia"/>
          <w:b/>
          <w:sz w:val="24"/>
          <w:szCs w:val="24"/>
          <w:lang w:val="en-US" w:eastAsia="zh-CN"/>
        </w:rPr>
      </w:pPr>
      <w:bookmarkStart w:id="12" w:name="_Toc30465"/>
      <w:bookmarkStart w:id="13" w:name="_Toc7135"/>
      <w:r>
        <w:rPr>
          <w:rFonts w:hint="eastAsia"/>
          <w:b/>
          <w:sz w:val="24"/>
          <w:szCs w:val="24"/>
          <w:lang w:val="en-US" w:eastAsia="zh-CN"/>
        </w:rPr>
        <w:t>2.3 数据描述</w:t>
      </w:r>
      <w:bookmarkEnd w:id="12"/>
      <w:bookmarkEnd w:id="13"/>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2.3.1字符型变量</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default"/>
          <w:sz w:val="24"/>
          <w:szCs w:val="24"/>
          <w:lang w:val="en-US" w:eastAsia="zh-CN"/>
        </w:rPr>
        <w:t>首先对因变量和5个</w:t>
      </w:r>
      <w:r>
        <w:rPr>
          <w:rFonts w:hint="eastAsia"/>
          <w:sz w:val="24"/>
          <w:szCs w:val="24"/>
          <w:lang w:val="en-US" w:eastAsia="zh-CN"/>
        </w:rPr>
        <w:t>字符</w:t>
      </w:r>
      <w:r>
        <w:rPr>
          <w:rFonts w:hint="default"/>
          <w:sz w:val="24"/>
          <w:szCs w:val="24"/>
          <w:lang w:val="en-US" w:eastAsia="zh-CN"/>
        </w:rPr>
        <w:t>型变量进行基础的描述性统计，初步了解数据的分布情况，并将统计结果绘图如下。从图上可以看出，数据集并非关于目标变量均匀分布，样本中的大部分顾客为</w:t>
      </w:r>
      <w:r>
        <w:rPr>
          <w:rFonts w:hint="eastAsia"/>
          <w:sz w:val="24"/>
          <w:szCs w:val="24"/>
          <w:lang w:val="en-US" w:eastAsia="zh-CN"/>
        </w:rPr>
        <w:t>非违约客户</w:t>
      </w:r>
      <w:r>
        <w:rPr>
          <w:rFonts w:hint="default"/>
          <w:sz w:val="24"/>
          <w:szCs w:val="24"/>
          <w:lang w:val="en-US" w:eastAsia="zh-CN"/>
        </w:rPr>
        <w:t>；在研究的样本中，大部分</w:t>
      </w:r>
      <w:r>
        <w:rPr>
          <w:rFonts w:hint="eastAsia"/>
          <w:sz w:val="24"/>
          <w:szCs w:val="24"/>
          <w:lang w:val="en-US" w:eastAsia="zh-CN"/>
        </w:rPr>
        <w:t>的贷款等级为A、B、C等三个较高等级；本文注意到，工作年限大于十年的客户，其贷款违约率明显低于其他客户，这可能与其稳定的收入，更为充裕的资产以及成熟带来的自律有关；本文还注意到，不同的贷款等级以及贷款子等级下违约率也有差异。</w:t>
      </w:r>
    </w:p>
    <w:p>
      <w:pPr>
        <w:pageBreakBefore w:val="0"/>
        <w:kinsoku/>
        <w:wordWrap/>
        <w:overflowPunct/>
        <w:topLinePunct w:val="0"/>
        <w:autoSpaceDE/>
        <w:autoSpaceDN/>
        <w:bidi w:val="0"/>
        <w:adjustRightInd/>
        <w:snapToGrid/>
        <w:spacing w:line="360" w:lineRule="auto"/>
        <w:ind w:firstLine="480" w:firstLineChars="200"/>
        <w:rPr>
          <w:rFonts w:hint="default"/>
          <w:sz w:val="24"/>
          <w:szCs w:val="24"/>
          <w:lang w:val="en-US" w:eastAsia="zh-CN"/>
        </w:rPr>
      </w:pPr>
      <w:r>
        <w:rPr>
          <w:rFonts w:hint="eastAsia"/>
          <w:sz w:val="24"/>
          <w:szCs w:val="24"/>
          <w:lang w:val="en-US" w:eastAsia="zh-CN"/>
        </w:rPr>
        <w:t>此外，对于“issueDate”（贷款发放的月份）和 “earliesCreditLine”（借款人最早报告的信用额度开立的月份）合并后的新变量“CreditLine”（最早报告信用额度开立的到贷款发放时的时长（年）），其为数值型变量，由图4的分布图可以看出，大多数客户的已有报告信用额度为二十年左右。</w:t>
      </w:r>
    </w:p>
    <w:p>
      <w:pPr>
        <w:pageBreakBefore w:val="0"/>
        <w:kinsoku/>
        <w:wordWrap/>
        <w:overflowPunct/>
        <w:topLinePunct w:val="0"/>
        <w:autoSpaceDE/>
        <w:autoSpaceDN/>
        <w:bidi w:val="0"/>
        <w:adjustRightInd/>
        <w:snapToGrid/>
        <w:spacing w:line="360" w:lineRule="auto"/>
        <w:ind w:firstLine="1732" w:firstLineChars="722"/>
        <w:rPr>
          <w:rFonts w:hint="default"/>
          <w:sz w:val="24"/>
          <w:szCs w:val="24"/>
          <w:lang w:val="en-US" w:eastAsia="zh-CN"/>
        </w:rPr>
      </w:pPr>
      <w:r>
        <w:rPr>
          <w:sz w:val="24"/>
          <w:szCs w:val="24"/>
        </w:rPr>
        <w:drawing>
          <wp:inline distT="0" distB="0" distL="114300" distR="114300">
            <wp:extent cx="2045335" cy="2482850"/>
            <wp:effectExtent l="0" t="0" r="12065" b="635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7"/>
                    <a:stretch>
                      <a:fillRect/>
                    </a:stretch>
                  </pic:blipFill>
                  <pic:spPr>
                    <a:xfrm>
                      <a:off x="0" y="0"/>
                      <a:ext cx="2045335" cy="2482850"/>
                    </a:xfrm>
                    <a:prstGeom prst="rect">
                      <a:avLst/>
                    </a:prstGeom>
                    <a:noFill/>
                    <a:ln>
                      <a:noFill/>
                    </a:ln>
                  </pic:spPr>
                </pic:pic>
              </a:graphicData>
            </a:graphic>
          </wp:inline>
        </w:drawing>
      </w:r>
      <w:r>
        <w:rPr>
          <w:rFonts w:hint="default"/>
          <w:sz w:val="24"/>
          <w:szCs w:val="24"/>
          <w:lang w:val="en-US" w:eastAsia="zh-CN"/>
        </w:rPr>
        <w:drawing>
          <wp:inline distT="0" distB="0" distL="114300" distR="114300">
            <wp:extent cx="2585720" cy="2426970"/>
            <wp:effectExtent l="0" t="0" r="5080" b="11430"/>
            <wp:docPr id="12" name="图片 12" descr="CreditLine对应的违约率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reditLine对应的违约率分布"/>
                    <pic:cNvPicPr>
                      <a:picLocks noChangeAspect="1"/>
                    </pic:cNvPicPr>
                  </pic:nvPicPr>
                  <pic:blipFill>
                    <a:blip r:embed="rId8"/>
                    <a:srcRect t="6021" r="4480"/>
                    <a:stretch>
                      <a:fillRect/>
                    </a:stretch>
                  </pic:blipFill>
                  <pic:spPr>
                    <a:xfrm>
                      <a:off x="0" y="0"/>
                      <a:ext cx="2585720" cy="242697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left="1260" w:leftChars="0" w:firstLine="897" w:firstLineChars="374"/>
        <w:rPr>
          <w:rFonts w:hint="eastAsia"/>
          <w:sz w:val="24"/>
          <w:szCs w:val="24"/>
          <w:lang w:val="en-US" w:eastAsia="zh-CN"/>
        </w:rPr>
      </w:pPr>
      <w:r>
        <w:rPr>
          <w:rFonts w:hint="eastAsia"/>
          <w:sz w:val="24"/>
          <w:szCs w:val="24"/>
          <w:lang w:val="en-US" w:eastAsia="zh-CN"/>
        </w:rPr>
        <w:t xml:space="preserve">图3：因变量的分布情况 </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图4：CreditLine的违约率分布</w:t>
      </w:r>
    </w:p>
    <w:p>
      <w:pPr>
        <w:pageBreakBefore w:val="0"/>
        <w:kinsoku/>
        <w:wordWrap/>
        <w:overflowPunct/>
        <w:topLinePunct w:val="0"/>
        <w:autoSpaceDE/>
        <w:autoSpaceDN/>
        <w:bidi w:val="0"/>
        <w:adjustRightInd/>
        <w:snapToGrid/>
        <w:spacing w:line="360" w:lineRule="auto"/>
        <w:ind w:firstLine="480" w:firstLineChars="200"/>
        <w:rPr>
          <w:rFonts w:hint="default"/>
          <w:sz w:val="24"/>
          <w:szCs w:val="24"/>
          <w:lang w:val="en-US" w:eastAsia="zh-CN"/>
        </w:rPr>
      </w:pPr>
      <w:r>
        <w:rPr>
          <w:rFonts w:hint="default"/>
          <w:sz w:val="24"/>
          <w:szCs w:val="24"/>
          <w:lang w:val="en-US" w:eastAsia="zh-CN"/>
        </w:rPr>
        <w:drawing>
          <wp:inline distT="0" distB="0" distL="114300" distR="114300">
            <wp:extent cx="5949950" cy="2428240"/>
            <wp:effectExtent l="0" t="0" r="6350" b="10160"/>
            <wp:docPr id="11" name="图片 11" descr="三个字符型变量的违约率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三个字符型变量的违约率分布"/>
                    <pic:cNvPicPr>
                      <a:picLocks noChangeAspect="1"/>
                    </pic:cNvPicPr>
                  </pic:nvPicPr>
                  <pic:blipFill>
                    <a:blip r:embed="rId9"/>
                    <a:srcRect l="8010" t="6053" r="9193" b="938"/>
                    <a:stretch>
                      <a:fillRect/>
                    </a:stretch>
                  </pic:blipFill>
                  <pic:spPr>
                    <a:xfrm>
                      <a:off x="0" y="0"/>
                      <a:ext cx="5949950" cy="242824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left="2940" w:leftChars="0" w:firstLine="480" w:firstLineChars="200"/>
        <w:rPr>
          <w:rFonts w:hint="default"/>
          <w:sz w:val="24"/>
          <w:szCs w:val="24"/>
          <w:lang w:val="en-US" w:eastAsia="zh-CN"/>
        </w:rPr>
      </w:pPr>
      <w:r>
        <w:rPr>
          <w:rFonts w:hint="eastAsia"/>
          <w:sz w:val="24"/>
          <w:szCs w:val="24"/>
          <w:lang w:val="en-US" w:eastAsia="zh-CN"/>
        </w:rPr>
        <w:t>图5：部分字符型变量的违约率分布</w:t>
      </w:r>
    </w:p>
    <w:p>
      <w:pPr>
        <w:pageBreakBefore w:val="0"/>
        <w:kinsoku/>
        <w:wordWrap/>
        <w:overflowPunct/>
        <w:topLinePunct w:val="0"/>
        <w:autoSpaceDE/>
        <w:autoSpaceDN/>
        <w:bidi w:val="0"/>
        <w:adjustRightInd/>
        <w:snapToGrid/>
        <w:spacing w:line="360" w:lineRule="auto"/>
        <w:ind w:firstLine="480" w:firstLineChars="200"/>
        <w:rPr>
          <w:rFonts w:hint="default"/>
          <w:sz w:val="24"/>
          <w:szCs w:val="24"/>
          <w:lang w:val="en-US" w:eastAsia="zh-CN"/>
        </w:rPr>
      </w:pPr>
      <w:r>
        <w:rPr>
          <w:rFonts w:hint="eastAsia"/>
          <w:sz w:val="24"/>
          <w:szCs w:val="24"/>
          <w:lang w:val="en-US" w:eastAsia="zh-CN"/>
        </w:rPr>
        <w:t>2.3.2 连续性数值变量</w:t>
      </w:r>
    </w:p>
    <w:p>
      <w:pPr>
        <w:pageBreakBefore w:val="0"/>
        <w:kinsoku/>
        <w:wordWrap/>
        <w:overflowPunct/>
        <w:topLinePunct w:val="0"/>
        <w:autoSpaceDE/>
        <w:autoSpaceDN/>
        <w:bidi w:val="0"/>
        <w:adjustRightInd/>
        <w:snapToGrid/>
        <w:spacing w:line="360" w:lineRule="auto"/>
        <w:ind w:firstLine="480" w:firstLineChars="200"/>
        <w:rPr>
          <w:rFonts w:hint="default"/>
          <w:sz w:val="24"/>
          <w:szCs w:val="24"/>
          <w:lang w:val="en-US" w:eastAsia="zh-CN"/>
        </w:rPr>
      </w:pPr>
      <w:r>
        <w:rPr>
          <w:rFonts w:hint="default"/>
          <w:sz w:val="24"/>
          <w:szCs w:val="24"/>
          <w:lang w:val="en-US" w:eastAsia="zh-CN"/>
        </w:rPr>
        <w:t>绘制</w:t>
      </w:r>
      <w:r>
        <w:rPr>
          <w:rFonts w:hint="eastAsia"/>
          <w:sz w:val="24"/>
          <w:szCs w:val="24"/>
          <w:lang w:val="en-US" w:eastAsia="zh-CN"/>
        </w:rPr>
        <w:t>30</w:t>
      </w:r>
      <w:r>
        <w:rPr>
          <w:rFonts w:hint="default"/>
          <w:sz w:val="24"/>
          <w:szCs w:val="24"/>
          <w:lang w:val="en-US" w:eastAsia="zh-CN"/>
        </w:rPr>
        <w:t>个数值型变量的分布图</w:t>
      </w:r>
      <w:r>
        <w:rPr>
          <w:rFonts w:hint="eastAsia"/>
          <w:sz w:val="24"/>
          <w:szCs w:val="24"/>
          <w:lang w:val="en-US" w:eastAsia="zh-CN"/>
        </w:rPr>
        <w:t>，</w:t>
      </w:r>
      <w:r>
        <w:rPr>
          <w:rFonts w:hint="default"/>
          <w:sz w:val="24"/>
          <w:szCs w:val="24"/>
          <w:lang w:val="en-US" w:eastAsia="zh-CN"/>
        </w:rPr>
        <w:t>从图</w:t>
      </w:r>
      <w:r>
        <w:rPr>
          <w:rFonts w:hint="eastAsia"/>
          <w:sz w:val="24"/>
          <w:szCs w:val="24"/>
          <w:lang w:val="en-US" w:eastAsia="zh-CN"/>
        </w:rPr>
        <w:t>6</w:t>
      </w:r>
      <w:r>
        <w:rPr>
          <w:rFonts w:hint="default"/>
          <w:sz w:val="24"/>
          <w:szCs w:val="24"/>
          <w:lang w:val="en-US" w:eastAsia="zh-CN"/>
        </w:rPr>
        <w:t>可以看出，</w:t>
      </w:r>
      <w:r>
        <w:rPr>
          <w:rFonts w:hint="eastAsia"/>
          <w:sz w:val="24"/>
          <w:szCs w:val="24"/>
          <w:lang w:val="en-US" w:eastAsia="zh-CN"/>
        </w:rPr>
        <w:t>样本大多服从偏态分布，且大都右偏；从集中度上看，部分特征的分布高度集中在某一狭窄区间内，如“annualIncome”以及</w:t>
      </w:r>
      <w:r>
        <w:rPr>
          <w:rFonts w:hint="default"/>
          <w:sz w:val="24"/>
          <w:szCs w:val="24"/>
          <w:lang w:val="en-US" w:eastAsia="zh-CN"/>
        </w:rPr>
        <w:t>n</w:t>
      </w:r>
      <w:r>
        <w:rPr>
          <w:rFonts w:hint="eastAsia"/>
          <w:sz w:val="24"/>
          <w:szCs w:val="24"/>
          <w:lang w:val="en-US" w:eastAsia="zh-CN"/>
        </w:rPr>
        <w:t>系列匿名特征；</w:t>
      </w:r>
    </w:p>
    <w:p>
      <w:pPr>
        <w:pageBreakBefore w:val="0"/>
        <w:kinsoku/>
        <w:wordWrap/>
        <w:overflowPunct/>
        <w:topLinePunct w:val="0"/>
        <w:autoSpaceDE/>
        <w:autoSpaceDN/>
        <w:bidi w:val="0"/>
        <w:adjustRightInd/>
        <w:snapToGrid/>
        <w:spacing w:line="360" w:lineRule="auto"/>
        <w:ind w:firstLine="480" w:firstLineChars="200"/>
        <w:rPr>
          <w:rFonts w:hint="default"/>
          <w:sz w:val="24"/>
          <w:szCs w:val="24"/>
          <w:lang w:val="en-US" w:eastAsia="zh-CN"/>
        </w:rPr>
      </w:pPr>
      <w:r>
        <w:rPr>
          <w:rFonts w:hint="default"/>
          <w:sz w:val="24"/>
          <w:szCs w:val="24"/>
          <w:lang w:val="en-US" w:eastAsia="zh-CN"/>
        </w:rPr>
        <w:t>样本数据的特征几乎都不服从正太分布，既有多峰的分布，如：总交易数和交易变化数；也有偏态的分布，如：信用额度和平均使用率的分布；从分布的区间上看，不同特征分布的区间跨度也很大。信用卡的平均使用率分布区间最短，在[0,1]之间；信贷上限的分布区间则最宽，在[0,35000]之间。</w:t>
      </w:r>
    </w:p>
    <w:p>
      <w:pPr>
        <w:pageBreakBefore w:val="0"/>
        <w:kinsoku/>
        <w:wordWrap/>
        <w:overflowPunct/>
        <w:topLinePunct w:val="0"/>
        <w:autoSpaceDE/>
        <w:autoSpaceDN/>
        <w:bidi w:val="0"/>
        <w:adjustRightInd/>
        <w:snapToGrid/>
        <w:spacing w:line="360" w:lineRule="auto"/>
        <w:ind w:firstLine="480" w:firstLineChars="200"/>
        <w:jc w:val="both"/>
        <w:rPr>
          <w:rFonts w:hint="default"/>
          <w:sz w:val="24"/>
          <w:szCs w:val="24"/>
          <w:lang w:val="en-US" w:eastAsia="zh-CN"/>
        </w:rPr>
      </w:pPr>
      <w:r>
        <w:rPr>
          <w:rFonts w:hint="default"/>
          <w:sz w:val="24"/>
          <w:szCs w:val="24"/>
          <w:lang w:val="en-US" w:eastAsia="zh-CN"/>
        </w:rPr>
        <w:drawing>
          <wp:inline distT="0" distB="0" distL="114300" distR="114300">
            <wp:extent cx="6028690" cy="4089400"/>
            <wp:effectExtent l="0" t="0" r="3810" b="0"/>
            <wp:docPr id="14" name="图片 14" descr="serial_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erial_feature"/>
                    <pic:cNvPicPr>
                      <a:picLocks noChangeAspect="1"/>
                    </pic:cNvPicPr>
                  </pic:nvPicPr>
                  <pic:blipFill>
                    <a:blip r:embed="rId10"/>
                    <a:srcRect l="9766" t="9042" r="8645" b="8929"/>
                    <a:stretch>
                      <a:fillRect/>
                    </a:stretch>
                  </pic:blipFill>
                  <pic:spPr>
                    <a:xfrm>
                      <a:off x="0" y="0"/>
                      <a:ext cx="6028690" cy="408940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left="420" w:leftChars="0" w:firstLine="480" w:firstLineChars="200"/>
        <w:jc w:val="center"/>
        <w:rPr>
          <w:rFonts w:hint="default"/>
          <w:sz w:val="24"/>
          <w:szCs w:val="24"/>
          <w:lang w:val="en-US" w:eastAsia="zh-CN"/>
        </w:rPr>
      </w:pPr>
      <w:r>
        <w:rPr>
          <w:rFonts w:hint="eastAsia"/>
          <w:sz w:val="24"/>
          <w:szCs w:val="24"/>
          <w:lang w:val="en-US" w:eastAsia="zh-CN"/>
        </w:rPr>
        <w:t>图6：连续性变量的分布情况</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2.3.3 离散型数值变量</w:t>
      </w:r>
    </w:p>
    <w:p>
      <w:pPr>
        <w:pageBreakBefore w:val="0"/>
        <w:kinsoku/>
        <w:wordWrap/>
        <w:overflowPunct/>
        <w:topLinePunct w:val="0"/>
        <w:autoSpaceDE/>
        <w:autoSpaceDN/>
        <w:bidi w:val="0"/>
        <w:adjustRightInd/>
        <w:snapToGrid/>
        <w:spacing w:line="360" w:lineRule="auto"/>
        <w:ind w:firstLine="480" w:firstLineChars="200"/>
        <w:rPr>
          <w:rFonts w:hint="default"/>
          <w:sz w:val="24"/>
          <w:szCs w:val="24"/>
          <w:lang w:val="en-US" w:eastAsia="zh-CN"/>
        </w:rPr>
      </w:pPr>
      <w:r>
        <w:rPr>
          <w:rFonts w:hint="eastAsia"/>
          <w:sz w:val="24"/>
          <w:szCs w:val="24"/>
          <w:lang w:val="en-US" w:eastAsia="zh-CN"/>
        </w:rPr>
        <w:t>本文将不同数值个数小于15的数值变量归为离散型数值变量。图7展示了离散型数值变量的分布情况，可以发现贷款期限以三年为主；借贷者持有的房产大多不超过1套，且无房产者居多；贷款的验证状态和“initialListStatus ”（贷款的初始列表状态）的分布较为均匀；“purpose ”（借款人在贷款申请时的贷款用途类别）和“pubRecBankruptcies ”（公开记录清除的数量）多为0；“applicationType ”（表明贷款是个人申请还是与两个共同借款人的联合申请）和n系列匿名特征同值化严重，数值高度集中。</w:t>
      </w:r>
    </w:p>
    <w:p>
      <w:pPr>
        <w:pageBreakBefore w:val="0"/>
        <w:kinsoku/>
        <w:wordWrap/>
        <w:overflowPunct/>
        <w:topLinePunct w:val="0"/>
        <w:autoSpaceDE/>
        <w:autoSpaceDN/>
        <w:bidi w:val="0"/>
        <w:adjustRightInd/>
        <w:snapToGrid/>
        <w:spacing w:line="360" w:lineRule="auto"/>
        <w:ind w:firstLine="480" w:firstLineChars="200"/>
        <w:jc w:val="center"/>
        <w:rPr>
          <w:rFonts w:hint="default"/>
          <w:sz w:val="24"/>
          <w:szCs w:val="24"/>
          <w:lang w:val="en-US" w:eastAsia="zh-CN"/>
        </w:rPr>
      </w:pPr>
      <w:r>
        <w:rPr>
          <w:rFonts w:hint="default"/>
          <w:sz w:val="24"/>
          <w:szCs w:val="24"/>
          <w:lang w:val="en-US" w:eastAsia="zh-CN"/>
        </w:rPr>
        <w:drawing>
          <wp:inline distT="0" distB="0" distL="114300" distR="114300">
            <wp:extent cx="4459605" cy="5836285"/>
            <wp:effectExtent l="0" t="0" r="10795" b="5715"/>
            <wp:docPr id="16" name="图片 16" descr="分类变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分类变量"/>
                    <pic:cNvPicPr>
                      <a:picLocks noChangeAspect="1"/>
                    </pic:cNvPicPr>
                  </pic:nvPicPr>
                  <pic:blipFill>
                    <a:blip r:embed="rId11"/>
                    <a:srcRect l="6316" t="10309" r="8865" b="10404"/>
                    <a:stretch>
                      <a:fillRect/>
                    </a:stretch>
                  </pic:blipFill>
                  <pic:spPr>
                    <a:xfrm>
                      <a:off x="0" y="0"/>
                      <a:ext cx="4459605" cy="583628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left="420" w:leftChars="0" w:firstLine="480" w:firstLineChars="200"/>
        <w:jc w:val="center"/>
        <w:rPr>
          <w:rFonts w:hint="default"/>
          <w:sz w:val="24"/>
          <w:szCs w:val="24"/>
          <w:lang w:val="en-US" w:eastAsia="zh-CN"/>
        </w:rPr>
      </w:pPr>
      <w:r>
        <w:rPr>
          <w:rFonts w:hint="eastAsia"/>
          <w:sz w:val="24"/>
          <w:szCs w:val="24"/>
          <w:lang w:val="en-US" w:eastAsia="zh-CN"/>
        </w:rPr>
        <w:t>图7：离散型数值变量的分布情况</w:t>
      </w:r>
    </w:p>
    <w:p>
      <w:pPr>
        <w:pStyle w:val="2"/>
        <w:pageBreakBefore w:val="0"/>
        <w:kinsoku/>
        <w:wordWrap/>
        <w:overflowPunct/>
        <w:topLinePunct w:val="0"/>
        <w:autoSpaceDE/>
        <w:autoSpaceDN/>
        <w:bidi w:val="0"/>
        <w:adjustRightInd/>
        <w:snapToGrid/>
        <w:spacing w:beforeLines="-2147483648" w:beforeAutospacing="0" w:afterLines="-2147483648" w:afterAutospacing="0" w:line="360" w:lineRule="auto"/>
        <w:ind w:firstLine="482" w:firstLineChars="200"/>
        <w:rPr>
          <w:rFonts w:hint="eastAsia"/>
          <w:b/>
          <w:sz w:val="24"/>
          <w:szCs w:val="24"/>
          <w:lang w:val="en-US" w:eastAsia="zh-CN"/>
        </w:rPr>
      </w:pPr>
      <w:bookmarkStart w:id="14" w:name="_Toc29090"/>
      <w:bookmarkStart w:id="15" w:name="_Toc14695"/>
      <w:r>
        <w:rPr>
          <w:rFonts w:hint="eastAsia"/>
          <w:b/>
          <w:sz w:val="24"/>
          <w:szCs w:val="24"/>
          <w:lang w:val="en-US" w:eastAsia="zh-CN"/>
        </w:rPr>
        <w:t>3.模型选取</w:t>
      </w:r>
      <w:bookmarkEnd w:id="14"/>
      <w:bookmarkEnd w:id="15"/>
    </w:p>
    <w:p>
      <w:pPr>
        <w:pStyle w:val="3"/>
        <w:pageBreakBefore w:val="0"/>
        <w:kinsoku/>
        <w:wordWrap/>
        <w:overflowPunct/>
        <w:topLinePunct w:val="0"/>
        <w:autoSpaceDE/>
        <w:autoSpaceDN/>
        <w:bidi w:val="0"/>
        <w:adjustRightInd/>
        <w:snapToGrid/>
        <w:spacing w:beforeLines="-2147483648" w:beforeAutospacing="0" w:afterLines="-2147483648" w:afterAutospacing="0" w:line="360" w:lineRule="auto"/>
        <w:ind w:firstLine="482" w:firstLineChars="200"/>
        <w:rPr>
          <w:rFonts w:hint="eastAsia"/>
          <w:b/>
          <w:sz w:val="24"/>
          <w:szCs w:val="24"/>
          <w:lang w:val="en-US" w:eastAsia="zh-CN"/>
        </w:rPr>
      </w:pPr>
      <w:bookmarkStart w:id="16" w:name="_Toc20881"/>
      <w:bookmarkStart w:id="17" w:name="_Toc14513"/>
      <w:r>
        <w:rPr>
          <w:rFonts w:hint="eastAsia"/>
          <w:b/>
          <w:sz w:val="24"/>
          <w:szCs w:val="24"/>
          <w:lang w:val="en-US" w:eastAsia="zh-CN"/>
        </w:rPr>
        <w:t>3.1 逻辑回归</w:t>
      </w:r>
      <w:bookmarkEnd w:id="16"/>
      <w:bookmarkEnd w:id="17"/>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 xml:space="preserve">逻辑回归，也称logistic回归，是一种广义线性回归（generalized linear model），因此与多重线性回归分析有很多相同之处。它们的模型形式基本上相同，都具有 wx+b，其中w和b是待求参数，其区别在于他们的因变量不同，多重线性回归直接将wx+b作为因变量，即y =wx+b，而logistic回归则通过函数L将wx+b对应一个隐状态p，p =L(wx+b),然后根据p 与1-p的大小决定因变量的值。如果L是logistic函数，就是logistic回归，如果L是多项式函数就是多项式回归。 </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logistic回归的因变量可以是二分类的，也可以是多分类的，但是二分类的更为常用，也更加容易解释，多类可以使用softmax方法进行处理。实际中最为常用的就是二分类的logistic回归。</w:t>
      </w:r>
    </w:p>
    <w:p>
      <w:pPr>
        <w:pageBreakBefore w:val="0"/>
        <w:kinsoku/>
        <w:wordWrap/>
        <w:overflowPunct/>
        <w:topLinePunct w:val="0"/>
        <w:autoSpaceDE/>
        <w:autoSpaceDN/>
        <w:bidi w:val="0"/>
        <w:adjustRightInd/>
        <w:snapToGrid/>
        <w:spacing w:line="360" w:lineRule="auto"/>
        <w:ind w:firstLine="480" w:firstLineChars="200"/>
        <w:rPr>
          <w:rFonts w:hint="default"/>
          <w:sz w:val="24"/>
          <w:szCs w:val="24"/>
          <w:lang w:val="en-US" w:eastAsia="zh-CN"/>
        </w:rPr>
      </w:pPr>
      <w:r>
        <w:rPr>
          <w:rFonts w:hint="eastAsia"/>
          <w:sz w:val="24"/>
          <w:szCs w:val="24"/>
          <w:lang w:val="en-US" w:eastAsia="zh-CN"/>
        </w:rPr>
        <w:t>Logistic回归模型的适用条件有四个。</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第一，因变量为二分类的分类变量或某事件的发生率，并且是数值型变量。但是需要注意，重复计数现象指标不适用于Logistic回归。</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第二，残差和因变量都要服从二项分布。二项分布对应的是分类变量，所以不是正态分布，进而不是用最小二乘法，而是最大似然法来解决方程估计和检验问题。</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第三，自变量和Logistic概率是线性关系</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第四，各观测对象间相互独立。</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Logistic回归的实质是发生概率除以没有发生概率再取对数。就是这个不太繁琐的变换改变了取值区间的矛盾和因变量自变量间的曲线关系。究其原因，是发生和未发生的概率成为了比值 ，这个比值就是一个缓冲，将取值范围扩大，再进行对数变换，整个因变量改变。不仅如此，这种变换往往使得因变量和自变量之间呈线性关系，这是根据大量实践而总结。所以，Logistic回归从根本上解决因变量要不是连续变量怎么办的问题。还有，Logistic应用广泛的原因是许多现实问题跟它的模型吻合。例如一件事情是否发生跟其他数值型自变量的关系。</w:t>
      </w:r>
    </w:p>
    <w:p>
      <w:pPr>
        <w:pageBreakBefore w:val="0"/>
        <w:kinsoku/>
        <w:wordWrap/>
        <w:overflowPunct/>
        <w:topLinePunct w:val="0"/>
        <w:autoSpaceDE/>
        <w:autoSpaceDN/>
        <w:bidi w:val="0"/>
        <w:adjustRightInd/>
        <w:snapToGrid/>
        <w:spacing w:line="360" w:lineRule="auto"/>
        <w:ind w:firstLine="480" w:firstLineChars="200"/>
        <w:rPr>
          <w:rFonts w:hint="default"/>
          <w:sz w:val="24"/>
          <w:szCs w:val="24"/>
          <w:lang w:val="en-US" w:eastAsia="zh-CN"/>
        </w:rPr>
      </w:pPr>
      <w:r>
        <w:rPr>
          <w:rFonts w:hint="eastAsia"/>
          <w:sz w:val="24"/>
          <w:szCs w:val="24"/>
          <w:lang w:val="en-US" w:eastAsia="zh-CN"/>
        </w:rPr>
        <w:t>逻辑回归的常规步骤有三步：</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首先，构造预测函数h(x)。</w:t>
      </w:r>
    </w:p>
    <w:p>
      <w:pPr>
        <w:pageBreakBefore w:val="0"/>
        <w:kinsoku/>
        <w:wordWrap/>
        <w:overflowPunct/>
        <w:topLinePunct w:val="0"/>
        <w:autoSpaceDE/>
        <w:autoSpaceDN/>
        <w:bidi w:val="0"/>
        <w:adjustRightInd/>
        <w:snapToGrid/>
        <w:spacing w:line="360" w:lineRule="auto"/>
        <w:ind w:firstLine="480" w:firstLineChars="200"/>
        <w:rPr>
          <w:sz w:val="24"/>
          <w:szCs w:val="24"/>
        </w:rPr>
      </w:pPr>
      <w:r>
        <w:rPr>
          <w:rFonts w:hint="eastAsia"/>
          <w:sz w:val="24"/>
          <w:szCs w:val="24"/>
          <w:lang w:val="en-US" w:eastAsia="zh-CN"/>
        </w:rPr>
        <w:t>Logistic函数（或称为Sigmoid函数），函数形式为</w:t>
      </w:r>
      <m:oMath>
        <m:r>
          <m:rPr>
            <m:sty m:val="p"/>
          </m:rPr>
          <w:rPr>
            <w:rFonts w:hint="default" w:ascii="Cambria Math" w:hAnsi="Cambria Math"/>
            <w:sz w:val="24"/>
            <w:szCs w:val="24"/>
            <w:lang w:val="en-US" w:eastAsia="zh-CN"/>
          </w:rPr>
          <m:t>g(z)=</m:t>
        </m:r>
        <m:f>
          <m:fPr>
            <m:ctrlPr>
              <w:rPr>
                <w:rFonts w:hint="default" w:ascii="Cambria Math" w:hAnsi="Cambria Math"/>
                <w:sz w:val="24"/>
                <w:szCs w:val="24"/>
                <w:lang w:val="en-US" w:eastAsia="zh-CN"/>
              </w:rPr>
            </m:ctrlPr>
          </m:fPr>
          <m:num>
            <m:r>
              <m:rPr>
                <m:sty m:val="p"/>
              </m:rPr>
              <w:rPr>
                <w:rFonts w:hint="default" w:ascii="Cambria Math" w:hAnsi="Cambria Math"/>
                <w:sz w:val="24"/>
                <w:szCs w:val="24"/>
                <w:lang w:val="en-US" w:eastAsia="zh-CN"/>
              </w:rPr>
              <m:t>1</m:t>
            </m:r>
            <m:ctrlPr>
              <w:rPr>
                <w:rFonts w:hint="default" w:ascii="Cambria Math" w:hAnsi="Cambria Math"/>
                <w:sz w:val="24"/>
                <w:szCs w:val="24"/>
                <w:lang w:val="en-US" w:eastAsia="zh-CN"/>
              </w:rPr>
            </m:ctrlPr>
          </m:num>
          <m:den>
            <m:r>
              <m:rPr>
                <m:sty m:val="p"/>
              </m:rPr>
              <w:rPr>
                <w:rFonts w:hint="default" w:ascii="Cambria Math" w:hAnsi="Cambria Math"/>
                <w:sz w:val="24"/>
                <w:szCs w:val="24"/>
                <w:lang w:val="en-US" w:eastAsia="zh-CN"/>
              </w:rPr>
              <m:t>1+</m:t>
            </m:r>
            <m:sSup>
              <m:sSupPr>
                <m:ctrlPr>
                  <w:rPr>
                    <w:rFonts w:hint="default" w:ascii="Cambria Math" w:hAnsi="Cambria Math"/>
                    <w:sz w:val="24"/>
                    <w:szCs w:val="24"/>
                    <w:lang w:val="en-US" w:eastAsia="zh-CN"/>
                  </w:rPr>
                </m:ctrlPr>
              </m:sSupPr>
              <m:e>
                <m:r>
                  <m:rPr>
                    <m:sty m:val="p"/>
                  </m:rPr>
                  <w:rPr>
                    <w:rFonts w:hint="default" w:ascii="Cambria Math" w:hAnsi="Cambria Math"/>
                    <w:sz w:val="24"/>
                    <w:szCs w:val="24"/>
                    <w:lang w:val="en-US" w:eastAsia="zh-CN"/>
                  </w:rPr>
                  <m:t>e</m:t>
                </m:r>
                <m:ctrlPr>
                  <w:rPr>
                    <w:rFonts w:hint="default" w:ascii="Cambria Math" w:hAnsi="Cambria Math"/>
                    <w:sz w:val="24"/>
                    <w:szCs w:val="24"/>
                    <w:lang w:val="en-US" w:eastAsia="zh-CN"/>
                  </w:rPr>
                </m:ctrlPr>
              </m:e>
              <m:sup>
                <m:r>
                  <m:rPr>
                    <m:sty m:val="p"/>
                  </m:rPr>
                  <w:rPr>
                    <w:rFonts w:hint="default" w:ascii="Cambria Math" w:hAnsi="Cambria Math"/>
                    <w:sz w:val="24"/>
                    <w:szCs w:val="24"/>
                    <w:lang w:val="en-US" w:eastAsia="zh-CN"/>
                  </w:rPr>
                  <m:t>−z</m:t>
                </m:r>
                <m:ctrlPr>
                  <w:rPr>
                    <w:rFonts w:hint="default" w:ascii="Cambria Math" w:hAnsi="Cambria Math"/>
                    <w:sz w:val="24"/>
                    <w:szCs w:val="24"/>
                    <w:lang w:val="en-US" w:eastAsia="zh-CN"/>
                  </w:rPr>
                </m:ctrlPr>
              </m:sup>
            </m:sSup>
            <m:ctrlPr>
              <w:rPr>
                <w:rFonts w:hint="default" w:ascii="Cambria Math" w:hAnsi="Cambria Math"/>
                <w:sz w:val="24"/>
                <w:szCs w:val="24"/>
                <w:lang w:val="en-US" w:eastAsia="zh-CN"/>
              </w:rPr>
            </m:ctrlPr>
          </m:den>
        </m:f>
      </m:oMath>
      <w:r>
        <w:rPr>
          <w:rFonts w:hint="eastAsia"/>
          <w:sz w:val="24"/>
          <w:szCs w:val="24"/>
          <w:lang w:val="en-US" w:eastAsia="zh-CN"/>
        </w:rPr>
        <w:t>。</w:t>
      </w:r>
      <w:r>
        <w:rPr>
          <w:sz w:val="24"/>
          <w:szCs w:val="24"/>
        </w:rPr>
        <w:t>对于线性边界的情况，边界形式如下：</w:t>
      </w:r>
    </w:p>
    <w:p>
      <w:pPr>
        <w:pageBreakBefore w:val="0"/>
        <w:kinsoku/>
        <w:wordWrap/>
        <w:overflowPunct/>
        <w:topLinePunct w:val="0"/>
        <w:autoSpaceDE/>
        <w:autoSpaceDN/>
        <w:bidi w:val="0"/>
        <w:adjustRightInd/>
        <w:snapToGrid/>
        <w:spacing w:line="360" w:lineRule="auto"/>
        <w:ind w:firstLine="480" w:firstLineChars="2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670175" cy="513715"/>
            <wp:effectExtent l="0" t="0" r="9525"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2"/>
                    <a:stretch>
                      <a:fillRect/>
                    </a:stretch>
                  </pic:blipFill>
                  <pic:spPr>
                    <a:xfrm>
                      <a:off x="0" y="0"/>
                      <a:ext cx="2670175" cy="51371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其中，训练数据为向量 x，最佳参数 为θ。</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 xml:space="preserve">于是，构造预测函数为： </w:t>
      </w:r>
    </w:p>
    <w:p>
      <w:pPr>
        <w:pageBreakBefore w:val="0"/>
        <w:kinsoku/>
        <w:wordWrap/>
        <w:overflowPunct/>
        <w:topLinePunct w:val="0"/>
        <w:autoSpaceDE/>
        <w:autoSpaceDN/>
        <w:bidi w:val="0"/>
        <w:adjustRightInd/>
        <w:snapToGrid/>
        <w:spacing w:line="360" w:lineRule="auto"/>
        <w:ind w:firstLine="480" w:firstLineChars="2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1885950" cy="380365"/>
            <wp:effectExtent l="0" t="0" r="6350" b="635"/>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3"/>
                    <a:stretch>
                      <a:fillRect/>
                    </a:stretch>
                  </pic:blipFill>
                  <pic:spPr>
                    <a:xfrm>
                      <a:off x="0" y="0"/>
                      <a:ext cx="1885950" cy="38036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函数h(x)的值有特殊的含义，它表示结果取1的概率，因此对于输入x分类结果为类别1和类别0的概率分别为： </w:t>
      </w:r>
    </w:p>
    <w:p>
      <w:pPr>
        <w:pageBreakBefore w:val="0"/>
        <w:kinsoku/>
        <w:wordWrap/>
        <w:overflowPunct/>
        <w:topLinePunct w:val="0"/>
        <w:autoSpaceDE/>
        <w:autoSpaceDN/>
        <w:bidi w:val="0"/>
        <w:adjustRightInd/>
        <w:snapToGrid/>
        <w:spacing w:line="360" w:lineRule="auto"/>
        <w:ind w:firstLine="480" w:firstLineChars="200"/>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P(y=1│x;θ)=h_θ (x)</w:t>
      </w:r>
    </w:p>
    <w:p>
      <w:pPr>
        <w:pageBreakBefore w:val="0"/>
        <w:kinsoku/>
        <w:wordWrap/>
        <w:overflowPunct/>
        <w:topLinePunct w:val="0"/>
        <w:autoSpaceDE/>
        <w:autoSpaceDN/>
        <w:bidi w:val="0"/>
        <w:adjustRightInd/>
        <w:snapToGrid/>
        <w:spacing w:line="360" w:lineRule="auto"/>
        <w:ind w:firstLine="480" w:firstLineChars="200"/>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P(y=0│x;θ)=1-h_θ (x)</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其次，构造损失函数J（m个样本，每个样本具有n个特征）。</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Cost函数和J函数如下，它们是基于最大似然估计推导得到的。</w:t>
      </w:r>
    </w:p>
    <w:p>
      <w:pPr>
        <w:pageBreakBefore w:val="0"/>
        <w:kinsoku/>
        <w:wordWrap/>
        <w:overflowPunct/>
        <w:topLinePunct w:val="0"/>
        <w:autoSpaceDE/>
        <w:autoSpaceDN/>
        <w:bidi w:val="0"/>
        <w:adjustRightInd/>
        <w:snapToGrid/>
        <w:spacing w:line="360" w:lineRule="auto"/>
        <w:ind w:firstLine="480" w:firstLineChars="200"/>
        <w:jc w:val="center"/>
        <w:rPr>
          <w:rFonts w:hint="eastAsia"/>
          <w:sz w:val="24"/>
          <w:szCs w:val="24"/>
          <w:lang w:val="en-US" w:eastAsia="zh-CN"/>
        </w:rPr>
      </w:pPr>
      <w:r>
        <w:rPr>
          <w:rFonts w:ascii="宋体" w:hAnsi="宋体" w:eastAsia="宋体" w:cs="宋体"/>
          <w:sz w:val="24"/>
          <w:szCs w:val="24"/>
        </w:rPr>
        <w:drawing>
          <wp:inline distT="0" distB="0" distL="114300" distR="114300">
            <wp:extent cx="4915535" cy="1080135"/>
            <wp:effectExtent l="0" t="0" r="12065" b="12065"/>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14"/>
                    <a:stretch>
                      <a:fillRect/>
                    </a:stretch>
                  </pic:blipFill>
                  <pic:spPr>
                    <a:xfrm>
                      <a:off x="0" y="0"/>
                      <a:ext cx="4915535" cy="108013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最后，想办法使得J函数最小并求得回归参数（θ）。一般使用梯度下降法，来不断更新参数θ，使得损失函数J达到最小。</w:t>
      </w:r>
    </w:p>
    <w:p>
      <w:pPr>
        <w:pageBreakBefore w:val="0"/>
        <w:kinsoku/>
        <w:wordWrap/>
        <w:overflowPunct/>
        <w:topLinePunct w:val="0"/>
        <w:autoSpaceDE/>
        <w:autoSpaceDN/>
        <w:bidi w:val="0"/>
        <w:adjustRightInd/>
        <w:snapToGrid/>
        <w:spacing w:line="360" w:lineRule="auto"/>
        <w:ind w:firstLine="480" w:firstLineChars="200"/>
        <w:jc w:val="center"/>
        <w:rPr>
          <w:rFonts w:hint="default"/>
          <w:sz w:val="24"/>
          <w:szCs w:val="24"/>
          <w:lang w:val="en-US" w:eastAsia="zh-CN"/>
        </w:rPr>
      </w:pPr>
      <w:r>
        <w:rPr>
          <w:rFonts w:ascii="宋体" w:hAnsi="宋体" w:eastAsia="宋体" w:cs="宋体"/>
          <w:sz w:val="24"/>
          <w:szCs w:val="24"/>
        </w:rPr>
        <w:drawing>
          <wp:inline distT="0" distB="0" distL="114300" distR="114300">
            <wp:extent cx="3645535" cy="2961640"/>
            <wp:effectExtent l="0" t="0" r="12065" b="1016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15"/>
                    <a:stretch>
                      <a:fillRect/>
                    </a:stretch>
                  </pic:blipFill>
                  <pic:spPr>
                    <a:xfrm>
                      <a:off x="0" y="0"/>
                      <a:ext cx="3645535" cy="2961640"/>
                    </a:xfrm>
                    <a:prstGeom prst="rect">
                      <a:avLst/>
                    </a:prstGeom>
                    <a:noFill/>
                    <a:ln w="9525">
                      <a:noFill/>
                    </a:ln>
                  </pic:spPr>
                </pic:pic>
              </a:graphicData>
            </a:graphic>
          </wp:inline>
        </w:drawing>
      </w:r>
    </w:p>
    <w:p>
      <w:pPr>
        <w:pStyle w:val="3"/>
        <w:pageBreakBefore w:val="0"/>
        <w:kinsoku/>
        <w:wordWrap/>
        <w:overflowPunct/>
        <w:topLinePunct w:val="0"/>
        <w:autoSpaceDE/>
        <w:autoSpaceDN/>
        <w:bidi w:val="0"/>
        <w:adjustRightInd/>
        <w:snapToGrid/>
        <w:spacing w:beforeLines="-2147483648" w:beforeAutospacing="0" w:afterLines="-2147483648" w:afterAutospacing="0" w:line="360" w:lineRule="auto"/>
        <w:ind w:firstLine="482" w:firstLineChars="200"/>
        <w:rPr>
          <w:rFonts w:hint="eastAsia"/>
          <w:sz w:val="24"/>
          <w:szCs w:val="24"/>
          <w:lang w:val="en-US" w:eastAsia="zh-CN"/>
        </w:rPr>
      </w:pPr>
      <w:bookmarkStart w:id="18" w:name="_Toc27955"/>
      <w:bookmarkStart w:id="19" w:name="_Toc15214"/>
      <w:r>
        <w:rPr>
          <w:rFonts w:hint="eastAsia"/>
          <w:b/>
          <w:sz w:val="24"/>
          <w:szCs w:val="24"/>
          <w:lang w:val="en-US" w:eastAsia="zh-CN"/>
        </w:rPr>
        <w:t>3.2 集成学习</w:t>
      </w:r>
      <w:bookmarkEnd w:id="18"/>
      <w:bookmarkEnd w:id="19"/>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Xgboost的全称是eXtreme Gradient Boosting, 即极端梯度提升树, 是梯度提升机器算法 (Gradient Boosting Machine) 的扩展。Boosting分类器属于集成学习模型, 其基本思想是把成百上千个分类准确率较低的树模型组合成一个准确率较高的模型。该模型不断迭代, 每次迭代生成一棵新的树, 如何在每一步生成合理的树是Boosting分类器的核心。Gradient Boosting Machine算法在生成每一棵树的时候采用梯度下降的思想, 以上一步生成的所有树为基础, 向着最小化给定目标函数的方向前进。在合理的参数设置下, 需要生成一定数量的树才能达到预期准确率, 在数据集较大较复杂的时候, Gradient Boosting Machine算法的计算量巨大。Xgboost是Gradient Boosting Machine的实现, 能自动利用CPU的多线程进行并行, 并对算法加以改进以提高精度。Xgboost的基学习器既有树 (gbtree) 又有线性分类器 (gblinear) , 从而得到带L1+L2惩罚的线性回归或逻辑回归, 其损失函数采用二阶泰勒展开, 具有高准确度、不易过拟合、可扩展性等特点, 能分布式处理高维稀疏特征, 因此在同等情况下, Xgboost算法比同类算法快10倍以上。</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Boosting是一种非常有效的集成学习算法, 采用Boosting方法可以将弱分类器转化为强分类器, 从而达到准确的分类效果。其步骤如下所示:</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第一步， 将所有训练集样本赋予相同权重;</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第二步，进行第m次迭代, 每次迭代采用分类算法进行分类, 采用公式 (1) 计算分类的错误率:</w:t>
      </w:r>
    </w:p>
    <w:p>
      <w:pPr>
        <w:pageBreakBefore w:val="0"/>
        <w:kinsoku/>
        <w:wordWrap/>
        <w:overflowPunct/>
        <w:topLinePunct w:val="0"/>
        <w:autoSpaceDE/>
        <w:autoSpaceDN/>
        <w:bidi w:val="0"/>
        <w:adjustRightInd/>
        <w:snapToGrid/>
        <w:spacing w:line="360" w:lineRule="auto"/>
        <w:ind w:firstLine="480" w:firstLineChars="200"/>
        <w:jc w:val="center"/>
        <w:rPr>
          <w:rFonts w:hint="eastAsia"/>
          <w:sz w:val="24"/>
          <w:szCs w:val="24"/>
          <w:lang w:val="en-US" w:eastAsia="zh-CN"/>
        </w:rPr>
      </w:pPr>
      <w:r>
        <w:rPr>
          <w:rFonts w:hint="eastAsia"/>
          <w:sz w:val="24"/>
          <w:szCs w:val="24"/>
          <w:lang w:val="en-US" w:eastAsia="zh-CN"/>
        </w:rPr>
        <w:drawing>
          <wp:inline distT="0" distB="0" distL="114300" distR="114300">
            <wp:extent cx="2915920" cy="497205"/>
            <wp:effectExtent l="0" t="0" r="5080" b="10795"/>
            <wp:docPr id="9" name="图片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pic:cNvPicPr>
                  </pic:nvPicPr>
                  <pic:blipFill>
                    <a:blip r:embed="rId16"/>
                    <a:stretch>
                      <a:fillRect/>
                    </a:stretch>
                  </pic:blipFill>
                  <pic:spPr>
                    <a:xfrm>
                      <a:off x="0" y="0"/>
                      <a:ext cx="2915920" cy="49720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式中ωi代表第i个样本的权重, Gm代表第m个分类器;</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第三步，计算下式</w:t>
      </w:r>
    </w:p>
    <w:p>
      <w:pPr>
        <w:pageBreakBefore w:val="0"/>
        <w:kinsoku/>
        <w:wordWrap/>
        <w:overflowPunct/>
        <w:topLinePunct w:val="0"/>
        <w:autoSpaceDE/>
        <w:autoSpaceDN/>
        <w:bidi w:val="0"/>
        <w:adjustRightInd/>
        <w:snapToGrid/>
        <w:spacing w:line="360" w:lineRule="auto"/>
        <w:ind w:firstLine="480" w:firstLineChars="200"/>
        <w:jc w:val="center"/>
        <w:rPr>
          <w:rFonts w:hint="eastAsia"/>
          <w:sz w:val="24"/>
          <w:szCs w:val="24"/>
          <w:lang w:val="en-US" w:eastAsia="zh-CN"/>
        </w:rPr>
      </w:pPr>
      <w:r>
        <w:rPr>
          <w:rFonts w:hint="eastAsia"/>
          <w:sz w:val="24"/>
          <w:szCs w:val="24"/>
          <w:lang w:val="en-US" w:eastAsia="zh-CN"/>
        </w:rPr>
        <w:drawing>
          <wp:inline distT="0" distB="0" distL="114300" distR="114300">
            <wp:extent cx="1971675" cy="276860"/>
            <wp:effectExtent l="0" t="0" r="9525" b="2540"/>
            <wp:docPr id="10" name="图片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pic:cNvPicPr>
                  </pic:nvPicPr>
                  <pic:blipFill>
                    <a:blip r:embed="rId17"/>
                    <a:srcRect l="28774" t="6432" r="6485" b="3112"/>
                    <a:stretch>
                      <a:fillRect/>
                    </a:stretch>
                  </pic:blipFill>
                  <pic:spPr>
                    <a:xfrm>
                      <a:off x="0" y="0"/>
                      <a:ext cx="1971675" cy="27686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80" w:firstLineChars="200"/>
        <w:rPr>
          <w:rFonts w:hint="default" w:eastAsiaTheme="minorEastAsia"/>
          <w:sz w:val="24"/>
          <w:szCs w:val="24"/>
          <w:lang w:val="en-US" w:eastAsia="zh-CN"/>
        </w:rPr>
      </w:pPr>
      <w:r>
        <w:rPr>
          <w:rFonts w:hint="eastAsia"/>
          <w:sz w:val="24"/>
          <w:szCs w:val="24"/>
          <w:lang w:val="en-US" w:eastAsia="zh-CN"/>
        </w:rPr>
        <w:t>第四步，对于第m+1次迭代，将第i个样本的权重</w:t>
      </w:r>
      <m:oMath>
        <m:sSub>
          <m:sSubPr>
            <m:ctrlPr>
              <w:rPr>
                <w:rFonts w:ascii="Cambria Math" w:hAnsi="Cambria Math"/>
                <w:i/>
                <w:sz w:val="24"/>
                <w:szCs w:val="24"/>
                <w:lang w:val="en-US"/>
              </w:rPr>
            </m:ctrlPr>
          </m:sSubPr>
          <m:e>
            <m:r>
              <m:rPr/>
              <w:rPr>
                <w:rFonts w:ascii="Cambria Math" w:hAnsi="Cambria Math"/>
                <w:sz w:val="24"/>
                <w:szCs w:val="24"/>
                <w:lang w:val="en-US"/>
              </w:rPr>
              <m:t>ω</m:t>
            </m:r>
            <m:ctrlPr>
              <w:rPr>
                <w:rFonts w:ascii="Cambria Math" w:hAnsi="Cambria Math"/>
                <w:i/>
                <w:sz w:val="24"/>
                <w:szCs w:val="24"/>
                <w:lang w:val="en-US"/>
              </w:rPr>
            </m:ctrlPr>
          </m:e>
          <m:sub>
            <m:r>
              <m:rPr/>
              <w:rPr>
                <w:rFonts w:hint="default" w:ascii="Cambria Math" w:hAnsi="Cambria Math"/>
                <w:sz w:val="24"/>
                <w:szCs w:val="24"/>
                <w:lang w:val="en-US" w:eastAsia="zh-CN"/>
              </w:rPr>
              <m:t>i</m:t>
            </m:r>
            <m:ctrlPr>
              <w:rPr>
                <w:rFonts w:ascii="Cambria Math" w:hAnsi="Cambria Math"/>
                <w:i/>
                <w:sz w:val="24"/>
                <w:szCs w:val="24"/>
                <w:lang w:val="en-US"/>
              </w:rPr>
            </m:ctrlPr>
          </m:sub>
        </m:sSub>
      </m:oMath>
      <w:r>
        <w:rPr>
          <w:rFonts w:hint="eastAsia" w:hAnsi="Cambria Math"/>
          <w:i w:val="0"/>
          <w:sz w:val="24"/>
          <w:szCs w:val="24"/>
          <w:lang w:val="en-US" w:eastAsia="zh-CN"/>
        </w:rPr>
        <w:t>重置为</w:t>
      </w:r>
    </w:p>
    <w:p>
      <w:pPr>
        <w:pageBreakBefore w:val="0"/>
        <w:kinsoku/>
        <w:wordWrap/>
        <w:overflowPunct/>
        <w:topLinePunct w:val="0"/>
        <w:autoSpaceDE/>
        <w:autoSpaceDN/>
        <w:bidi w:val="0"/>
        <w:adjustRightInd/>
        <w:snapToGrid/>
        <w:spacing w:line="360" w:lineRule="auto"/>
        <w:ind w:firstLine="480" w:firstLineChars="200"/>
        <w:jc w:val="center"/>
        <w:rPr>
          <w:rFonts w:hint="eastAsia"/>
          <w:sz w:val="24"/>
          <w:szCs w:val="24"/>
          <w:lang w:val="en-US" w:eastAsia="zh-CN"/>
        </w:rPr>
      </w:pPr>
      <w:r>
        <w:rPr>
          <w:rFonts w:hint="eastAsia"/>
          <w:sz w:val="24"/>
          <w:szCs w:val="24"/>
          <w:lang w:val="en-US" w:eastAsia="zh-CN"/>
        </w:rPr>
        <w:drawing>
          <wp:inline distT="0" distB="0" distL="114300" distR="114300">
            <wp:extent cx="1310005" cy="305435"/>
            <wp:effectExtent l="0" t="0" r="10795" b="12065"/>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pic:cNvPicPr>
                  </pic:nvPicPr>
                  <pic:blipFill>
                    <a:blip r:embed="rId18"/>
                    <a:srcRect t="53571" r="75151"/>
                    <a:stretch>
                      <a:fillRect/>
                    </a:stretch>
                  </pic:blipFill>
                  <pic:spPr>
                    <a:xfrm>
                      <a:off x="0" y="0"/>
                      <a:ext cx="1310005" cy="30543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第五步，完成迭代后得到全部的分类器, 采用投票方式得到每个样本的分类结果。其核心在于每次迭代后, 分类错误的样本都会被赋予更高的权重, 从而改善下一次分类的效果。</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Gradient Boosting是Boosting的一个改进版本, 经证明, Boosting的损失函数是指数形式, 而Gradient Boosting则是令算法的损失函数在迭代过程中沿其梯度方向下降, 从而提升稳健性。其算法流程如下所示:</w:t>
      </w:r>
    </w:p>
    <w:p>
      <w:pPr>
        <w:pageBreakBefore w:val="0"/>
        <w:kinsoku/>
        <w:wordWrap/>
        <w:overflowPunct/>
        <w:topLinePunct w:val="0"/>
        <w:autoSpaceDE/>
        <w:autoSpaceDN/>
        <w:bidi w:val="0"/>
        <w:adjustRightInd/>
        <w:snapToGrid/>
        <w:spacing w:line="360" w:lineRule="auto"/>
        <w:ind w:firstLine="480" w:firstLineChars="200"/>
        <w:rPr>
          <w:rFonts w:hint="default"/>
          <w:sz w:val="24"/>
          <w:szCs w:val="24"/>
          <w:lang w:val="en-US" w:eastAsia="zh-CN"/>
        </w:rPr>
      </w:pPr>
      <w:r>
        <w:rPr>
          <w:rFonts w:hint="eastAsia"/>
          <w:sz w:val="24"/>
          <w:szCs w:val="24"/>
          <w:lang w:val="en-US" w:eastAsia="zh-CN"/>
        </w:rPr>
        <w:t>（1）初始化</w:t>
      </w:r>
    </w:p>
    <w:p>
      <w:pPr>
        <w:pageBreakBefore w:val="0"/>
        <w:kinsoku/>
        <w:wordWrap/>
        <w:overflowPunct/>
        <w:topLinePunct w:val="0"/>
        <w:autoSpaceDE/>
        <w:autoSpaceDN/>
        <w:bidi w:val="0"/>
        <w:adjustRightInd/>
        <w:snapToGrid/>
        <w:spacing w:line="360" w:lineRule="auto"/>
        <w:ind w:firstLine="480" w:firstLineChars="200"/>
        <w:jc w:val="center"/>
        <w:rPr>
          <w:rFonts w:hint="eastAsia"/>
          <w:sz w:val="24"/>
          <w:szCs w:val="24"/>
          <w:lang w:val="en-US" w:eastAsia="zh-CN"/>
        </w:rPr>
      </w:pPr>
      <w:r>
        <w:rPr>
          <w:rFonts w:hint="eastAsia"/>
          <w:sz w:val="24"/>
          <w:szCs w:val="24"/>
          <w:lang w:val="en-US" w:eastAsia="zh-CN"/>
        </w:rPr>
        <w:drawing>
          <wp:inline distT="0" distB="0" distL="114300" distR="114300">
            <wp:extent cx="2252980" cy="349250"/>
            <wp:effectExtent l="0" t="0" r="7620" b="6350"/>
            <wp:docPr id="17" name="图片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age"/>
                    <pic:cNvPicPr>
                      <a:picLocks noChangeAspect="1"/>
                    </pic:cNvPicPr>
                  </pic:nvPicPr>
                  <pic:blipFill>
                    <a:blip r:embed="rId19"/>
                    <a:srcRect l="28781" t="10303" r="6376" b="17489"/>
                    <a:stretch>
                      <a:fillRect/>
                    </a:stretch>
                  </pic:blipFill>
                  <pic:spPr>
                    <a:xfrm>
                      <a:off x="0" y="0"/>
                      <a:ext cx="2252980" cy="34925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80" w:firstLineChars="200"/>
        <w:jc w:val="both"/>
        <w:rPr>
          <w:rFonts w:hint="eastAsia"/>
          <w:sz w:val="24"/>
          <w:szCs w:val="24"/>
          <w:lang w:val="en-US" w:eastAsia="zh-CN"/>
        </w:rPr>
      </w:pPr>
      <w:r>
        <w:rPr>
          <w:rFonts w:hint="eastAsia"/>
          <w:sz w:val="24"/>
          <w:szCs w:val="24"/>
          <w:lang w:val="en-US" w:eastAsia="zh-CN"/>
        </w:rPr>
        <w:t>（2）对于1-m次迭代:</w:t>
      </w:r>
    </w:p>
    <w:p>
      <w:pPr>
        <w:pageBreakBefore w:val="0"/>
        <w:kinsoku/>
        <w:wordWrap/>
        <w:overflowPunct/>
        <w:topLinePunct w:val="0"/>
        <w:autoSpaceDE/>
        <w:autoSpaceDN/>
        <w:bidi w:val="0"/>
        <w:adjustRightInd/>
        <w:snapToGrid/>
        <w:spacing w:line="360" w:lineRule="auto"/>
        <w:ind w:firstLine="480" w:firstLineChars="200"/>
        <w:jc w:val="center"/>
        <w:rPr>
          <w:rFonts w:hint="eastAsia"/>
          <w:sz w:val="24"/>
          <w:szCs w:val="24"/>
          <w:lang w:val="en-US" w:eastAsia="zh-CN"/>
        </w:rPr>
      </w:pPr>
      <w:r>
        <w:rPr>
          <w:rFonts w:hint="eastAsia"/>
          <w:sz w:val="24"/>
          <w:szCs w:val="24"/>
          <w:lang w:val="en-US" w:eastAsia="zh-CN"/>
        </w:rPr>
        <w:drawing>
          <wp:inline distT="0" distB="0" distL="114300" distR="114300">
            <wp:extent cx="2486025" cy="379095"/>
            <wp:effectExtent l="0" t="0" r="3175" b="1905"/>
            <wp:docPr id="19" name="图片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age"/>
                    <pic:cNvPicPr>
                      <a:picLocks noChangeAspect="1"/>
                    </pic:cNvPicPr>
                  </pic:nvPicPr>
                  <pic:blipFill>
                    <a:blip r:embed="rId20"/>
                    <a:stretch>
                      <a:fillRect/>
                    </a:stretch>
                  </pic:blipFill>
                  <pic:spPr>
                    <a:xfrm>
                      <a:off x="0" y="0"/>
                      <a:ext cx="2486025" cy="37909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80" w:firstLineChars="200"/>
        <w:jc w:val="both"/>
        <w:rPr>
          <w:rFonts w:hint="eastAsia"/>
          <w:sz w:val="24"/>
          <w:szCs w:val="24"/>
          <w:lang w:val="en-US" w:eastAsia="zh-CN"/>
        </w:rPr>
      </w:pPr>
      <w:r>
        <w:rPr>
          <w:rFonts w:hint="eastAsia"/>
          <w:sz w:val="24"/>
          <w:szCs w:val="24"/>
          <w:lang w:val="en-US" w:eastAsia="zh-CN"/>
        </w:rPr>
        <w:t>（3）对于m=1到M</w:t>
      </w:r>
    </w:p>
    <w:p>
      <w:pPr>
        <w:pageBreakBefore w:val="0"/>
        <w:kinsoku/>
        <w:wordWrap/>
        <w:overflowPunct/>
        <w:topLinePunct w:val="0"/>
        <w:autoSpaceDE/>
        <w:autoSpaceDN/>
        <w:bidi w:val="0"/>
        <w:adjustRightInd/>
        <w:snapToGrid/>
        <w:spacing w:line="360" w:lineRule="auto"/>
        <w:ind w:firstLine="480" w:firstLineChars="200"/>
        <w:jc w:val="center"/>
        <w:rPr>
          <w:rFonts w:hint="eastAsia"/>
          <w:sz w:val="24"/>
          <w:szCs w:val="24"/>
          <w:lang w:val="en-US" w:eastAsia="zh-CN"/>
        </w:rPr>
      </w:pPr>
      <w:r>
        <w:rPr>
          <w:rFonts w:hint="eastAsia"/>
          <w:sz w:val="24"/>
          <w:szCs w:val="24"/>
          <w:lang w:val="en-US" w:eastAsia="zh-CN"/>
        </w:rPr>
        <w:drawing>
          <wp:inline distT="0" distB="0" distL="114300" distR="114300">
            <wp:extent cx="2855595" cy="1057275"/>
            <wp:effectExtent l="0" t="0" r="1905" b="9525"/>
            <wp:docPr id="20" name="图片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age"/>
                    <pic:cNvPicPr>
                      <a:picLocks noChangeAspect="1"/>
                    </pic:cNvPicPr>
                  </pic:nvPicPr>
                  <pic:blipFill>
                    <a:blip r:embed="rId21"/>
                    <a:stretch>
                      <a:fillRect/>
                    </a:stretch>
                  </pic:blipFill>
                  <pic:spPr>
                    <a:xfrm>
                      <a:off x="0" y="0"/>
                      <a:ext cx="2855595" cy="105727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(5) 完成迭代后得到全部的分类器, 采用投票方式得到每个样本的分类结果。其核心在于每次迭代后, 分类错误的样本都会被赋予更高的权重, 从而改善下一次分类的效果。</w:t>
      </w:r>
    </w:p>
    <w:p>
      <w:pPr>
        <w:pStyle w:val="2"/>
        <w:pageBreakBefore w:val="0"/>
        <w:kinsoku/>
        <w:wordWrap/>
        <w:overflowPunct/>
        <w:topLinePunct w:val="0"/>
        <w:autoSpaceDE/>
        <w:autoSpaceDN/>
        <w:bidi w:val="0"/>
        <w:adjustRightInd/>
        <w:snapToGrid/>
        <w:spacing w:beforeLines="-2147483648" w:beforeAutospacing="0" w:afterLines="-2147483648" w:afterAutospacing="0" w:line="360" w:lineRule="auto"/>
        <w:ind w:firstLine="482" w:firstLineChars="200"/>
        <w:rPr>
          <w:rFonts w:hint="eastAsia"/>
          <w:b/>
          <w:sz w:val="24"/>
          <w:szCs w:val="24"/>
          <w:lang w:val="en-US" w:eastAsia="zh-CN"/>
        </w:rPr>
      </w:pPr>
      <w:bookmarkStart w:id="20" w:name="_Toc22699"/>
      <w:bookmarkStart w:id="21" w:name="_Toc10078"/>
      <w:r>
        <w:rPr>
          <w:rFonts w:hint="eastAsia"/>
          <w:b/>
          <w:sz w:val="24"/>
          <w:szCs w:val="24"/>
          <w:lang w:val="en-US" w:eastAsia="zh-CN"/>
        </w:rPr>
        <w:t>4 实证分析</w:t>
      </w:r>
      <w:bookmarkEnd w:id="20"/>
      <w:bookmarkEnd w:id="21"/>
    </w:p>
    <w:p>
      <w:pPr>
        <w:pageBreakBefore w:val="0"/>
        <w:kinsoku/>
        <w:wordWrap/>
        <w:overflowPunct/>
        <w:topLinePunct w:val="0"/>
        <w:autoSpaceDE/>
        <w:autoSpaceDN/>
        <w:bidi w:val="0"/>
        <w:adjustRightInd/>
        <w:snapToGrid/>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针对金融风控领域，大部分选取的是机器学习模型中的Random Forests, lightgbm，xgboost，catboost等树模型，而不是深度学习模型，原因主要包括：1.样本数量小 2.样本不均衡 3.深度学习模型对于特定结构的特征学习效果较好（比如文本和图像），而针对具有实际意义的金融领域特征来说，传统树模型构造的可解释性特征效果显著。</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机器学习方法能够处理海量数据，一般来说抗噪能力良好，稳健性较强，而Logistic回归结构简单，稳健性良好，且回归系数解释能力强，所以本文又采用了逻辑回归的方法，与XGBoost对比分析，共同寻找合适的风险指标体系，来预测借款人的违约风险。</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回顾本文研究的因变量和解释变量：</w:t>
      </w:r>
    </w:p>
    <w:p>
      <w:pPr>
        <w:pageBreakBefore w:val="0"/>
        <w:kinsoku/>
        <w:wordWrap/>
        <w:overflowPunct/>
        <w:topLinePunct w:val="0"/>
        <w:autoSpaceDE/>
        <w:autoSpaceDN/>
        <w:bidi w:val="0"/>
        <w:adjustRightInd/>
        <w:snapToGrid/>
        <w:spacing w:line="360" w:lineRule="auto"/>
        <w:ind w:firstLine="480" w:firstLineChars="200"/>
        <w:rPr>
          <w:rFonts w:hint="default"/>
          <w:sz w:val="24"/>
          <w:szCs w:val="24"/>
          <w:lang w:val="en-US" w:eastAsia="zh-CN"/>
        </w:rPr>
      </w:pPr>
      <w:r>
        <w:rPr>
          <w:rFonts w:hint="eastAsia"/>
          <w:sz w:val="24"/>
          <w:szCs w:val="24"/>
          <w:lang w:val="en-US" w:eastAsia="zh-CN"/>
        </w:rPr>
        <w:t>因变量：贷款是否违约</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解释变量：源数据下清洗后（包括剔除和编码新增的）后保留的变量48个，手工合并生成变量1个，以及主成分分析降维合并生成的变量6个，共计55个变量。</w:t>
      </w:r>
    </w:p>
    <w:p>
      <w:pPr>
        <w:pageBreakBefore w:val="0"/>
        <w:kinsoku/>
        <w:wordWrap/>
        <w:overflowPunct/>
        <w:topLinePunct w:val="0"/>
        <w:autoSpaceDE/>
        <w:autoSpaceDN/>
        <w:bidi w:val="0"/>
        <w:adjustRightInd/>
        <w:snapToGrid/>
        <w:spacing w:line="360" w:lineRule="auto"/>
        <w:ind w:firstLine="480" w:firstLineChars="200"/>
        <w:outlineLvl w:val="1"/>
        <w:rPr>
          <w:rFonts w:hint="eastAsia"/>
          <w:sz w:val="24"/>
          <w:szCs w:val="24"/>
          <w:lang w:val="en-US" w:eastAsia="zh-CN"/>
        </w:rPr>
      </w:pPr>
      <w:bookmarkStart w:id="22" w:name="_Toc25944"/>
      <w:bookmarkStart w:id="23" w:name="_Toc18697"/>
      <w:r>
        <w:rPr>
          <w:rFonts w:hint="eastAsia"/>
          <w:sz w:val="24"/>
          <w:szCs w:val="24"/>
          <w:lang w:val="en-US" w:eastAsia="zh-CN"/>
        </w:rPr>
        <w:t>4.1 逻辑回归建模</w:t>
      </w:r>
      <w:bookmarkEnd w:id="22"/>
      <w:bookmarkEnd w:id="23"/>
    </w:p>
    <w:p>
      <w:pPr>
        <w:pageBreakBefore w:val="0"/>
        <w:kinsoku/>
        <w:wordWrap/>
        <w:overflowPunct/>
        <w:topLinePunct w:val="0"/>
        <w:autoSpaceDE/>
        <w:autoSpaceDN/>
        <w:bidi w:val="0"/>
        <w:adjustRightInd/>
        <w:snapToGrid/>
        <w:spacing w:line="360" w:lineRule="auto"/>
        <w:ind w:firstLine="480" w:firstLineChars="200"/>
        <w:rPr>
          <w:rFonts w:hint="default"/>
          <w:sz w:val="24"/>
          <w:szCs w:val="24"/>
          <w:lang w:val="en-US" w:eastAsia="zh-CN"/>
        </w:rPr>
      </w:pPr>
      <w:r>
        <w:rPr>
          <w:rFonts w:hint="eastAsia"/>
          <w:sz w:val="24"/>
          <w:szCs w:val="24"/>
          <w:lang w:val="en-US" w:eastAsia="zh-CN"/>
        </w:rPr>
        <w:t>在逻辑回归建模中，本文对样本进行了正则化处理。在阈值为0.5的条件下，筛选出权重前20的变量，如表6所示；图8则展示了阈值为0.5下的混淆矩阵与ROC曲线，模型的正确率 0.5705，精准率为0.269，召回率 0.6677，调和平均值F1为 0.383769。</w:t>
      </w:r>
    </w:p>
    <w:p>
      <w:pPr>
        <w:pageBreakBefore w:val="0"/>
        <w:kinsoku/>
        <w:wordWrap/>
        <w:overflowPunct/>
        <w:topLinePunct w:val="0"/>
        <w:autoSpaceDE/>
        <w:autoSpaceDN/>
        <w:bidi w:val="0"/>
        <w:adjustRightInd/>
        <w:snapToGrid/>
        <w:spacing w:line="360" w:lineRule="auto"/>
        <w:ind w:firstLine="480" w:firstLineChars="200"/>
        <w:jc w:val="center"/>
        <w:rPr>
          <w:rFonts w:hint="default"/>
          <w:sz w:val="24"/>
          <w:szCs w:val="24"/>
          <w:lang w:val="en-US" w:eastAsia="zh-CN"/>
        </w:rPr>
      </w:pPr>
      <w:r>
        <w:rPr>
          <w:rFonts w:hint="eastAsia"/>
          <w:sz w:val="24"/>
          <w:szCs w:val="24"/>
          <w:lang w:val="en-US" w:eastAsia="zh-CN"/>
        </w:rPr>
        <w:t>表6：逻辑回归的权重前二十的变量</w:t>
      </w:r>
    </w:p>
    <w:tbl>
      <w:tblPr>
        <w:tblStyle w:val="7"/>
        <w:tblW w:w="8360" w:type="dxa"/>
        <w:jc w:val="center"/>
        <w:shd w:val="clear" w:color="auto" w:fill="auto"/>
        <w:tblLayout w:type="fixed"/>
        <w:tblCellMar>
          <w:top w:w="0" w:type="dxa"/>
          <w:left w:w="108" w:type="dxa"/>
          <w:bottom w:w="0" w:type="dxa"/>
          <w:right w:w="108" w:type="dxa"/>
        </w:tblCellMar>
      </w:tblPr>
      <w:tblGrid>
        <w:gridCol w:w="2263"/>
        <w:gridCol w:w="2267"/>
        <w:gridCol w:w="2175"/>
        <w:gridCol w:w="1655"/>
      </w:tblGrid>
      <w:tr>
        <w:tblPrEx>
          <w:shd w:val="clear" w:color="auto" w:fill="auto"/>
          <w:tblCellMar>
            <w:top w:w="0" w:type="dxa"/>
            <w:left w:w="108" w:type="dxa"/>
            <w:bottom w:w="0" w:type="dxa"/>
            <w:right w:w="108" w:type="dxa"/>
          </w:tblCellMar>
        </w:tblPrEx>
        <w:trPr>
          <w:trHeight w:val="295" w:hRule="atLeast"/>
          <w:jc w:val="center"/>
        </w:trPr>
        <w:tc>
          <w:tcPr>
            <w:tcW w:w="2263" w:type="dxa"/>
            <w:tcBorders>
              <w:top w:val="single" w:color="000000" w:sz="8" w:space="0"/>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变量</w:t>
            </w:r>
          </w:p>
        </w:tc>
        <w:tc>
          <w:tcPr>
            <w:tcW w:w="2267" w:type="dxa"/>
            <w:tcBorders>
              <w:top w:val="single" w:color="000000" w:sz="8" w:space="0"/>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虚拟变量对应的真实变量名</w:t>
            </w:r>
          </w:p>
        </w:tc>
        <w:tc>
          <w:tcPr>
            <w:tcW w:w="2175" w:type="dxa"/>
            <w:tcBorders>
              <w:top w:val="single" w:color="000000" w:sz="8" w:space="0"/>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系数</w:t>
            </w:r>
          </w:p>
        </w:tc>
        <w:tc>
          <w:tcPr>
            <w:tcW w:w="1655" w:type="dxa"/>
            <w:tcBorders>
              <w:top w:val="single" w:color="000000" w:sz="8" w:space="0"/>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权重</w:t>
            </w:r>
          </w:p>
        </w:tc>
      </w:tr>
      <w:tr>
        <w:tblPrEx>
          <w:shd w:val="clear" w:color="auto" w:fill="auto"/>
          <w:tblCellMar>
            <w:top w:w="0" w:type="dxa"/>
            <w:left w:w="108" w:type="dxa"/>
            <w:bottom w:w="0" w:type="dxa"/>
            <w:right w:w="108" w:type="dxa"/>
          </w:tblCellMar>
        </w:tblPrEx>
        <w:trPr>
          <w:trHeight w:val="280" w:hRule="atLeast"/>
          <w:jc w:val="center"/>
        </w:trPr>
        <w:tc>
          <w:tcPr>
            <w:tcW w:w="2263"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10</w:t>
            </w:r>
          </w:p>
        </w:tc>
        <w:tc>
          <w:tcPr>
            <w:tcW w:w="226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purpose</w:t>
            </w:r>
          </w:p>
        </w:tc>
        <w:tc>
          <w:tcPr>
            <w:tcW w:w="217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0.27457 </w:t>
            </w:r>
          </w:p>
        </w:tc>
        <w:tc>
          <w:tcPr>
            <w:tcW w:w="165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0.27457 </w:t>
            </w:r>
          </w:p>
        </w:tc>
      </w:tr>
      <w:tr>
        <w:tblPrEx>
          <w:shd w:val="clear" w:color="auto" w:fill="auto"/>
          <w:tblCellMar>
            <w:top w:w="0" w:type="dxa"/>
            <w:left w:w="108" w:type="dxa"/>
            <w:bottom w:w="0" w:type="dxa"/>
            <w:right w:w="108" w:type="dxa"/>
          </w:tblCellMar>
        </w:tblPrEx>
        <w:trPr>
          <w:trHeight w:val="280" w:hRule="atLeast"/>
          <w:jc w:val="center"/>
        </w:trPr>
        <w:tc>
          <w:tcPr>
            <w:tcW w:w="2263"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term</w:t>
            </w:r>
          </w:p>
        </w:tc>
        <w:tc>
          <w:tcPr>
            <w:tcW w:w="2267" w:type="dxa"/>
            <w:tcBorders>
              <w:top w:val="nil"/>
              <w:left w:val="nil"/>
              <w:bottom w:val="nil"/>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default" w:ascii="Times New Roman" w:hAnsi="Times New Roman" w:eastAsia="宋体" w:cs="Times New Roman"/>
                <w:i w:val="0"/>
                <w:iCs w:val="0"/>
                <w:color w:val="000000"/>
                <w:sz w:val="21"/>
                <w:szCs w:val="21"/>
                <w:u w:val="none"/>
              </w:rPr>
            </w:pPr>
          </w:p>
        </w:tc>
        <w:tc>
          <w:tcPr>
            <w:tcW w:w="217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0.25228 </w:t>
            </w:r>
          </w:p>
        </w:tc>
        <w:tc>
          <w:tcPr>
            <w:tcW w:w="165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0.25228 </w:t>
            </w:r>
          </w:p>
        </w:tc>
      </w:tr>
      <w:tr>
        <w:tblPrEx>
          <w:shd w:val="clear" w:color="auto" w:fill="auto"/>
          <w:tblCellMar>
            <w:top w:w="0" w:type="dxa"/>
            <w:left w:w="108" w:type="dxa"/>
            <w:bottom w:w="0" w:type="dxa"/>
            <w:right w:w="108" w:type="dxa"/>
          </w:tblCellMar>
        </w:tblPrEx>
        <w:trPr>
          <w:trHeight w:val="280" w:hRule="atLeast"/>
          <w:jc w:val="center"/>
        </w:trPr>
        <w:tc>
          <w:tcPr>
            <w:tcW w:w="2263"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w:t>
            </w:r>
          </w:p>
        </w:tc>
        <w:tc>
          <w:tcPr>
            <w:tcW w:w="226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homeOwnership</w:t>
            </w:r>
          </w:p>
        </w:tc>
        <w:tc>
          <w:tcPr>
            <w:tcW w:w="217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-0.21168 </w:t>
            </w:r>
          </w:p>
        </w:tc>
        <w:tc>
          <w:tcPr>
            <w:tcW w:w="165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0.21168 </w:t>
            </w:r>
          </w:p>
        </w:tc>
      </w:tr>
      <w:tr>
        <w:tblPrEx>
          <w:shd w:val="clear" w:color="auto" w:fill="auto"/>
          <w:tblCellMar>
            <w:top w:w="0" w:type="dxa"/>
            <w:left w:w="108" w:type="dxa"/>
            <w:bottom w:w="0" w:type="dxa"/>
            <w:right w:w="108" w:type="dxa"/>
          </w:tblCellMar>
        </w:tblPrEx>
        <w:trPr>
          <w:trHeight w:val="280" w:hRule="atLeast"/>
          <w:jc w:val="center"/>
        </w:trPr>
        <w:tc>
          <w:tcPr>
            <w:tcW w:w="2263"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6</w:t>
            </w:r>
          </w:p>
        </w:tc>
        <w:tc>
          <w:tcPr>
            <w:tcW w:w="226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verificationStatus</w:t>
            </w:r>
          </w:p>
        </w:tc>
        <w:tc>
          <w:tcPr>
            <w:tcW w:w="217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-0.12028 </w:t>
            </w:r>
          </w:p>
        </w:tc>
        <w:tc>
          <w:tcPr>
            <w:tcW w:w="165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0.12028 </w:t>
            </w:r>
          </w:p>
        </w:tc>
      </w:tr>
      <w:tr>
        <w:tblPrEx>
          <w:shd w:val="clear" w:color="auto" w:fill="auto"/>
          <w:tblCellMar>
            <w:top w:w="0" w:type="dxa"/>
            <w:left w:w="108" w:type="dxa"/>
            <w:bottom w:w="0" w:type="dxa"/>
            <w:right w:w="108" w:type="dxa"/>
          </w:tblCellMar>
        </w:tblPrEx>
        <w:trPr>
          <w:trHeight w:val="280" w:hRule="atLeast"/>
          <w:jc w:val="center"/>
        </w:trPr>
        <w:tc>
          <w:tcPr>
            <w:tcW w:w="2263"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w:t>
            </w:r>
          </w:p>
        </w:tc>
        <w:tc>
          <w:tcPr>
            <w:tcW w:w="226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homeOwnership</w:t>
            </w:r>
          </w:p>
        </w:tc>
        <w:tc>
          <w:tcPr>
            <w:tcW w:w="217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0.10632 </w:t>
            </w:r>
          </w:p>
        </w:tc>
        <w:tc>
          <w:tcPr>
            <w:tcW w:w="165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0.10632 </w:t>
            </w:r>
          </w:p>
        </w:tc>
      </w:tr>
      <w:tr>
        <w:tblPrEx>
          <w:shd w:val="clear" w:color="auto" w:fill="auto"/>
          <w:tblCellMar>
            <w:top w:w="0" w:type="dxa"/>
            <w:left w:w="108" w:type="dxa"/>
            <w:bottom w:w="0" w:type="dxa"/>
            <w:right w:w="108" w:type="dxa"/>
          </w:tblCellMar>
        </w:tblPrEx>
        <w:trPr>
          <w:trHeight w:val="280" w:hRule="atLeast"/>
          <w:jc w:val="center"/>
        </w:trPr>
        <w:tc>
          <w:tcPr>
            <w:tcW w:w="2263"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13</w:t>
            </w:r>
          </w:p>
        </w:tc>
        <w:tc>
          <w:tcPr>
            <w:tcW w:w="226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purpose</w:t>
            </w:r>
          </w:p>
        </w:tc>
        <w:tc>
          <w:tcPr>
            <w:tcW w:w="217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-0.10327 </w:t>
            </w:r>
          </w:p>
        </w:tc>
        <w:tc>
          <w:tcPr>
            <w:tcW w:w="165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0.10327 </w:t>
            </w:r>
          </w:p>
        </w:tc>
      </w:tr>
      <w:tr>
        <w:tblPrEx>
          <w:shd w:val="clear" w:color="auto" w:fill="auto"/>
          <w:tblCellMar>
            <w:top w:w="0" w:type="dxa"/>
            <w:left w:w="108" w:type="dxa"/>
            <w:bottom w:w="0" w:type="dxa"/>
            <w:right w:w="108" w:type="dxa"/>
          </w:tblCellMar>
        </w:tblPrEx>
        <w:trPr>
          <w:trHeight w:val="280" w:hRule="atLeast"/>
          <w:jc w:val="center"/>
        </w:trPr>
        <w:tc>
          <w:tcPr>
            <w:tcW w:w="2263"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initialListStatus</w:t>
            </w:r>
          </w:p>
        </w:tc>
        <w:tc>
          <w:tcPr>
            <w:tcW w:w="2267" w:type="dxa"/>
            <w:tcBorders>
              <w:top w:val="nil"/>
              <w:left w:val="nil"/>
              <w:bottom w:val="nil"/>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default" w:ascii="Times New Roman" w:hAnsi="Times New Roman" w:eastAsia="宋体" w:cs="Times New Roman"/>
                <w:i w:val="0"/>
                <w:iCs w:val="0"/>
                <w:color w:val="000000"/>
                <w:sz w:val="21"/>
                <w:szCs w:val="21"/>
                <w:u w:val="none"/>
              </w:rPr>
            </w:pPr>
          </w:p>
        </w:tc>
        <w:tc>
          <w:tcPr>
            <w:tcW w:w="217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-0.07206 </w:t>
            </w:r>
          </w:p>
        </w:tc>
        <w:tc>
          <w:tcPr>
            <w:tcW w:w="165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0.07206 </w:t>
            </w:r>
          </w:p>
        </w:tc>
      </w:tr>
      <w:tr>
        <w:tblPrEx>
          <w:shd w:val="clear" w:color="auto" w:fill="auto"/>
          <w:tblCellMar>
            <w:top w:w="0" w:type="dxa"/>
            <w:left w:w="108" w:type="dxa"/>
            <w:bottom w:w="0" w:type="dxa"/>
            <w:right w:w="108" w:type="dxa"/>
          </w:tblCellMar>
        </w:tblPrEx>
        <w:trPr>
          <w:trHeight w:val="280" w:hRule="atLeast"/>
          <w:jc w:val="center"/>
        </w:trPr>
        <w:tc>
          <w:tcPr>
            <w:tcW w:w="2263"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n14</w:t>
            </w:r>
          </w:p>
        </w:tc>
        <w:tc>
          <w:tcPr>
            <w:tcW w:w="2267" w:type="dxa"/>
            <w:tcBorders>
              <w:top w:val="nil"/>
              <w:left w:val="nil"/>
              <w:bottom w:val="nil"/>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default" w:ascii="Times New Roman" w:hAnsi="Times New Roman" w:eastAsia="宋体" w:cs="Times New Roman"/>
                <w:i w:val="0"/>
                <w:iCs w:val="0"/>
                <w:color w:val="000000"/>
                <w:sz w:val="21"/>
                <w:szCs w:val="21"/>
                <w:u w:val="none"/>
              </w:rPr>
            </w:pPr>
          </w:p>
        </w:tc>
        <w:tc>
          <w:tcPr>
            <w:tcW w:w="217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0.06132 </w:t>
            </w:r>
          </w:p>
        </w:tc>
        <w:tc>
          <w:tcPr>
            <w:tcW w:w="165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0.06132 </w:t>
            </w:r>
          </w:p>
        </w:tc>
      </w:tr>
      <w:tr>
        <w:tblPrEx>
          <w:shd w:val="clear" w:color="auto" w:fill="auto"/>
          <w:tblCellMar>
            <w:top w:w="0" w:type="dxa"/>
            <w:left w:w="108" w:type="dxa"/>
            <w:bottom w:w="0" w:type="dxa"/>
            <w:right w:w="108" w:type="dxa"/>
          </w:tblCellMar>
        </w:tblPrEx>
        <w:trPr>
          <w:trHeight w:val="280" w:hRule="atLeast"/>
          <w:jc w:val="center"/>
        </w:trPr>
        <w:tc>
          <w:tcPr>
            <w:tcW w:w="2263"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9</w:t>
            </w:r>
          </w:p>
        </w:tc>
        <w:tc>
          <w:tcPr>
            <w:tcW w:w="226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purpose</w:t>
            </w:r>
          </w:p>
        </w:tc>
        <w:tc>
          <w:tcPr>
            <w:tcW w:w="217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-0.05386 </w:t>
            </w:r>
          </w:p>
        </w:tc>
        <w:tc>
          <w:tcPr>
            <w:tcW w:w="165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0.05386 </w:t>
            </w:r>
          </w:p>
        </w:tc>
      </w:tr>
      <w:tr>
        <w:tblPrEx>
          <w:shd w:val="clear" w:color="auto" w:fill="auto"/>
          <w:tblCellMar>
            <w:top w:w="0" w:type="dxa"/>
            <w:left w:w="108" w:type="dxa"/>
            <w:bottom w:w="0" w:type="dxa"/>
            <w:right w:w="108" w:type="dxa"/>
          </w:tblCellMar>
        </w:tblPrEx>
        <w:trPr>
          <w:trHeight w:val="280" w:hRule="atLeast"/>
          <w:jc w:val="center"/>
        </w:trPr>
        <w:tc>
          <w:tcPr>
            <w:tcW w:w="2263"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delinquency_2years</w:t>
            </w:r>
          </w:p>
        </w:tc>
        <w:tc>
          <w:tcPr>
            <w:tcW w:w="2267" w:type="dxa"/>
            <w:tcBorders>
              <w:top w:val="nil"/>
              <w:left w:val="nil"/>
              <w:bottom w:val="nil"/>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eastAsia" w:ascii="宋体" w:hAnsi="宋体" w:eastAsia="宋体" w:cs="宋体"/>
                <w:i w:val="0"/>
                <w:iCs w:val="0"/>
                <w:color w:val="000000"/>
                <w:sz w:val="21"/>
                <w:szCs w:val="21"/>
                <w:u w:val="none"/>
              </w:rPr>
            </w:pPr>
          </w:p>
        </w:tc>
        <w:tc>
          <w:tcPr>
            <w:tcW w:w="217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0.04663 </w:t>
            </w:r>
          </w:p>
        </w:tc>
        <w:tc>
          <w:tcPr>
            <w:tcW w:w="165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0.04663 </w:t>
            </w:r>
          </w:p>
        </w:tc>
      </w:tr>
      <w:tr>
        <w:tblPrEx>
          <w:shd w:val="clear" w:color="auto" w:fill="auto"/>
          <w:tblCellMar>
            <w:top w:w="0" w:type="dxa"/>
            <w:left w:w="108" w:type="dxa"/>
            <w:bottom w:w="0" w:type="dxa"/>
            <w:right w:w="108" w:type="dxa"/>
          </w:tblCellMar>
        </w:tblPrEx>
        <w:trPr>
          <w:trHeight w:val="280" w:hRule="atLeast"/>
          <w:jc w:val="center"/>
        </w:trPr>
        <w:tc>
          <w:tcPr>
            <w:tcW w:w="2263"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18</w:t>
            </w:r>
          </w:p>
        </w:tc>
        <w:tc>
          <w:tcPr>
            <w:tcW w:w="226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purpose</w:t>
            </w:r>
          </w:p>
        </w:tc>
        <w:tc>
          <w:tcPr>
            <w:tcW w:w="217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0.04181 </w:t>
            </w:r>
          </w:p>
        </w:tc>
        <w:tc>
          <w:tcPr>
            <w:tcW w:w="165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0.04181 </w:t>
            </w:r>
          </w:p>
        </w:tc>
      </w:tr>
      <w:tr>
        <w:tblPrEx>
          <w:shd w:val="clear" w:color="auto" w:fill="auto"/>
          <w:tblCellMar>
            <w:top w:w="0" w:type="dxa"/>
            <w:left w:w="108" w:type="dxa"/>
            <w:bottom w:w="0" w:type="dxa"/>
            <w:right w:w="108" w:type="dxa"/>
          </w:tblCellMar>
        </w:tblPrEx>
        <w:trPr>
          <w:trHeight w:val="280" w:hRule="atLeast"/>
          <w:jc w:val="center"/>
        </w:trPr>
        <w:tc>
          <w:tcPr>
            <w:tcW w:w="2263"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subGrade</w:t>
            </w:r>
          </w:p>
        </w:tc>
        <w:tc>
          <w:tcPr>
            <w:tcW w:w="2267" w:type="dxa"/>
            <w:tcBorders>
              <w:top w:val="nil"/>
              <w:left w:val="nil"/>
              <w:bottom w:val="nil"/>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eastAsia" w:ascii="宋体" w:hAnsi="宋体" w:eastAsia="宋体" w:cs="宋体"/>
                <w:i w:val="0"/>
                <w:iCs w:val="0"/>
                <w:color w:val="000000"/>
                <w:sz w:val="21"/>
                <w:szCs w:val="21"/>
                <w:u w:val="none"/>
              </w:rPr>
            </w:pPr>
          </w:p>
        </w:tc>
        <w:tc>
          <w:tcPr>
            <w:tcW w:w="217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0.03125 </w:t>
            </w:r>
          </w:p>
        </w:tc>
        <w:tc>
          <w:tcPr>
            <w:tcW w:w="165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0.03125 </w:t>
            </w:r>
          </w:p>
        </w:tc>
      </w:tr>
      <w:tr>
        <w:tblPrEx>
          <w:shd w:val="clear" w:color="auto" w:fill="auto"/>
          <w:tblCellMar>
            <w:top w:w="0" w:type="dxa"/>
            <w:left w:w="108" w:type="dxa"/>
            <w:bottom w:w="0" w:type="dxa"/>
            <w:right w:w="108" w:type="dxa"/>
          </w:tblCellMar>
        </w:tblPrEx>
        <w:trPr>
          <w:trHeight w:val="280" w:hRule="atLeast"/>
          <w:jc w:val="center"/>
        </w:trPr>
        <w:tc>
          <w:tcPr>
            <w:tcW w:w="2263"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pca2</w:t>
            </w:r>
          </w:p>
        </w:tc>
        <w:tc>
          <w:tcPr>
            <w:tcW w:w="2267" w:type="dxa"/>
            <w:tcBorders>
              <w:top w:val="nil"/>
              <w:left w:val="nil"/>
              <w:bottom w:val="nil"/>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eastAsia" w:ascii="宋体" w:hAnsi="宋体" w:eastAsia="宋体" w:cs="宋体"/>
                <w:i w:val="0"/>
                <w:iCs w:val="0"/>
                <w:color w:val="000000"/>
                <w:sz w:val="21"/>
                <w:szCs w:val="21"/>
                <w:u w:val="none"/>
              </w:rPr>
            </w:pPr>
          </w:p>
        </w:tc>
        <w:tc>
          <w:tcPr>
            <w:tcW w:w="217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-0.02767 </w:t>
            </w:r>
          </w:p>
        </w:tc>
        <w:tc>
          <w:tcPr>
            <w:tcW w:w="165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0.02767 </w:t>
            </w:r>
          </w:p>
        </w:tc>
      </w:tr>
      <w:tr>
        <w:tblPrEx>
          <w:shd w:val="clear" w:color="auto" w:fill="auto"/>
          <w:tblCellMar>
            <w:top w:w="0" w:type="dxa"/>
            <w:left w:w="108" w:type="dxa"/>
            <w:bottom w:w="0" w:type="dxa"/>
            <w:right w:w="108" w:type="dxa"/>
          </w:tblCellMar>
        </w:tblPrEx>
        <w:trPr>
          <w:trHeight w:val="280" w:hRule="atLeast"/>
          <w:jc w:val="center"/>
        </w:trPr>
        <w:tc>
          <w:tcPr>
            <w:tcW w:w="2263"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17</w:t>
            </w:r>
          </w:p>
        </w:tc>
        <w:tc>
          <w:tcPr>
            <w:tcW w:w="226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purpose</w:t>
            </w:r>
          </w:p>
        </w:tc>
        <w:tc>
          <w:tcPr>
            <w:tcW w:w="217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-0.02338 </w:t>
            </w:r>
          </w:p>
        </w:tc>
        <w:tc>
          <w:tcPr>
            <w:tcW w:w="165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0.02338 </w:t>
            </w:r>
          </w:p>
        </w:tc>
      </w:tr>
      <w:tr>
        <w:tblPrEx>
          <w:shd w:val="clear" w:color="auto" w:fill="auto"/>
          <w:tblCellMar>
            <w:top w:w="0" w:type="dxa"/>
            <w:left w:w="108" w:type="dxa"/>
            <w:bottom w:w="0" w:type="dxa"/>
            <w:right w:w="108" w:type="dxa"/>
          </w:tblCellMar>
        </w:tblPrEx>
        <w:trPr>
          <w:trHeight w:val="280" w:hRule="atLeast"/>
          <w:jc w:val="center"/>
        </w:trPr>
        <w:tc>
          <w:tcPr>
            <w:tcW w:w="2263"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n13</w:t>
            </w:r>
          </w:p>
        </w:tc>
        <w:tc>
          <w:tcPr>
            <w:tcW w:w="2267" w:type="dxa"/>
            <w:tcBorders>
              <w:top w:val="nil"/>
              <w:left w:val="nil"/>
              <w:bottom w:val="nil"/>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rPr>
                <w:rFonts w:hint="eastAsia" w:ascii="宋体" w:hAnsi="宋体" w:eastAsia="宋体" w:cs="宋体"/>
                <w:i w:val="0"/>
                <w:iCs w:val="0"/>
                <w:color w:val="000000"/>
                <w:sz w:val="21"/>
                <w:szCs w:val="21"/>
                <w:u w:val="none"/>
              </w:rPr>
            </w:pPr>
          </w:p>
        </w:tc>
        <w:tc>
          <w:tcPr>
            <w:tcW w:w="217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-0.01676 </w:t>
            </w:r>
          </w:p>
        </w:tc>
        <w:tc>
          <w:tcPr>
            <w:tcW w:w="165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0.01676 </w:t>
            </w:r>
          </w:p>
        </w:tc>
      </w:tr>
      <w:tr>
        <w:tblPrEx>
          <w:shd w:val="clear" w:color="auto" w:fill="auto"/>
          <w:tblCellMar>
            <w:top w:w="0" w:type="dxa"/>
            <w:left w:w="108" w:type="dxa"/>
            <w:bottom w:w="0" w:type="dxa"/>
            <w:right w:w="108" w:type="dxa"/>
          </w:tblCellMar>
        </w:tblPrEx>
        <w:trPr>
          <w:trHeight w:val="280" w:hRule="atLeast"/>
          <w:jc w:val="center"/>
        </w:trPr>
        <w:tc>
          <w:tcPr>
            <w:tcW w:w="2263"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n6</w:t>
            </w:r>
          </w:p>
        </w:tc>
        <w:tc>
          <w:tcPr>
            <w:tcW w:w="2267" w:type="dxa"/>
            <w:tcBorders>
              <w:top w:val="nil"/>
              <w:left w:val="nil"/>
              <w:bottom w:val="nil"/>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rPr>
                <w:rFonts w:hint="eastAsia" w:ascii="宋体" w:hAnsi="宋体" w:eastAsia="宋体" w:cs="宋体"/>
                <w:i w:val="0"/>
                <w:iCs w:val="0"/>
                <w:color w:val="000000"/>
                <w:sz w:val="21"/>
                <w:szCs w:val="21"/>
                <w:u w:val="none"/>
              </w:rPr>
            </w:pPr>
          </w:p>
        </w:tc>
        <w:tc>
          <w:tcPr>
            <w:tcW w:w="217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0.01410 </w:t>
            </w:r>
          </w:p>
        </w:tc>
        <w:tc>
          <w:tcPr>
            <w:tcW w:w="165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0.01410 </w:t>
            </w:r>
          </w:p>
        </w:tc>
      </w:tr>
      <w:tr>
        <w:tblPrEx>
          <w:shd w:val="clear" w:color="auto" w:fill="auto"/>
          <w:tblCellMar>
            <w:top w:w="0" w:type="dxa"/>
            <w:left w:w="108" w:type="dxa"/>
            <w:bottom w:w="0" w:type="dxa"/>
            <w:right w:w="108" w:type="dxa"/>
          </w:tblCellMar>
        </w:tblPrEx>
        <w:trPr>
          <w:trHeight w:val="280" w:hRule="atLeast"/>
          <w:jc w:val="center"/>
        </w:trPr>
        <w:tc>
          <w:tcPr>
            <w:tcW w:w="2263"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pubRec</w:t>
            </w:r>
          </w:p>
        </w:tc>
        <w:tc>
          <w:tcPr>
            <w:tcW w:w="2267" w:type="dxa"/>
            <w:tcBorders>
              <w:top w:val="nil"/>
              <w:left w:val="nil"/>
              <w:bottom w:val="nil"/>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rPr>
                <w:rFonts w:hint="eastAsia" w:ascii="宋体" w:hAnsi="宋体" w:eastAsia="宋体" w:cs="宋体"/>
                <w:i w:val="0"/>
                <w:iCs w:val="0"/>
                <w:color w:val="000000"/>
                <w:sz w:val="21"/>
                <w:szCs w:val="21"/>
                <w:u w:val="none"/>
              </w:rPr>
            </w:pPr>
          </w:p>
        </w:tc>
        <w:tc>
          <w:tcPr>
            <w:tcW w:w="217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0.01282 </w:t>
            </w:r>
          </w:p>
        </w:tc>
        <w:tc>
          <w:tcPr>
            <w:tcW w:w="165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0.01282 </w:t>
            </w:r>
          </w:p>
        </w:tc>
      </w:tr>
      <w:tr>
        <w:tblPrEx>
          <w:shd w:val="clear" w:color="auto" w:fill="auto"/>
          <w:tblCellMar>
            <w:top w:w="0" w:type="dxa"/>
            <w:left w:w="108" w:type="dxa"/>
            <w:bottom w:w="0" w:type="dxa"/>
            <w:right w:w="108" w:type="dxa"/>
          </w:tblCellMar>
        </w:tblPrEx>
        <w:trPr>
          <w:trHeight w:val="295" w:hRule="atLeast"/>
          <w:jc w:val="center"/>
        </w:trPr>
        <w:tc>
          <w:tcPr>
            <w:tcW w:w="2263"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dti</w:t>
            </w:r>
          </w:p>
        </w:tc>
        <w:tc>
          <w:tcPr>
            <w:tcW w:w="2267" w:type="dxa"/>
            <w:tcBorders>
              <w:top w:val="nil"/>
              <w:left w:val="nil"/>
              <w:bottom w:val="nil"/>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rPr>
                <w:rFonts w:hint="eastAsia" w:ascii="宋体" w:hAnsi="宋体" w:eastAsia="宋体" w:cs="宋体"/>
                <w:i w:val="0"/>
                <w:iCs w:val="0"/>
                <w:color w:val="000000"/>
                <w:sz w:val="21"/>
                <w:szCs w:val="21"/>
                <w:u w:val="none"/>
              </w:rPr>
            </w:pPr>
          </w:p>
        </w:tc>
        <w:tc>
          <w:tcPr>
            <w:tcW w:w="217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0.01109 </w:t>
            </w:r>
          </w:p>
        </w:tc>
        <w:tc>
          <w:tcPr>
            <w:tcW w:w="165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0.01109 </w:t>
            </w:r>
          </w:p>
        </w:tc>
      </w:tr>
      <w:tr>
        <w:tblPrEx>
          <w:shd w:val="clear" w:color="auto" w:fill="auto"/>
          <w:tblCellMar>
            <w:top w:w="0" w:type="dxa"/>
            <w:left w:w="108" w:type="dxa"/>
            <w:bottom w:w="0" w:type="dxa"/>
            <w:right w:w="108" w:type="dxa"/>
          </w:tblCellMar>
        </w:tblPrEx>
        <w:trPr>
          <w:trHeight w:val="280" w:hRule="atLeast"/>
          <w:jc w:val="center"/>
        </w:trPr>
        <w:tc>
          <w:tcPr>
            <w:tcW w:w="2263"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pca4</w:t>
            </w:r>
          </w:p>
        </w:tc>
        <w:tc>
          <w:tcPr>
            <w:tcW w:w="2267" w:type="dxa"/>
            <w:tcBorders>
              <w:top w:val="nil"/>
              <w:left w:val="nil"/>
              <w:bottom w:val="nil"/>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rPr>
                <w:rFonts w:hint="eastAsia" w:ascii="宋体" w:hAnsi="宋体" w:eastAsia="宋体" w:cs="宋体"/>
                <w:i w:val="0"/>
                <w:iCs w:val="0"/>
                <w:color w:val="000000"/>
                <w:sz w:val="21"/>
                <w:szCs w:val="21"/>
                <w:u w:val="none"/>
              </w:rPr>
            </w:pPr>
          </w:p>
        </w:tc>
        <w:tc>
          <w:tcPr>
            <w:tcW w:w="217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-0.01085 </w:t>
            </w:r>
          </w:p>
        </w:tc>
        <w:tc>
          <w:tcPr>
            <w:tcW w:w="1655"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0.01085 </w:t>
            </w:r>
          </w:p>
        </w:tc>
      </w:tr>
      <w:tr>
        <w:tblPrEx>
          <w:shd w:val="clear" w:color="auto" w:fill="auto"/>
          <w:tblCellMar>
            <w:top w:w="0" w:type="dxa"/>
            <w:left w:w="108" w:type="dxa"/>
            <w:bottom w:w="0" w:type="dxa"/>
            <w:right w:w="108" w:type="dxa"/>
          </w:tblCellMar>
        </w:tblPrEx>
        <w:trPr>
          <w:trHeight w:val="295" w:hRule="atLeast"/>
          <w:jc w:val="center"/>
        </w:trPr>
        <w:tc>
          <w:tcPr>
            <w:tcW w:w="2263" w:type="dxa"/>
            <w:tcBorders>
              <w:top w:val="nil"/>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pca5</w:t>
            </w:r>
          </w:p>
        </w:tc>
        <w:tc>
          <w:tcPr>
            <w:tcW w:w="2267" w:type="dxa"/>
            <w:tcBorders>
              <w:top w:val="nil"/>
              <w:left w:val="nil"/>
              <w:bottom w:val="single" w:color="000000" w:sz="8" w:space="0"/>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default" w:ascii="Times New Roman" w:hAnsi="Times New Roman" w:eastAsia="宋体" w:cs="Times New Roman"/>
                <w:i w:val="0"/>
                <w:iCs w:val="0"/>
                <w:color w:val="000000"/>
                <w:sz w:val="21"/>
                <w:szCs w:val="21"/>
                <w:u w:val="none"/>
              </w:rPr>
            </w:pPr>
          </w:p>
        </w:tc>
        <w:tc>
          <w:tcPr>
            <w:tcW w:w="2175" w:type="dxa"/>
            <w:tcBorders>
              <w:top w:val="nil"/>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-0.01071</w:t>
            </w:r>
          </w:p>
        </w:tc>
        <w:tc>
          <w:tcPr>
            <w:tcW w:w="1655" w:type="dxa"/>
            <w:tcBorders>
              <w:top w:val="nil"/>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0.01071</w:t>
            </w:r>
          </w:p>
        </w:tc>
      </w:tr>
    </w:tbl>
    <w:p>
      <w:pPr>
        <w:pageBreakBefore w:val="0"/>
        <w:kinsoku/>
        <w:wordWrap/>
        <w:overflowPunct/>
        <w:topLinePunct w:val="0"/>
        <w:autoSpaceDE/>
        <w:autoSpaceDN/>
        <w:bidi w:val="0"/>
        <w:adjustRightInd/>
        <w:snapToGrid/>
        <w:spacing w:line="360" w:lineRule="auto"/>
        <w:ind w:firstLine="1315" w:firstLineChars="548"/>
        <w:rPr>
          <w:sz w:val="24"/>
          <w:szCs w:val="24"/>
        </w:rPr>
      </w:pPr>
      <w:r>
        <w:rPr>
          <w:sz w:val="24"/>
          <w:szCs w:val="24"/>
        </w:rPr>
        <w:drawing>
          <wp:inline distT="0" distB="0" distL="114300" distR="114300">
            <wp:extent cx="2452370" cy="2244090"/>
            <wp:effectExtent l="0" t="0" r="11430" b="381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2"/>
                    <a:stretch>
                      <a:fillRect/>
                    </a:stretch>
                  </pic:blipFill>
                  <pic:spPr>
                    <a:xfrm>
                      <a:off x="0" y="0"/>
                      <a:ext cx="2452370" cy="2244090"/>
                    </a:xfrm>
                    <a:prstGeom prst="rect">
                      <a:avLst/>
                    </a:prstGeom>
                    <a:noFill/>
                    <a:ln>
                      <a:noFill/>
                    </a:ln>
                  </pic:spPr>
                </pic:pic>
              </a:graphicData>
            </a:graphic>
          </wp:inline>
        </w:drawing>
      </w:r>
      <w:r>
        <w:rPr>
          <w:sz w:val="24"/>
          <w:szCs w:val="24"/>
        </w:rPr>
        <w:drawing>
          <wp:inline distT="0" distB="0" distL="114300" distR="114300">
            <wp:extent cx="2416175" cy="2256790"/>
            <wp:effectExtent l="0" t="0" r="9525" b="381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3"/>
                    <a:stretch>
                      <a:fillRect/>
                    </a:stretch>
                  </pic:blipFill>
                  <pic:spPr>
                    <a:xfrm>
                      <a:off x="0" y="0"/>
                      <a:ext cx="2416175" cy="225679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80" w:firstLineChars="200"/>
        <w:jc w:val="center"/>
        <w:rPr>
          <w:rFonts w:hint="eastAsia"/>
          <w:sz w:val="24"/>
          <w:szCs w:val="24"/>
          <w:lang w:val="en-US" w:eastAsia="zh-CN"/>
        </w:rPr>
      </w:pPr>
      <w:r>
        <w:rPr>
          <w:rFonts w:hint="eastAsia"/>
          <w:sz w:val="24"/>
          <w:szCs w:val="24"/>
          <w:lang w:val="en-US" w:eastAsia="zh-CN"/>
        </w:rPr>
        <w:t>图8：阈值为0.5下的混淆矩阵与ROC曲线</w:t>
      </w:r>
    </w:p>
    <w:p>
      <w:pPr>
        <w:pageBreakBefore w:val="0"/>
        <w:tabs>
          <w:tab w:val="left" w:pos="1868"/>
        </w:tabs>
        <w:kinsoku/>
        <w:wordWrap/>
        <w:overflowPunct/>
        <w:topLinePunct w:val="0"/>
        <w:autoSpaceDE/>
        <w:autoSpaceDN/>
        <w:bidi w:val="0"/>
        <w:adjustRightInd/>
        <w:snapToGrid/>
        <w:spacing w:line="360" w:lineRule="auto"/>
        <w:ind w:firstLine="480" w:firstLineChars="200"/>
        <w:rPr>
          <w:rFonts w:hint="default"/>
          <w:sz w:val="24"/>
          <w:szCs w:val="24"/>
          <w:lang w:val="en-US" w:eastAsia="zh-CN"/>
        </w:rPr>
      </w:pPr>
      <w:r>
        <w:rPr>
          <w:rFonts w:hint="eastAsia"/>
          <w:sz w:val="24"/>
          <w:szCs w:val="24"/>
          <w:lang w:val="en-US" w:eastAsia="zh-CN"/>
        </w:rPr>
        <w:t>对于逻辑回归算法来说，我们还可以指定一个阈值，也就是说最终结果的概率是大于多少我们把它当成是正或者负样本。这里通过Sigmoid函数将得分值转换成概率值，默认情况下，模型都是以0.5为界限来划分类别：p&gt;0.5为正例，p&lt;0.5为负例。0.5是一个经验值，可以根据实际经验进行调整。我们指定0.1,0.2,0.3,0.4,0.5,0.6,0.7,0.8,0.9，9个不同阈值，分别查看模型效果。图9展示了9个不同阈值下的混淆矩阵。图10则展示了正确率、精准率、召回率以及调和平均值F1随阈值的变动情况。</w:t>
      </w:r>
    </w:p>
    <w:p>
      <w:pPr>
        <w:pageBreakBefore w:val="0"/>
        <w:kinsoku/>
        <w:wordWrap/>
        <w:overflowPunct/>
        <w:topLinePunct w:val="0"/>
        <w:autoSpaceDE/>
        <w:autoSpaceDN/>
        <w:bidi w:val="0"/>
        <w:adjustRightInd/>
        <w:snapToGrid/>
        <w:spacing w:line="360" w:lineRule="auto"/>
        <w:ind w:firstLine="480" w:firstLineChars="200"/>
        <w:jc w:val="center"/>
        <w:rPr>
          <w:rFonts w:hint="default"/>
          <w:sz w:val="24"/>
          <w:szCs w:val="24"/>
          <w:lang w:val="en-US" w:eastAsia="zh-CN"/>
        </w:rPr>
      </w:pPr>
      <w:r>
        <w:rPr>
          <w:rFonts w:hint="default"/>
          <w:sz w:val="24"/>
          <w:szCs w:val="24"/>
          <w:lang w:val="en-US" w:eastAsia="zh-CN"/>
        </w:rPr>
        <w:drawing>
          <wp:inline distT="0" distB="0" distL="114300" distR="114300">
            <wp:extent cx="5266690" cy="5266690"/>
            <wp:effectExtent l="0" t="0" r="3810" b="3810"/>
            <wp:docPr id="23" name="图片 23" descr="九个混淆矩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九个混淆矩阵》png"/>
                    <pic:cNvPicPr>
                      <a:picLocks noChangeAspect="1"/>
                    </pic:cNvPicPr>
                  </pic:nvPicPr>
                  <pic:blipFill>
                    <a:blip r:embed="rId24"/>
                    <a:stretch>
                      <a:fillRect/>
                    </a:stretch>
                  </pic:blipFill>
                  <pic:spPr>
                    <a:xfrm>
                      <a:off x="0" y="0"/>
                      <a:ext cx="5266690" cy="526669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80" w:firstLineChars="200"/>
        <w:jc w:val="center"/>
        <w:rPr>
          <w:rFonts w:hint="eastAsia"/>
          <w:sz w:val="24"/>
          <w:szCs w:val="24"/>
          <w:lang w:val="en-US" w:eastAsia="zh-CN"/>
        </w:rPr>
      </w:pPr>
      <w:r>
        <w:rPr>
          <w:rFonts w:hint="eastAsia"/>
          <w:sz w:val="24"/>
          <w:szCs w:val="24"/>
          <w:lang w:val="en-US" w:eastAsia="zh-CN"/>
        </w:rPr>
        <w:t>图9：不同阈值下的混淆矩阵</w:t>
      </w:r>
    </w:p>
    <w:p>
      <w:pPr>
        <w:pageBreakBefore w:val="0"/>
        <w:kinsoku/>
        <w:wordWrap/>
        <w:overflowPunct/>
        <w:topLinePunct w:val="0"/>
        <w:autoSpaceDE/>
        <w:autoSpaceDN/>
        <w:bidi w:val="0"/>
        <w:adjustRightInd/>
        <w:snapToGrid/>
        <w:spacing w:line="360" w:lineRule="auto"/>
        <w:ind w:firstLine="480" w:firstLineChars="200"/>
        <w:jc w:val="center"/>
        <w:rPr>
          <w:rFonts w:hint="default"/>
          <w:sz w:val="24"/>
          <w:szCs w:val="24"/>
          <w:lang w:val="en-US" w:eastAsia="zh-CN"/>
        </w:rPr>
      </w:pPr>
      <w:r>
        <w:rPr>
          <w:rFonts w:hint="default"/>
          <w:sz w:val="24"/>
          <w:szCs w:val="24"/>
          <w:lang w:val="en-US" w:eastAsia="zh-CN"/>
        </w:rPr>
        <w:drawing>
          <wp:inline distT="0" distB="0" distL="114300" distR="114300">
            <wp:extent cx="5433060" cy="2527935"/>
            <wp:effectExtent l="0" t="0" r="2540" b="12065"/>
            <wp:docPr id="24" name="图片 24" descr="阈值得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阈值得分图"/>
                    <pic:cNvPicPr>
                      <a:picLocks noChangeAspect="1"/>
                    </pic:cNvPicPr>
                  </pic:nvPicPr>
                  <pic:blipFill>
                    <a:blip r:embed="rId25"/>
                    <a:srcRect l="8416" t="7234" r="8500"/>
                    <a:stretch>
                      <a:fillRect/>
                    </a:stretch>
                  </pic:blipFill>
                  <pic:spPr>
                    <a:xfrm>
                      <a:off x="0" y="0"/>
                      <a:ext cx="5433060" cy="252793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80" w:firstLineChars="200"/>
        <w:jc w:val="center"/>
        <w:rPr>
          <w:rFonts w:hint="default"/>
          <w:sz w:val="24"/>
          <w:szCs w:val="24"/>
          <w:lang w:val="en-US" w:eastAsia="zh-CN"/>
        </w:rPr>
      </w:pPr>
      <w:r>
        <w:rPr>
          <w:rFonts w:hint="eastAsia"/>
          <w:sz w:val="24"/>
          <w:szCs w:val="24"/>
          <w:lang w:val="en-US" w:eastAsia="zh-CN"/>
        </w:rPr>
        <w:t>图10：不同阈值下的得分折线图</w:t>
      </w:r>
    </w:p>
    <w:p>
      <w:pPr>
        <w:pageBreakBefore w:val="0"/>
        <w:kinsoku/>
        <w:wordWrap/>
        <w:overflowPunct/>
        <w:topLinePunct w:val="0"/>
        <w:autoSpaceDE/>
        <w:autoSpaceDN/>
        <w:bidi w:val="0"/>
        <w:adjustRightInd/>
        <w:snapToGrid/>
        <w:spacing w:line="360" w:lineRule="auto"/>
        <w:ind w:firstLine="480" w:firstLineChars="200"/>
        <w:outlineLvl w:val="1"/>
        <w:rPr>
          <w:rFonts w:hint="eastAsia"/>
          <w:sz w:val="24"/>
          <w:szCs w:val="24"/>
          <w:lang w:val="en-US" w:eastAsia="zh-CN"/>
        </w:rPr>
      </w:pPr>
      <w:bookmarkStart w:id="24" w:name="_Toc27366"/>
      <w:bookmarkStart w:id="25" w:name="_Toc13917"/>
      <w:r>
        <w:rPr>
          <w:rFonts w:hint="eastAsia"/>
          <w:sz w:val="24"/>
          <w:szCs w:val="24"/>
          <w:lang w:val="en-US" w:eastAsia="zh-CN"/>
        </w:rPr>
        <w:t>4.2 XGBoost建模</w:t>
      </w:r>
      <w:bookmarkEnd w:id="24"/>
      <w:bookmarkEnd w:id="25"/>
    </w:p>
    <w:p>
      <w:pPr>
        <w:pageBreakBefore w:val="0"/>
        <w:kinsoku/>
        <w:wordWrap/>
        <w:overflowPunct/>
        <w:topLinePunct w:val="0"/>
        <w:autoSpaceDE/>
        <w:autoSpaceDN/>
        <w:bidi w:val="0"/>
        <w:adjustRightInd/>
        <w:snapToGrid/>
        <w:spacing w:line="360" w:lineRule="auto"/>
        <w:ind w:firstLine="480" w:firstLineChars="200"/>
        <w:rPr>
          <w:rFonts w:hint="default"/>
          <w:sz w:val="24"/>
          <w:szCs w:val="24"/>
          <w:lang w:val="en-US" w:eastAsia="zh-CN"/>
        </w:rPr>
      </w:pPr>
      <w:r>
        <w:rPr>
          <w:rFonts w:hint="eastAsia"/>
          <w:sz w:val="24"/>
          <w:szCs w:val="24"/>
          <w:lang w:val="en-US" w:eastAsia="zh-CN"/>
        </w:rPr>
        <w:t>由表7可以看出，XGBoost的正确率显著高于阈值为0.5下的逻辑回归。图11则展示了XGBoost的混淆矩阵。可见，在此情景下，XGBoost的性能要显著优于逻辑回归。</w:t>
      </w:r>
    </w:p>
    <w:p>
      <w:pPr>
        <w:pageBreakBefore w:val="0"/>
        <w:kinsoku/>
        <w:wordWrap/>
        <w:overflowPunct/>
        <w:topLinePunct w:val="0"/>
        <w:autoSpaceDE/>
        <w:autoSpaceDN/>
        <w:bidi w:val="0"/>
        <w:adjustRightInd/>
        <w:snapToGrid/>
        <w:spacing w:line="360" w:lineRule="auto"/>
        <w:ind w:firstLine="480" w:firstLineChars="200"/>
        <w:jc w:val="center"/>
        <w:rPr>
          <w:rFonts w:hint="default"/>
          <w:sz w:val="24"/>
          <w:szCs w:val="24"/>
          <w:lang w:val="en-US" w:eastAsia="zh-CN"/>
        </w:rPr>
      </w:pPr>
      <w:r>
        <w:rPr>
          <w:rFonts w:hint="eastAsia"/>
          <w:sz w:val="24"/>
          <w:szCs w:val="24"/>
          <w:lang w:val="en-US" w:eastAsia="zh-CN"/>
        </w:rPr>
        <w:t>表7：XGBoost和阈值为0.5下的逻辑回归得分对比</w:t>
      </w:r>
    </w:p>
    <w:tbl>
      <w:tblPr>
        <w:tblStyle w:val="7"/>
        <w:tblW w:w="5044" w:type="dxa"/>
        <w:jc w:val="center"/>
        <w:shd w:val="clear" w:color="auto" w:fill="auto"/>
        <w:tblLayout w:type="fixed"/>
        <w:tblCellMar>
          <w:top w:w="0" w:type="dxa"/>
          <w:left w:w="108" w:type="dxa"/>
          <w:bottom w:w="0" w:type="dxa"/>
          <w:right w:w="108" w:type="dxa"/>
        </w:tblCellMar>
      </w:tblPr>
      <w:tblGrid>
        <w:gridCol w:w="1778"/>
        <w:gridCol w:w="1633"/>
        <w:gridCol w:w="1633"/>
      </w:tblGrid>
      <w:tr>
        <w:tblPrEx>
          <w:shd w:val="clear" w:color="auto" w:fill="auto"/>
          <w:tblCellMar>
            <w:top w:w="0" w:type="dxa"/>
            <w:left w:w="108" w:type="dxa"/>
            <w:bottom w:w="0" w:type="dxa"/>
            <w:right w:w="108" w:type="dxa"/>
          </w:tblCellMar>
        </w:tblPrEx>
        <w:trPr>
          <w:trHeight w:val="295" w:hRule="atLeast"/>
          <w:jc w:val="center"/>
        </w:trPr>
        <w:tc>
          <w:tcPr>
            <w:tcW w:w="1778" w:type="dxa"/>
            <w:tcBorders>
              <w:top w:val="single" w:color="000000" w:sz="8" w:space="0"/>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指标</w:t>
            </w:r>
          </w:p>
        </w:tc>
        <w:tc>
          <w:tcPr>
            <w:tcW w:w="1633" w:type="dxa"/>
            <w:tcBorders>
              <w:top w:val="single" w:color="000000" w:sz="8" w:space="0"/>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XGBoost</w:t>
            </w:r>
          </w:p>
        </w:tc>
        <w:tc>
          <w:tcPr>
            <w:tcW w:w="1633" w:type="dxa"/>
            <w:tcBorders>
              <w:top w:val="single" w:color="000000" w:sz="8" w:space="0"/>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逻辑回归</w:t>
            </w:r>
          </w:p>
        </w:tc>
      </w:tr>
      <w:tr>
        <w:tblPrEx>
          <w:shd w:val="clear" w:color="auto" w:fill="auto"/>
          <w:tblCellMar>
            <w:top w:w="0" w:type="dxa"/>
            <w:left w:w="108" w:type="dxa"/>
            <w:bottom w:w="0" w:type="dxa"/>
            <w:right w:w="108" w:type="dxa"/>
          </w:tblCellMar>
        </w:tblPrEx>
        <w:trPr>
          <w:trHeight w:val="280" w:hRule="atLeast"/>
          <w:jc w:val="center"/>
        </w:trPr>
        <w:tc>
          <w:tcPr>
            <w:tcW w:w="1778" w:type="dxa"/>
            <w:tcBorders>
              <w:top w:val="nil"/>
              <w:left w:val="nil"/>
              <w:bottom w:val="nil"/>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default"/>
                <w:sz w:val="21"/>
                <w:szCs w:val="21"/>
              </w:rPr>
            </w:pPr>
            <w:r>
              <w:rPr>
                <w:sz w:val="21"/>
                <w:szCs w:val="21"/>
                <w:lang w:val="en-US" w:eastAsia="zh-CN"/>
              </w:rPr>
              <w:t>正确率</w:t>
            </w:r>
          </w:p>
        </w:tc>
        <w:tc>
          <w:tcPr>
            <w:tcW w:w="1633"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0.8042 </w:t>
            </w:r>
          </w:p>
        </w:tc>
        <w:tc>
          <w:tcPr>
            <w:tcW w:w="1633"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0.5880 </w:t>
            </w:r>
          </w:p>
        </w:tc>
      </w:tr>
      <w:tr>
        <w:tblPrEx>
          <w:shd w:val="clear" w:color="auto" w:fill="auto"/>
          <w:tblCellMar>
            <w:top w:w="0" w:type="dxa"/>
            <w:left w:w="108" w:type="dxa"/>
            <w:bottom w:w="0" w:type="dxa"/>
            <w:right w:w="108" w:type="dxa"/>
          </w:tblCellMar>
        </w:tblPrEx>
        <w:trPr>
          <w:trHeight w:val="280" w:hRule="atLeast"/>
          <w:jc w:val="center"/>
        </w:trPr>
        <w:tc>
          <w:tcPr>
            <w:tcW w:w="1778" w:type="dxa"/>
            <w:tcBorders>
              <w:top w:val="nil"/>
              <w:left w:val="nil"/>
              <w:bottom w:val="nil"/>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default"/>
                <w:sz w:val="21"/>
                <w:szCs w:val="21"/>
              </w:rPr>
            </w:pPr>
            <w:r>
              <w:rPr>
                <w:sz w:val="21"/>
                <w:szCs w:val="21"/>
                <w:lang w:val="en-US" w:eastAsia="zh-CN"/>
              </w:rPr>
              <w:t>精准率</w:t>
            </w:r>
          </w:p>
        </w:tc>
        <w:tc>
          <w:tcPr>
            <w:tcW w:w="1633"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0.5579 </w:t>
            </w:r>
          </w:p>
        </w:tc>
        <w:tc>
          <w:tcPr>
            <w:tcW w:w="1633"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0.2864 </w:t>
            </w:r>
          </w:p>
        </w:tc>
      </w:tr>
      <w:tr>
        <w:tblPrEx>
          <w:shd w:val="clear" w:color="auto" w:fill="auto"/>
          <w:tblCellMar>
            <w:top w:w="0" w:type="dxa"/>
            <w:left w:w="108" w:type="dxa"/>
            <w:bottom w:w="0" w:type="dxa"/>
            <w:right w:w="108" w:type="dxa"/>
          </w:tblCellMar>
        </w:tblPrEx>
        <w:trPr>
          <w:trHeight w:val="280" w:hRule="atLeast"/>
          <w:jc w:val="center"/>
        </w:trPr>
        <w:tc>
          <w:tcPr>
            <w:tcW w:w="1778" w:type="dxa"/>
            <w:tcBorders>
              <w:top w:val="nil"/>
              <w:left w:val="nil"/>
              <w:bottom w:val="nil"/>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default"/>
                <w:sz w:val="21"/>
                <w:szCs w:val="21"/>
              </w:rPr>
            </w:pPr>
            <w:r>
              <w:rPr>
                <w:sz w:val="21"/>
                <w:szCs w:val="21"/>
                <w:lang w:val="en-US" w:eastAsia="zh-CN"/>
              </w:rPr>
              <w:t>召回率</w:t>
            </w:r>
          </w:p>
        </w:tc>
        <w:tc>
          <w:tcPr>
            <w:tcW w:w="1633"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0.1077 </w:t>
            </w:r>
          </w:p>
        </w:tc>
        <w:tc>
          <w:tcPr>
            <w:tcW w:w="1633"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0.7087 </w:t>
            </w:r>
          </w:p>
        </w:tc>
      </w:tr>
      <w:tr>
        <w:tblPrEx>
          <w:shd w:val="clear" w:color="auto" w:fill="auto"/>
          <w:tblCellMar>
            <w:top w:w="0" w:type="dxa"/>
            <w:left w:w="108" w:type="dxa"/>
            <w:bottom w:w="0" w:type="dxa"/>
            <w:right w:w="108" w:type="dxa"/>
          </w:tblCellMar>
        </w:tblPrEx>
        <w:trPr>
          <w:trHeight w:val="90" w:hRule="atLeast"/>
          <w:jc w:val="center"/>
        </w:trPr>
        <w:tc>
          <w:tcPr>
            <w:tcW w:w="1778" w:type="dxa"/>
            <w:tcBorders>
              <w:top w:val="nil"/>
              <w:left w:val="nil"/>
              <w:bottom w:val="single" w:color="000000" w:sz="8" w:space="0"/>
              <w:right w:val="nil"/>
            </w:tcBorders>
            <w:shd w:val="clear" w:color="auto" w:fill="auto"/>
            <w:noWrap/>
            <w:vAlign w:val="center"/>
          </w:tcPr>
          <w:p>
            <w:pPr>
              <w:pageBreakBefore w:val="0"/>
              <w:kinsoku/>
              <w:wordWrap/>
              <w:overflowPunct/>
              <w:topLinePunct w:val="0"/>
              <w:autoSpaceDE/>
              <w:autoSpaceDN/>
              <w:bidi w:val="0"/>
              <w:adjustRightInd/>
              <w:snapToGrid/>
              <w:spacing w:line="360" w:lineRule="auto"/>
              <w:ind w:firstLine="420" w:firstLineChars="200"/>
              <w:jc w:val="center"/>
              <w:rPr>
                <w:rFonts w:hint="default"/>
                <w:sz w:val="21"/>
                <w:szCs w:val="21"/>
              </w:rPr>
            </w:pPr>
            <w:r>
              <w:rPr>
                <w:sz w:val="21"/>
                <w:szCs w:val="21"/>
                <w:lang w:val="en-US" w:eastAsia="zh-CN"/>
              </w:rPr>
              <w:t>调和平均值F1</w:t>
            </w:r>
          </w:p>
        </w:tc>
        <w:tc>
          <w:tcPr>
            <w:tcW w:w="1633" w:type="dxa"/>
            <w:tcBorders>
              <w:top w:val="nil"/>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0.1805 </w:t>
            </w:r>
          </w:p>
        </w:tc>
        <w:tc>
          <w:tcPr>
            <w:tcW w:w="1633" w:type="dxa"/>
            <w:tcBorders>
              <w:top w:val="nil"/>
              <w:left w:val="nil"/>
              <w:bottom w:val="single" w:color="000000" w:sz="8"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righ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0.4080 </w:t>
            </w:r>
          </w:p>
        </w:tc>
      </w:tr>
    </w:tbl>
    <w:p>
      <w:pPr>
        <w:pageBreakBefore w:val="0"/>
        <w:kinsoku/>
        <w:wordWrap/>
        <w:overflowPunct/>
        <w:topLinePunct w:val="0"/>
        <w:autoSpaceDE/>
        <w:autoSpaceDN/>
        <w:bidi w:val="0"/>
        <w:adjustRightInd/>
        <w:snapToGrid/>
        <w:spacing w:line="360" w:lineRule="auto"/>
        <w:ind w:firstLine="480" w:firstLineChars="200"/>
        <w:jc w:val="center"/>
        <w:rPr>
          <w:sz w:val="24"/>
          <w:szCs w:val="24"/>
        </w:rPr>
      </w:pPr>
      <w:r>
        <w:rPr>
          <w:sz w:val="24"/>
          <w:szCs w:val="24"/>
        </w:rPr>
        <w:drawing>
          <wp:inline distT="0" distB="0" distL="114300" distR="114300">
            <wp:extent cx="3359150" cy="2857500"/>
            <wp:effectExtent l="0" t="0" r="6350" b="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6"/>
                    <a:stretch>
                      <a:fillRect/>
                    </a:stretch>
                  </pic:blipFill>
                  <pic:spPr>
                    <a:xfrm>
                      <a:off x="0" y="0"/>
                      <a:ext cx="3359150" cy="28575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80" w:firstLineChars="200"/>
        <w:jc w:val="center"/>
        <w:rPr>
          <w:rFonts w:hint="eastAsia"/>
          <w:sz w:val="24"/>
          <w:szCs w:val="24"/>
          <w:lang w:val="en-US" w:eastAsia="zh-CN"/>
        </w:rPr>
      </w:pPr>
      <w:r>
        <w:rPr>
          <w:rFonts w:hint="eastAsia"/>
          <w:sz w:val="24"/>
          <w:szCs w:val="24"/>
          <w:lang w:val="en-US" w:eastAsia="zh-CN"/>
        </w:rPr>
        <w:t>图11：XGBoost的混淆矩阵</w:t>
      </w:r>
    </w:p>
    <w:p>
      <w:pPr>
        <w:pageBreakBefore w:val="0"/>
        <w:kinsoku/>
        <w:wordWrap/>
        <w:overflowPunct/>
        <w:topLinePunct w:val="0"/>
        <w:autoSpaceDE/>
        <w:autoSpaceDN/>
        <w:bidi w:val="0"/>
        <w:adjustRightInd/>
        <w:snapToGrid/>
        <w:spacing w:line="360" w:lineRule="auto"/>
        <w:ind w:firstLine="480" w:firstLineChars="200"/>
        <w:jc w:val="center"/>
        <w:rPr>
          <w:sz w:val="24"/>
          <w:szCs w:val="24"/>
        </w:rPr>
      </w:pPr>
      <w:r>
        <w:rPr>
          <w:sz w:val="24"/>
          <w:szCs w:val="24"/>
        </w:rPr>
        <w:drawing>
          <wp:inline distT="0" distB="0" distL="114300" distR="114300">
            <wp:extent cx="4692650" cy="2686050"/>
            <wp:effectExtent l="0" t="0" r="6350" b="635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7"/>
                    <a:stretch>
                      <a:fillRect/>
                    </a:stretch>
                  </pic:blipFill>
                  <pic:spPr>
                    <a:xfrm>
                      <a:off x="0" y="0"/>
                      <a:ext cx="4692650" cy="268605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80" w:firstLineChars="200"/>
        <w:jc w:val="center"/>
        <w:rPr>
          <w:rFonts w:hint="eastAsia"/>
          <w:sz w:val="24"/>
          <w:szCs w:val="24"/>
          <w:lang w:val="en-US" w:eastAsia="zh-CN"/>
        </w:rPr>
      </w:pPr>
      <w:r>
        <w:rPr>
          <w:rFonts w:hint="eastAsia"/>
          <w:sz w:val="24"/>
          <w:szCs w:val="24"/>
          <w:lang w:val="en-US" w:eastAsia="zh-CN"/>
        </w:rPr>
        <w:t>图12：XGBoost的权重前20的变量</w:t>
      </w:r>
    </w:p>
    <w:p>
      <w:pPr>
        <w:pageBreakBefore w:val="0"/>
        <w:kinsoku/>
        <w:wordWrap/>
        <w:overflowPunct/>
        <w:topLinePunct w:val="0"/>
        <w:autoSpaceDE/>
        <w:autoSpaceDN/>
        <w:bidi w:val="0"/>
        <w:adjustRightInd/>
        <w:snapToGrid/>
        <w:spacing w:line="360" w:lineRule="auto"/>
        <w:ind w:firstLine="480" w:firstLineChars="200"/>
        <w:rPr>
          <w:rFonts w:hint="default"/>
          <w:sz w:val="24"/>
          <w:szCs w:val="24"/>
          <w:lang w:val="en-US" w:eastAsia="zh-CN"/>
        </w:rPr>
      </w:pPr>
      <w:r>
        <w:rPr>
          <w:rFonts w:hint="eastAsia"/>
          <w:sz w:val="24"/>
          <w:szCs w:val="24"/>
          <w:lang w:val="en-US" w:eastAsia="zh-CN"/>
        </w:rPr>
        <w:t>图12展示了XGBoost筛选出的20个最重要的变量。可见工作职称、年收入、债务收入比、信贷周转余额合计、借款人在贷款申请中提供的邮政编码的前3位数字、地区编码等变量以及我们经过主成分分析法合并产生的特征对贷款违约率的影响最大。</w:t>
      </w:r>
    </w:p>
    <w:p>
      <w:pPr>
        <w:pStyle w:val="2"/>
        <w:pageBreakBefore w:val="0"/>
        <w:kinsoku/>
        <w:wordWrap/>
        <w:overflowPunct/>
        <w:topLinePunct w:val="0"/>
        <w:autoSpaceDE/>
        <w:autoSpaceDN/>
        <w:bidi w:val="0"/>
        <w:adjustRightInd/>
        <w:snapToGrid/>
        <w:spacing w:beforeLines="-2147483648" w:beforeAutospacing="0" w:afterLines="-2147483648" w:afterAutospacing="0" w:line="360" w:lineRule="auto"/>
        <w:ind w:firstLine="482" w:firstLineChars="200"/>
        <w:rPr>
          <w:rFonts w:hint="eastAsia"/>
          <w:b/>
          <w:sz w:val="24"/>
          <w:szCs w:val="24"/>
          <w:lang w:val="en-US" w:eastAsia="zh-CN"/>
        </w:rPr>
      </w:pPr>
      <w:bookmarkStart w:id="26" w:name="_Toc19709"/>
      <w:bookmarkStart w:id="27" w:name="_Toc12037"/>
      <w:r>
        <w:rPr>
          <w:rFonts w:hint="eastAsia"/>
          <w:b/>
          <w:sz w:val="24"/>
          <w:szCs w:val="24"/>
          <w:lang w:val="en-US" w:eastAsia="zh-CN"/>
        </w:rPr>
        <w:t>5.总结与反思</w:t>
      </w:r>
      <w:bookmarkEnd w:id="26"/>
      <w:bookmarkEnd w:id="27"/>
    </w:p>
    <w:p>
      <w:pPr>
        <w:pStyle w:val="3"/>
        <w:pageBreakBefore w:val="0"/>
        <w:kinsoku/>
        <w:wordWrap/>
        <w:overflowPunct/>
        <w:topLinePunct w:val="0"/>
        <w:autoSpaceDE/>
        <w:autoSpaceDN/>
        <w:bidi w:val="0"/>
        <w:adjustRightInd/>
        <w:snapToGrid/>
        <w:spacing w:beforeLines="-2147483648" w:beforeAutospacing="0" w:afterLines="-2147483648" w:afterAutospacing="0" w:line="360" w:lineRule="auto"/>
        <w:ind w:firstLine="482" w:firstLineChars="200"/>
        <w:rPr>
          <w:rFonts w:hint="eastAsia"/>
          <w:b/>
          <w:sz w:val="24"/>
          <w:szCs w:val="24"/>
          <w:lang w:val="en-US" w:eastAsia="zh-CN"/>
        </w:rPr>
      </w:pPr>
      <w:bookmarkStart w:id="28" w:name="_Toc31462"/>
      <w:bookmarkStart w:id="29" w:name="_Toc20302"/>
      <w:r>
        <w:rPr>
          <w:rFonts w:hint="eastAsia"/>
          <w:b/>
          <w:sz w:val="24"/>
          <w:szCs w:val="24"/>
          <w:lang w:val="en-US" w:eastAsia="zh-CN"/>
        </w:rPr>
        <w:t>5.1 论文总结</w:t>
      </w:r>
      <w:bookmarkEnd w:id="28"/>
      <w:bookmarkEnd w:id="29"/>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ascii="宋体" w:hAnsi="宋体" w:eastAsia="宋体"/>
          <w:sz w:val="24"/>
          <w:szCs w:val="24"/>
        </w:rPr>
        <w:t>本文使用了某</w:t>
      </w:r>
      <w:r>
        <w:rPr>
          <w:rFonts w:hint="eastAsia" w:ascii="宋体" w:hAnsi="宋体" w:eastAsia="宋体"/>
          <w:sz w:val="24"/>
          <w:szCs w:val="24"/>
          <w:lang w:val="en-US" w:eastAsia="zh-CN"/>
        </w:rPr>
        <w:t>信贷平台</w:t>
      </w:r>
      <w:r>
        <w:rPr>
          <w:rFonts w:hint="eastAsia" w:ascii="宋体" w:hAnsi="宋体" w:eastAsia="宋体"/>
          <w:sz w:val="24"/>
          <w:szCs w:val="24"/>
        </w:rPr>
        <w:t>提供的</w:t>
      </w:r>
      <w:r>
        <w:rPr>
          <w:rFonts w:hint="eastAsia" w:ascii="宋体" w:hAnsi="宋体" w:eastAsia="宋体"/>
          <w:sz w:val="24"/>
          <w:szCs w:val="24"/>
          <w:lang w:val="en-US" w:eastAsia="zh-CN"/>
        </w:rPr>
        <w:t>贷款</w:t>
      </w:r>
      <w:r>
        <w:rPr>
          <w:rFonts w:hint="eastAsia" w:ascii="宋体" w:hAnsi="宋体" w:eastAsia="宋体"/>
          <w:sz w:val="24"/>
          <w:szCs w:val="24"/>
        </w:rPr>
        <w:t>顾客数据，根据用户的社会人口学变量</w:t>
      </w:r>
      <w:r>
        <w:rPr>
          <w:rFonts w:hint="eastAsia" w:ascii="宋体" w:hAnsi="宋体" w:eastAsia="宋体"/>
          <w:sz w:val="24"/>
          <w:szCs w:val="24"/>
          <w:lang w:eastAsia="zh-CN"/>
        </w:rPr>
        <w:t>、</w:t>
      </w:r>
      <w:r>
        <w:rPr>
          <w:rFonts w:hint="eastAsia" w:ascii="宋体" w:hAnsi="宋体" w:eastAsia="宋体"/>
          <w:sz w:val="24"/>
          <w:szCs w:val="24"/>
        </w:rPr>
        <w:t>交易信息</w:t>
      </w:r>
      <w:r>
        <w:rPr>
          <w:rFonts w:hint="eastAsia" w:ascii="宋体" w:hAnsi="宋体" w:eastAsia="宋体"/>
          <w:sz w:val="24"/>
          <w:szCs w:val="24"/>
          <w:lang w:val="en-US" w:eastAsia="zh-CN"/>
        </w:rPr>
        <w:t>以及n系列匿名行为特征</w:t>
      </w:r>
      <w:r>
        <w:rPr>
          <w:rFonts w:hint="eastAsia" w:ascii="宋体" w:hAnsi="宋体" w:eastAsia="宋体"/>
          <w:sz w:val="24"/>
          <w:szCs w:val="24"/>
        </w:rPr>
        <w:t>，对顾客</w:t>
      </w:r>
      <w:r>
        <w:rPr>
          <w:rFonts w:hint="eastAsia" w:ascii="宋体" w:hAnsi="宋体" w:eastAsia="宋体"/>
          <w:sz w:val="24"/>
          <w:szCs w:val="24"/>
          <w:lang w:val="en-US" w:eastAsia="zh-CN"/>
        </w:rPr>
        <w:t>贷款违约的</w:t>
      </w:r>
      <w:r>
        <w:rPr>
          <w:rFonts w:hint="eastAsia" w:ascii="宋体" w:hAnsi="宋体" w:eastAsia="宋体"/>
          <w:sz w:val="24"/>
          <w:szCs w:val="24"/>
        </w:rPr>
        <w:t>可能性进行预测，并希望通过分析筛选出的显著影响因素，对</w:t>
      </w:r>
      <w:r>
        <w:rPr>
          <w:rFonts w:hint="eastAsia" w:ascii="宋体" w:hAnsi="宋体" w:eastAsia="宋体"/>
          <w:sz w:val="24"/>
          <w:szCs w:val="24"/>
          <w:lang w:val="en-US" w:eastAsia="zh-CN"/>
        </w:rPr>
        <w:t>信贷平台审慎发放贷款</w:t>
      </w:r>
      <w:r>
        <w:rPr>
          <w:rFonts w:hint="eastAsia" w:ascii="宋体" w:hAnsi="宋体" w:eastAsia="宋体"/>
          <w:sz w:val="24"/>
          <w:szCs w:val="24"/>
        </w:rPr>
        <w:t>，预防</w:t>
      </w:r>
      <w:r>
        <w:rPr>
          <w:rFonts w:hint="eastAsia" w:ascii="宋体" w:hAnsi="宋体" w:eastAsia="宋体"/>
          <w:sz w:val="24"/>
          <w:szCs w:val="24"/>
          <w:lang w:val="en-US" w:eastAsia="zh-CN"/>
        </w:rPr>
        <w:t>违约</w:t>
      </w:r>
      <w:r>
        <w:rPr>
          <w:rFonts w:hint="eastAsia" w:ascii="宋体" w:hAnsi="宋体" w:eastAsia="宋体"/>
          <w:sz w:val="24"/>
          <w:szCs w:val="24"/>
        </w:rPr>
        <w:t>风险提出具体建议。</w:t>
      </w:r>
    </w:p>
    <w:p>
      <w:pPr>
        <w:pageBreakBefore w:val="0"/>
        <w:kinsoku/>
        <w:wordWrap/>
        <w:overflowPunct/>
        <w:topLinePunct w:val="0"/>
        <w:autoSpaceDE/>
        <w:autoSpaceDN/>
        <w:bidi w:val="0"/>
        <w:adjustRightInd/>
        <w:snapToGrid/>
        <w:spacing w:line="360" w:lineRule="auto"/>
        <w:ind w:firstLine="480" w:firstLineChars="200"/>
        <w:rPr>
          <w:rFonts w:hint="eastAsia" w:ascii="宋体" w:hAnsi="宋体" w:eastAsia="宋体"/>
          <w:sz w:val="24"/>
          <w:szCs w:val="24"/>
        </w:rPr>
      </w:pPr>
      <w:r>
        <w:rPr>
          <w:rFonts w:hint="eastAsia" w:ascii="宋体" w:hAnsi="宋体" w:eastAsia="宋体"/>
          <w:sz w:val="24"/>
          <w:szCs w:val="24"/>
        </w:rPr>
        <w:t>本文首先介绍</w:t>
      </w:r>
      <w:r>
        <w:rPr>
          <w:rFonts w:hint="eastAsia" w:ascii="宋体" w:hAnsi="宋体" w:eastAsia="宋体"/>
          <w:sz w:val="24"/>
          <w:szCs w:val="24"/>
          <w:lang w:val="en-US" w:eastAsia="zh-CN"/>
        </w:rPr>
        <w:t>防范贷款违约风险</w:t>
      </w:r>
      <w:r>
        <w:rPr>
          <w:rFonts w:hint="eastAsia" w:ascii="宋体" w:hAnsi="宋体" w:eastAsia="宋体"/>
          <w:sz w:val="24"/>
          <w:szCs w:val="24"/>
        </w:rPr>
        <w:t>，对提升银行竞争力，增强银行盈利能力的重要性；其次以收集到的数据集为案例，对样本数据进行了一系列的统计描述，展现变量弱相关和分布差异大的特点；之后基于数据的特点，先后建立</w:t>
      </w:r>
      <w:r>
        <w:rPr>
          <w:rFonts w:hint="eastAsia" w:ascii="宋体" w:hAnsi="宋体" w:eastAsia="宋体"/>
          <w:sz w:val="24"/>
          <w:szCs w:val="24"/>
          <w:lang w:val="en-US" w:eastAsia="zh-CN"/>
        </w:rPr>
        <w:t>逻辑回归</w:t>
      </w:r>
      <w:r>
        <w:rPr>
          <w:rFonts w:hint="eastAsia" w:ascii="宋体" w:hAnsi="宋体" w:eastAsia="宋体"/>
          <w:sz w:val="24"/>
          <w:szCs w:val="24"/>
        </w:rPr>
        <w:t>和XGBoost模型，最终实现了对目标变量的准确预测，并找到影响顾客是否流失的关键因素。</w:t>
      </w:r>
    </w:p>
    <w:p>
      <w:pPr>
        <w:pageBreakBefore w:val="0"/>
        <w:kinsoku/>
        <w:wordWrap/>
        <w:overflowPunct/>
        <w:topLinePunct w:val="0"/>
        <w:autoSpaceDE/>
        <w:autoSpaceDN/>
        <w:bidi w:val="0"/>
        <w:adjustRightInd/>
        <w:snapToGrid/>
        <w:spacing w:line="360" w:lineRule="auto"/>
        <w:ind w:firstLine="480" w:firstLineChars="200"/>
        <w:rPr>
          <w:rFonts w:hint="default" w:ascii="宋体" w:hAnsi="宋体" w:eastAsia="宋体"/>
          <w:sz w:val="24"/>
          <w:szCs w:val="24"/>
          <w:lang w:val="en-US" w:eastAsia="zh-CN"/>
        </w:rPr>
      </w:pPr>
      <w:r>
        <w:rPr>
          <w:rFonts w:hint="eastAsia" w:ascii="宋体" w:hAnsi="宋体" w:eastAsia="宋体"/>
          <w:sz w:val="24"/>
          <w:szCs w:val="24"/>
        </w:rPr>
        <w:t>相比之下，用户的社会人口学特征</w:t>
      </w:r>
      <w:r>
        <w:rPr>
          <w:rFonts w:hint="eastAsia" w:ascii="宋体" w:hAnsi="宋体" w:eastAsia="宋体"/>
          <w:sz w:val="24"/>
          <w:szCs w:val="24"/>
          <w:lang w:val="en-US" w:eastAsia="zh-CN"/>
        </w:rPr>
        <w:t>比</w:t>
      </w:r>
      <w:r>
        <w:rPr>
          <w:rFonts w:hint="eastAsia" w:ascii="宋体" w:hAnsi="宋体" w:eastAsia="宋体"/>
          <w:sz w:val="24"/>
          <w:szCs w:val="24"/>
        </w:rPr>
        <w:t>用户的交易信息对准确预测客户的动向更有帮助。在社会人口学变量方面，</w:t>
      </w:r>
      <w:r>
        <w:rPr>
          <w:rFonts w:hint="eastAsia"/>
          <w:sz w:val="24"/>
          <w:szCs w:val="24"/>
          <w:lang w:val="en-US" w:eastAsia="zh-CN"/>
        </w:rPr>
        <w:t>工作职称、年收入、债务收入比、地区等因素</w:t>
      </w:r>
      <w:r>
        <w:rPr>
          <w:rFonts w:hint="eastAsia" w:ascii="宋体" w:hAnsi="宋体" w:eastAsia="宋体"/>
          <w:sz w:val="24"/>
          <w:szCs w:val="24"/>
          <w:lang w:val="en-US" w:eastAsia="zh-CN"/>
        </w:rPr>
        <w:t>影响</w:t>
      </w:r>
      <w:r>
        <w:rPr>
          <w:rFonts w:hint="eastAsia" w:ascii="宋体" w:hAnsi="宋体" w:eastAsia="宋体"/>
          <w:sz w:val="24"/>
          <w:szCs w:val="24"/>
        </w:rPr>
        <w:t>显著</w:t>
      </w:r>
      <w:r>
        <w:rPr>
          <w:rFonts w:hint="eastAsia" w:ascii="宋体" w:hAnsi="宋体" w:eastAsia="宋体"/>
          <w:sz w:val="24"/>
          <w:szCs w:val="24"/>
          <w:lang w:eastAsia="zh-CN"/>
        </w:rPr>
        <w:t>；</w:t>
      </w:r>
      <w:r>
        <w:rPr>
          <w:rFonts w:hint="eastAsia" w:ascii="宋体" w:hAnsi="宋体" w:eastAsia="宋体"/>
          <w:sz w:val="24"/>
          <w:szCs w:val="24"/>
          <w:lang w:val="en-US" w:eastAsia="zh-CN"/>
        </w:rPr>
        <w:t>交易信息方面，</w:t>
      </w:r>
      <w:r>
        <w:rPr>
          <w:rFonts w:hint="eastAsia"/>
          <w:sz w:val="24"/>
          <w:szCs w:val="24"/>
          <w:lang w:val="en-US" w:eastAsia="zh-CN"/>
        </w:rPr>
        <w:t>信贷周转余额合计以及借贷金额影响较大。</w:t>
      </w:r>
      <w:r>
        <w:rPr>
          <w:rFonts w:hint="eastAsia" w:ascii="宋体" w:hAnsi="宋体" w:eastAsia="宋体"/>
          <w:sz w:val="24"/>
          <w:szCs w:val="24"/>
          <w:lang w:val="en-US" w:eastAsia="zh-CN"/>
        </w:rPr>
        <w:t>而n系列匿名行为特征的预测影响不大。</w:t>
      </w:r>
    </w:p>
    <w:p>
      <w:pPr>
        <w:pageBreakBefore w:val="0"/>
        <w:kinsoku/>
        <w:wordWrap/>
        <w:overflowPunct/>
        <w:topLinePunct w:val="0"/>
        <w:autoSpaceDE/>
        <w:autoSpaceDN/>
        <w:bidi w:val="0"/>
        <w:adjustRightInd/>
        <w:snapToGrid/>
        <w:spacing w:line="360" w:lineRule="auto"/>
        <w:ind w:firstLine="480" w:firstLineChars="200"/>
        <w:rPr>
          <w:rFonts w:hint="eastAsia" w:ascii="宋体" w:hAnsi="宋体" w:eastAsia="宋体"/>
          <w:sz w:val="24"/>
          <w:szCs w:val="24"/>
        </w:rPr>
      </w:pPr>
      <w:r>
        <w:rPr>
          <w:rFonts w:hint="eastAsia" w:ascii="宋体" w:hAnsi="宋体" w:eastAsia="宋体"/>
          <w:sz w:val="24"/>
          <w:szCs w:val="24"/>
        </w:rPr>
        <w:t>基于上述分析结果，本文提出以下建议与意见：</w:t>
      </w:r>
    </w:p>
    <w:p>
      <w:pPr>
        <w:pageBreakBefore w:val="0"/>
        <w:kinsoku/>
        <w:wordWrap/>
        <w:overflowPunct/>
        <w:topLinePunct w:val="0"/>
        <w:autoSpaceDE/>
        <w:autoSpaceDN/>
        <w:bidi w:val="0"/>
        <w:adjustRightInd/>
        <w:snapToGrid/>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关注客户的收入实力。本文注意到高工作职称和年收入的顾客，贷款违约率更低，背后一大原因在于其收入的稳定和丰厚降低了贷款违约的可能。</w:t>
      </w:r>
    </w:p>
    <w:p>
      <w:pPr>
        <w:pageBreakBefore w:val="0"/>
        <w:kinsoku/>
        <w:wordWrap/>
        <w:overflowPunct/>
        <w:topLinePunct w:val="0"/>
        <w:autoSpaceDE/>
        <w:autoSpaceDN/>
        <w:bidi w:val="0"/>
        <w:adjustRightInd/>
        <w:snapToGrid/>
        <w:spacing w:line="360" w:lineRule="auto"/>
        <w:ind w:firstLine="480" w:firstLineChars="200"/>
        <w:rPr>
          <w:rFonts w:hint="eastAsia" w:ascii="宋体" w:hAnsi="宋体" w:eastAsia="宋体"/>
          <w:sz w:val="24"/>
          <w:szCs w:val="24"/>
        </w:rPr>
      </w:pPr>
      <w:r>
        <w:rPr>
          <w:rFonts w:hint="eastAsia" w:ascii="宋体" w:hAnsi="宋体" w:eastAsia="宋体"/>
          <w:sz w:val="24"/>
          <w:szCs w:val="24"/>
          <w:lang w:val="en-US" w:eastAsia="zh-CN"/>
        </w:rPr>
        <w:t>关注客户的年龄。</w:t>
      </w:r>
      <w:r>
        <w:rPr>
          <w:rFonts w:hint="eastAsia" w:ascii="宋体" w:hAnsi="宋体" w:eastAsia="宋体"/>
          <w:sz w:val="24"/>
          <w:szCs w:val="24"/>
        </w:rPr>
        <w:t>年轻人的消费欲望更强，资金周转可能更为频繁；中年人逐渐步入事业的顶峰，账户的存款余额比较稳定。</w:t>
      </w:r>
    </w:p>
    <w:p>
      <w:pPr>
        <w:pageBreakBefore w:val="0"/>
        <w:kinsoku/>
        <w:wordWrap/>
        <w:overflowPunct/>
        <w:topLinePunct w:val="0"/>
        <w:autoSpaceDE/>
        <w:autoSpaceDN/>
        <w:bidi w:val="0"/>
        <w:adjustRightInd/>
        <w:snapToGrid/>
        <w:spacing w:line="360" w:lineRule="auto"/>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关注客户的资产结构。收入只是一方面，客户资产结构对于其经济状况得分波动情况有很大的影响。要密切注意客户的债务收入比，客户过高的杠杆意味着更大违约的风险。</w:t>
      </w:r>
    </w:p>
    <w:p>
      <w:pPr>
        <w:pageBreakBefore w:val="0"/>
        <w:kinsoku/>
        <w:wordWrap/>
        <w:overflowPunct/>
        <w:topLinePunct w:val="0"/>
        <w:autoSpaceDE/>
        <w:autoSpaceDN/>
        <w:bidi w:val="0"/>
        <w:adjustRightInd/>
        <w:snapToGrid/>
        <w:spacing w:line="360" w:lineRule="auto"/>
        <w:ind w:firstLine="480" w:firstLineChars="200"/>
        <w:rPr>
          <w:rFonts w:hint="default" w:ascii="宋体" w:hAnsi="宋体" w:eastAsia="宋体"/>
          <w:sz w:val="24"/>
          <w:szCs w:val="24"/>
          <w:lang w:val="en-US" w:eastAsia="zh-CN"/>
        </w:rPr>
      </w:pPr>
      <w:r>
        <w:rPr>
          <w:rFonts w:hint="eastAsia" w:ascii="宋体" w:hAnsi="宋体" w:eastAsia="宋体"/>
          <w:sz w:val="24"/>
          <w:szCs w:val="24"/>
        </w:rPr>
        <w:t>关注交易信息。</w:t>
      </w:r>
      <w:r>
        <w:rPr>
          <w:rFonts w:hint="eastAsia" w:ascii="宋体" w:hAnsi="宋体" w:eastAsia="宋体"/>
          <w:sz w:val="24"/>
          <w:szCs w:val="24"/>
          <w:lang w:val="en-US" w:eastAsia="zh-CN"/>
        </w:rPr>
        <w:t>比如说，更长期的贷款，顾客违约的风险会更大，因为更长的时间会带来更大的不确定风险，对于长期贷款，借贷平台应该审慎发放。</w:t>
      </w:r>
    </w:p>
    <w:p>
      <w:pPr>
        <w:pStyle w:val="3"/>
        <w:pageBreakBefore w:val="0"/>
        <w:kinsoku/>
        <w:wordWrap/>
        <w:overflowPunct/>
        <w:topLinePunct w:val="0"/>
        <w:autoSpaceDE/>
        <w:autoSpaceDN/>
        <w:bidi w:val="0"/>
        <w:adjustRightInd/>
        <w:snapToGrid/>
        <w:spacing w:beforeLines="-2147483648" w:beforeAutospacing="0" w:afterLines="-2147483648" w:afterAutospacing="0" w:line="360" w:lineRule="auto"/>
        <w:ind w:firstLine="482" w:firstLineChars="200"/>
        <w:rPr>
          <w:rFonts w:hint="default"/>
          <w:b/>
          <w:sz w:val="24"/>
          <w:szCs w:val="24"/>
          <w:lang w:val="en-US" w:eastAsia="zh-CN"/>
        </w:rPr>
      </w:pPr>
      <w:bookmarkStart w:id="30" w:name="_Toc12112"/>
      <w:bookmarkStart w:id="31" w:name="_Toc11045"/>
      <w:r>
        <w:rPr>
          <w:rFonts w:hint="eastAsia"/>
          <w:b/>
          <w:sz w:val="24"/>
          <w:szCs w:val="24"/>
          <w:lang w:val="en-US" w:eastAsia="zh-CN"/>
        </w:rPr>
        <w:t>5.2 反思与不足</w:t>
      </w:r>
      <w:bookmarkEnd w:id="30"/>
      <w:bookmarkEnd w:id="31"/>
    </w:p>
    <w:p>
      <w:pPr>
        <w:pageBreakBefore w:val="0"/>
        <w:kinsoku/>
        <w:wordWrap/>
        <w:overflowPunct/>
        <w:topLinePunct w:val="0"/>
        <w:autoSpaceDE/>
        <w:autoSpaceDN/>
        <w:bidi w:val="0"/>
        <w:adjustRightInd/>
        <w:snapToGrid/>
        <w:spacing w:line="360" w:lineRule="auto"/>
        <w:ind w:firstLine="480" w:firstLineChars="200"/>
        <w:rPr>
          <w:rFonts w:ascii="宋体" w:hAnsi="宋体" w:eastAsia="宋体"/>
          <w:sz w:val="24"/>
          <w:szCs w:val="24"/>
        </w:rPr>
      </w:pPr>
      <w:r>
        <w:rPr>
          <w:rFonts w:hint="eastAsia" w:ascii="宋体" w:hAnsi="宋体" w:eastAsia="宋体"/>
          <w:sz w:val="24"/>
          <w:szCs w:val="24"/>
        </w:rPr>
        <w:t>尽管本研究取得了一定的成果，本报告得出的结论在许多方面仍值得进一步的推敲和探究。具体如下：</w:t>
      </w:r>
    </w:p>
    <w:p>
      <w:pPr>
        <w:pageBreakBefore w:val="0"/>
        <w:kinsoku/>
        <w:wordWrap/>
        <w:overflowPunct/>
        <w:topLinePunct w:val="0"/>
        <w:autoSpaceDE/>
        <w:autoSpaceDN/>
        <w:bidi w:val="0"/>
        <w:adjustRightInd/>
        <w:snapToGrid/>
        <w:spacing w:line="360" w:lineRule="auto"/>
        <w:ind w:firstLine="480" w:firstLineChars="200"/>
        <w:rPr>
          <w:rFonts w:hint="eastAsia"/>
          <w:sz w:val="24"/>
          <w:szCs w:val="24"/>
          <w:lang w:val="en-US" w:eastAsia="zh-CN"/>
        </w:rPr>
      </w:pPr>
      <w:r>
        <w:rPr>
          <w:rFonts w:hint="eastAsia"/>
          <w:sz w:val="24"/>
          <w:szCs w:val="24"/>
          <w:lang w:val="en-US" w:eastAsia="zh-CN"/>
        </w:rPr>
        <w:t>受限于硬件条件限制，未能对逻辑回归的正则化惩罚力度参数进行很好的调参，所以制约了文中逻辑回归模型的性能。</w:t>
      </w:r>
    </w:p>
    <w:p>
      <w:pPr>
        <w:pageBreakBefore w:val="0"/>
        <w:kinsoku/>
        <w:wordWrap/>
        <w:overflowPunct/>
        <w:topLinePunct w:val="0"/>
        <w:autoSpaceDE/>
        <w:autoSpaceDN/>
        <w:bidi w:val="0"/>
        <w:adjustRightInd/>
        <w:snapToGrid/>
        <w:spacing w:line="360" w:lineRule="auto"/>
        <w:ind w:firstLine="480" w:firstLineChars="200"/>
        <w:rPr>
          <w:rFonts w:hint="eastAsia" w:ascii="宋体" w:hAnsi="宋体" w:eastAsia="宋体"/>
          <w:sz w:val="24"/>
          <w:szCs w:val="24"/>
        </w:rPr>
      </w:pPr>
      <w:r>
        <w:rPr>
          <w:rFonts w:hint="eastAsia" w:ascii="宋体" w:hAnsi="宋体" w:eastAsia="宋体"/>
          <w:sz w:val="24"/>
          <w:szCs w:val="24"/>
        </w:rPr>
        <w:t>筛选出的特征对因变量的具体影响方式未知。考虑到用户的交易行为具有复杂性，解释变量和预测变量并不具备线性可分的性质，采用</w:t>
      </w:r>
      <w:r>
        <w:rPr>
          <w:rFonts w:hint="eastAsia" w:ascii="宋体" w:hAnsi="宋体" w:eastAsia="宋体"/>
          <w:sz w:val="24"/>
          <w:szCs w:val="24"/>
          <w:lang w:val="en-US" w:eastAsia="zh-CN"/>
        </w:rPr>
        <w:t>XGBoost</w:t>
      </w:r>
      <w:r>
        <w:rPr>
          <w:rFonts w:hint="eastAsia" w:ascii="宋体" w:hAnsi="宋体" w:eastAsia="宋体"/>
          <w:sz w:val="24"/>
          <w:szCs w:val="24"/>
        </w:rPr>
        <w:t>模型对目标变量进行预测</w:t>
      </w:r>
      <w:r>
        <w:rPr>
          <w:rFonts w:hint="eastAsia" w:ascii="宋体" w:hAnsi="宋体" w:eastAsia="宋体"/>
          <w:sz w:val="24"/>
          <w:szCs w:val="24"/>
          <w:lang w:val="en-US" w:eastAsia="zh-CN"/>
        </w:rPr>
        <w:t>具有很好的性能</w:t>
      </w:r>
      <w:r>
        <w:rPr>
          <w:rFonts w:hint="eastAsia" w:ascii="宋体" w:hAnsi="宋体" w:eastAsia="宋体"/>
          <w:sz w:val="24"/>
          <w:szCs w:val="24"/>
        </w:rPr>
        <w:t>。</w:t>
      </w:r>
      <w:r>
        <w:rPr>
          <w:rFonts w:hint="eastAsia" w:ascii="宋体" w:hAnsi="宋体" w:eastAsia="宋体"/>
          <w:sz w:val="24"/>
          <w:szCs w:val="24"/>
          <w:lang w:val="en-US" w:eastAsia="zh-CN"/>
        </w:rPr>
        <w:t>但是，这样却</w:t>
      </w:r>
      <w:r>
        <w:rPr>
          <w:rFonts w:hint="eastAsia" w:ascii="宋体" w:hAnsi="宋体" w:eastAsia="宋体"/>
          <w:sz w:val="24"/>
          <w:szCs w:val="24"/>
        </w:rPr>
        <w:t>导致筛选出的特征虽然和目标变量显著相关，但是具体的作用机制未知，例如，不能准确判断特征对因变量是正向影响还是负向影响，因此对具体影响方式的分析存在一定的主观性，可以做进一步的探究。</w:t>
      </w:r>
    </w:p>
    <w:p>
      <w:pPr>
        <w:pageBreakBefore w:val="0"/>
        <w:kinsoku/>
        <w:wordWrap/>
        <w:overflowPunct/>
        <w:topLinePunct w:val="0"/>
        <w:autoSpaceDE/>
        <w:autoSpaceDN/>
        <w:bidi w:val="0"/>
        <w:adjustRightInd/>
        <w:snapToGrid/>
        <w:spacing w:line="360" w:lineRule="auto"/>
        <w:ind w:firstLine="480" w:firstLineChars="200"/>
        <w:rPr>
          <w:rFonts w:hint="eastAsia" w:ascii="宋体" w:hAnsi="宋体" w:eastAsia="宋体"/>
          <w:sz w:val="24"/>
          <w:szCs w:val="24"/>
        </w:rPr>
      </w:pPr>
    </w:p>
    <w:p>
      <w:pPr>
        <w:pageBreakBefore w:val="0"/>
        <w:kinsoku/>
        <w:wordWrap/>
        <w:overflowPunct/>
        <w:topLinePunct w:val="0"/>
        <w:autoSpaceDE/>
        <w:autoSpaceDN/>
        <w:bidi w:val="0"/>
        <w:adjustRightInd/>
        <w:snapToGrid/>
        <w:spacing w:line="360" w:lineRule="auto"/>
        <w:ind w:firstLine="480" w:firstLineChars="200"/>
        <w:rPr>
          <w:rFonts w:hint="eastAsia" w:ascii="宋体" w:hAnsi="宋体" w:eastAsia="宋体"/>
          <w:sz w:val="24"/>
          <w:szCs w:val="24"/>
        </w:rPr>
      </w:pPr>
    </w:p>
    <w:p>
      <w:pPr>
        <w:pStyle w:val="2"/>
        <w:spacing w:beforeLines="-2147483648" w:beforeAutospacing="0" w:afterLines="-2147483648" w:afterAutospacing="0" w:line="240" w:lineRule="auto"/>
        <w:rPr>
          <w:rFonts w:hint="eastAsia" w:ascii="黑体" w:hAnsi="黑体" w:eastAsia="黑体" w:cs="Times New Roman"/>
          <w:b w:val="0"/>
          <w:bCs/>
          <w:sz w:val="30"/>
          <w:szCs w:val="30"/>
          <w:lang w:val="en-US" w:eastAsia="zh-CN"/>
        </w:rPr>
      </w:pPr>
      <w:bookmarkStart w:id="32" w:name="_Toc26519"/>
      <w:bookmarkStart w:id="33" w:name="_Toc3904"/>
      <w:r>
        <w:rPr>
          <w:rFonts w:hint="eastAsia" w:ascii="黑体" w:hAnsi="黑体" w:eastAsia="黑体" w:cs="Times New Roman"/>
          <w:b w:val="0"/>
          <w:bCs/>
          <w:sz w:val="30"/>
          <w:szCs w:val="30"/>
          <w:lang w:val="en-US" w:eastAsia="zh-CN"/>
        </w:rPr>
        <w:t>参考文献</w:t>
      </w:r>
      <w:bookmarkEnd w:id="32"/>
      <w:bookmarkEnd w:id="33"/>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[1]丁正斌、施建军, 2017, 《住房按揭贷款逾期风险及其管理探析》, 《审计与经济研究》第1期, 105-111。</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[2]高广春, 2017, 《个人住房抵押贷款还有多大增长空间》, 《银行家》第12期, 49-52。</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[3]何晓晴、谢赤、吴晓, 2005, 《住房按揭贷款违约风险及其防范机制》, 《社会科学家》第6期, 65-67。</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[4]胡金焱、宋唯实, 2018, 《借贷意愿、融资效率与违约风险-网络借贷市场参与者的性别差异研究》, 《东岳论丛》第3期, 27-34。</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[5]胡颖、谢芳, 2009, 《商业银行个人住房抵押贷款违约风险研究》, 《经济前沿研究》第8期, 49-55。</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[6]胡晏, 2017, 《信用等级、借款成功率与违约风险-基于“拍拍贷”数据的经验证据》, 《投资研究》第8期, 143-158。</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[7]况伟大, 2014, 《中国住房抵押贷款拖欠风险研究》, 《经济研究》第1期, 156-168。</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[8]马宇, 2009, 《我国个人住房抵押贷款违约风险影响因素的实证研究》, 《统计研究》第5期, 101-107。</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[9]欧阳远芬, 2014, 《银行住房贷款违约率的宏观风险分析-基于MVAR模型的实证研究》, 《投资研究》第33期, 4-11。</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[10]平新乔、杨慕云, 2009, 《消费信贷违约影响因素的实证研究》, 《财贸经济》第7期, 32-39。</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[11]任兆璋、杨绍基, 2006, 《商业银行信贷违约风险测度的SBP模型研究》, 《金融研究》第11期, 130-137。</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[12]舒扬、杨秋怡, 2017, 《基于大样本数据模型的汽车贷款违约预测研究》, 《管理评论》第7期, 60-72。</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[13]王福林、贾生华、邵海华, 2005, 《个人住房抵押贷款违约风险影响因素实证研究-以杭州市为例》, 《经济学》季刊第5期, 739-750。</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[14] 王吉恒、王思祺, 2017, 《村镇银行的信贷风险及防范措施研究》, 《中国经贸》第5期, 9-16。</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[15]吴姗姗, 2018, 《个人住房抵押贷款违约风险研究评述和展望》, 《经济师》第3期, 19-22。</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[16]Arminger G, Enache D, Bonne T, 1997, “Analyzing Credit Risk Data:A Comparison of Logistic Discrimination, Classification Tree Analysis, and Feed forward Networks”, Social Science Electronic Publishing, 12 (2) , pp.293-310.</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[17]Arya S, Eckel C, Wichman C, 2013, “Anatomy of the credit score”, Journal of Economic behavior and organization, 95, pp.175-185.</w:t>
      </w:r>
    </w:p>
    <w:p>
      <w:pPr>
        <w:pageBreakBefore w:val="0"/>
        <w:kinsoku/>
        <w:wordWrap/>
        <w:overflowPunct/>
        <w:topLinePunct w:val="0"/>
        <w:autoSpaceDE/>
        <w:autoSpaceDN/>
        <w:bidi w:val="0"/>
        <w:adjustRightInd/>
        <w:snapToGrid/>
        <w:spacing w:line="360" w:lineRule="auto"/>
        <w:ind w:firstLine="480" w:firstLineChars="200"/>
        <w:rPr>
          <w:rFonts w:hint="eastAsia" w:ascii="宋体" w:hAnsi="宋体" w:eastAsia="宋体"/>
          <w:sz w:val="24"/>
          <w:szCs w:val="24"/>
        </w:rPr>
      </w:pPr>
    </w:p>
    <w:p>
      <w:pPr>
        <w:pageBreakBefore w:val="0"/>
        <w:kinsoku/>
        <w:wordWrap/>
        <w:overflowPunct/>
        <w:topLinePunct w:val="0"/>
        <w:autoSpaceDE/>
        <w:autoSpaceDN/>
        <w:bidi w:val="0"/>
        <w:adjustRightInd/>
        <w:snapToGrid/>
        <w:spacing w:line="360" w:lineRule="auto"/>
        <w:ind w:firstLine="480" w:firstLineChars="200"/>
        <w:rPr>
          <w:rFonts w:hint="default"/>
          <w:sz w:val="24"/>
          <w:szCs w:val="24"/>
          <w:lang w:val="en-US" w:eastAsia="zh-CN"/>
        </w:rPr>
      </w:pPr>
    </w:p>
    <w:sectPr>
      <w:pgSz w:w="11906" w:h="16838"/>
      <w:pgMar w:top="1134" w:right="850" w:bottom="1134" w:left="85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B2CAD"/>
    <w:rsid w:val="00605B60"/>
    <w:rsid w:val="00CB6CE2"/>
    <w:rsid w:val="017664A8"/>
    <w:rsid w:val="01931DF4"/>
    <w:rsid w:val="02174759"/>
    <w:rsid w:val="022B1B75"/>
    <w:rsid w:val="029D5124"/>
    <w:rsid w:val="02A06331"/>
    <w:rsid w:val="02AD349D"/>
    <w:rsid w:val="02E467F2"/>
    <w:rsid w:val="02FD38F3"/>
    <w:rsid w:val="037C1D2A"/>
    <w:rsid w:val="0401484D"/>
    <w:rsid w:val="05B3747C"/>
    <w:rsid w:val="06181D38"/>
    <w:rsid w:val="06F3372C"/>
    <w:rsid w:val="07532C9D"/>
    <w:rsid w:val="0786385D"/>
    <w:rsid w:val="08227183"/>
    <w:rsid w:val="08930086"/>
    <w:rsid w:val="089B6354"/>
    <w:rsid w:val="08D6467B"/>
    <w:rsid w:val="09473345"/>
    <w:rsid w:val="09FB05C5"/>
    <w:rsid w:val="0AB9683C"/>
    <w:rsid w:val="0AD76270"/>
    <w:rsid w:val="0B4F6DC9"/>
    <w:rsid w:val="0BF22FA1"/>
    <w:rsid w:val="0C0445C5"/>
    <w:rsid w:val="0C2B5178"/>
    <w:rsid w:val="0C2C36C9"/>
    <w:rsid w:val="0C417FB6"/>
    <w:rsid w:val="0C7320A4"/>
    <w:rsid w:val="0CB42B6D"/>
    <w:rsid w:val="0CF74A77"/>
    <w:rsid w:val="0D0B6042"/>
    <w:rsid w:val="0D496008"/>
    <w:rsid w:val="0D5449B2"/>
    <w:rsid w:val="0D63305A"/>
    <w:rsid w:val="0D746664"/>
    <w:rsid w:val="0DBA3451"/>
    <w:rsid w:val="0E744D1F"/>
    <w:rsid w:val="0F051ACB"/>
    <w:rsid w:val="0F173817"/>
    <w:rsid w:val="0F2922C2"/>
    <w:rsid w:val="0FAA4785"/>
    <w:rsid w:val="102B20C4"/>
    <w:rsid w:val="104C5ABE"/>
    <w:rsid w:val="108F570F"/>
    <w:rsid w:val="1182424C"/>
    <w:rsid w:val="11835243"/>
    <w:rsid w:val="12422741"/>
    <w:rsid w:val="126C6647"/>
    <w:rsid w:val="12767B89"/>
    <w:rsid w:val="127F69E4"/>
    <w:rsid w:val="132701BB"/>
    <w:rsid w:val="13284682"/>
    <w:rsid w:val="13A64C7F"/>
    <w:rsid w:val="141E32C9"/>
    <w:rsid w:val="142D407C"/>
    <w:rsid w:val="14AE718E"/>
    <w:rsid w:val="14B600BD"/>
    <w:rsid w:val="1517375E"/>
    <w:rsid w:val="156A0399"/>
    <w:rsid w:val="15EE28C3"/>
    <w:rsid w:val="166E3320"/>
    <w:rsid w:val="168F2593"/>
    <w:rsid w:val="16C67A83"/>
    <w:rsid w:val="171A46B7"/>
    <w:rsid w:val="177419CA"/>
    <w:rsid w:val="181D0BE3"/>
    <w:rsid w:val="186D4D47"/>
    <w:rsid w:val="18E35159"/>
    <w:rsid w:val="198847CD"/>
    <w:rsid w:val="19912CEC"/>
    <w:rsid w:val="1A7E6F2B"/>
    <w:rsid w:val="1B1B4F11"/>
    <w:rsid w:val="1C040E3D"/>
    <w:rsid w:val="1C936272"/>
    <w:rsid w:val="1CC11FCF"/>
    <w:rsid w:val="1D05625C"/>
    <w:rsid w:val="1D0C36C8"/>
    <w:rsid w:val="1D752B91"/>
    <w:rsid w:val="1D845D3A"/>
    <w:rsid w:val="1D940BF9"/>
    <w:rsid w:val="1DC44A4A"/>
    <w:rsid w:val="1DDB7ED7"/>
    <w:rsid w:val="1E1E3CE3"/>
    <w:rsid w:val="1E476CFE"/>
    <w:rsid w:val="1E6573BF"/>
    <w:rsid w:val="1E9D0466"/>
    <w:rsid w:val="1EAE14FD"/>
    <w:rsid w:val="1ED33A0D"/>
    <w:rsid w:val="1EEF234C"/>
    <w:rsid w:val="1EF009B7"/>
    <w:rsid w:val="1FF87E72"/>
    <w:rsid w:val="200B2BC2"/>
    <w:rsid w:val="201E65D4"/>
    <w:rsid w:val="204C6B6C"/>
    <w:rsid w:val="20747E2C"/>
    <w:rsid w:val="20D72F3A"/>
    <w:rsid w:val="214748FE"/>
    <w:rsid w:val="2217536D"/>
    <w:rsid w:val="22620E27"/>
    <w:rsid w:val="22D01D8E"/>
    <w:rsid w:val="22D4432D"/>
    <w:rsid w:val="22F57C1E"/>
    <w:rsid w:val="23701E8D"/>
    <w:rsid w:val="23E2764F"/>
    <w:rsid w:val="24533F9E"/>
    <w:rsid w:val="24E43E53"/>
    <w:rsid w:val="258F1027"/>
    <w:rsid w:val="2595658F"/>
    <w:rsid w:val="25A465B7"/>
    <w:rsid w:val="26214A23"/>
    <w:rsid w:val="264C77A7"/>
    <w:rsid w:val="264D3512"/>
    <w:rsid w:val="2675073A"/>
    <w:rsid w:val="26DE5FF0"/>
    <w:rsid w:val="27241B8A"/>
    <w:rsid w:val="272C2D11"/>
    <w:rsid w:val="2740752A"/>
    <w:rsid w:val="279F2564"/>
    <w:rsid w:val="290A585A"/>
    <w:rsid w:val="29AC551A"/>
    <w:rsid w:val="29EB6DE5"/>
    <w:rsid w:val="2A5F544A"/>
    <w:rsid w:val="2A870C97"/>
    <w:rsid w:val="2ACF66C8"/>
    <w:rsid w:val="2AF25A6F"/>
    <w:rsid w:val="2AFC0DE7"/>
    <w:rsid w:val="2B4A51B9"/>
    <w:rsid w:val="2BAE5167"/>
    <w:rsid w:val="2C2073D5"/>
    <w:rsid w:val="2C2767B0"/>
    <w:rsid w:val="2C2E4723"/>
    <w:rsid w:val="2C68323A"/>
    <w:rsid w:val="2C9B35C0"/>
    <w:rsid w:val="2CB06BE9"/>
    <w:rsid w:val="2D910E94"/>
    <w:rsid w:val="2EC92CD6"/>
    <w:rsid w:val="2EDC5F0E"/>
    <w:rsid w:val="2EEA290D"/>
    <w:rsid w:val="2F0D5C0E"/>
    <w:rsid w:val="2F233F0B"/>
    <w:rsid w:val="2F693B7C"/>
    <w:rsid w:val="2F9A2D42"/>
    <w:rsid w:val="31B7353F"/>
    <w:rsid w:val="326A484B"/>
    <w:rsid w:val="3287693E"/>
    <w:rsid w:val="32C016A0"/>
    <w:rsid w:val="32C478B2"/>
    <w:rsid w:val="33163864"/>
    <w:rsid w:val="331931F4"/>
    <w:rsid w:val="332C69B5"/>
    <w:rsid w:val="3392440A"/>
    <w:rsid w:val="33B23E1E"/>
    <w:rsid w:val="33B46692"/>
    <w:rsid w:val="34404D65"/>
    <w:rsid w:val="346E52F8"/>
    <w:rsid w:val="34CC3FCB"/>
    <w:rsid w:val="353320FE"/>
    <w:rsid w:val="36076296"/>
    <w:rsid w:val="36821DF1"/>
    <w:rsid w:val="37087262"/>
    <w:rsid w:val="387A33DF"/>
    <w:rsid w:val="38902F8A"/>
    <w:rsid w:val="38972D1B"/>
    <w:rsid w:val="38D71D57"/>
    <w:rsid w:val="38FC7528"/>
    <w:rsid w:val="394D51F5"/>
    <w:rsid w:val="39781AD0"/>
    <w:rsid w:val="39C96020"/>
    <w:rsid w:val="3A665699"/>
    <w:rsid w:val="3AAB50EE"/>
    <w:rsid w:val="3CA26953"/>
    <w:rsid w:val="3D647B57"/>
    <w:rsid w:val="3DF83EA6"/>
    <w:rsid w:val="3ED7099E"/>
    <w:rsid w:val="40287B7C"/>
    <w:rsid w:val="408E3D3C"/>
    <w:rsid w:val="40F8261D"/>
    <w:rsid w:val="41185552"/>
    <w:rsid w:val="41285456"/>
    <w:rsid w:val="413037F8"/>
    <w:rsid w:val="417149B7"/>
    <w:rsid w:val="418F02CF"/>
    <w:rsid w:val="41F65F15"/>
    <w:rsid w:val="41FC23FB"/>
    <w:rsid w:val="42354B96"/>
    <w:rsid w:val="42881D06"/>
    <w:rsid w:val="42C228BE"/>
    <w:rsid w:val="431F72E2"/>
    <w:rsid w:val="43D70548"/>
    <w:rsid w:val="44164A93"/>
    <w:rsid w:val="44701FC1"/>
    <w:rsid w:val="44B72602"/>
    <w:rsid w:val="453D48D4"/>
    <w:rsid w:val="45466E69"/>
    <w:rsid w:val="456016DF"/>
    <w:rsid w:val="45F32126"/>
    <w:rsid w:val="462C4703"/>
    <w:rsid w:val="46485832"/>
    <w:rsid w:val="468111FB"/>
    <w:rsid w:val="478F49A4"/>
    <w:rsid w:val="48605A0C"/>
    <w:rsid w:val="488039CB"/>
    <w:rsid w:val="48834206"/>
    <w:rsid w:val="49791778"/>
    <w:rsid w:val="4A106748"/>
    <w:rsid w:val="4A201890"/>
    <w:rsid w:val="4A5D6918"/>
    <w:rsid w:val="4B577363"/>
    <w:rsid w:val="4BC019D0"/>
    <w:rsid w:val="4BD16457"/>
    <w:rsid w:val="4C200003"/>
    <w:rsid w:val="4C6F03D7"/>
    <w:rsid w:val="4C7C5DC1"/>
    <w:rsid w:val="4CA7328C"/>
    <w:rsid w:val="4CEE0F12"/>
    <w:rsid w:val="4CFC2612"/>
    <w:rsid w:val="4D0D248D"/>
    <w:rsid w:val="4D2F7968"/>
    <w:rsid w:val="4DD156E1"/>
    <w:rsid w:val="4DE46370"/>
    <w:rsid w:val="4E50021E"/>
    <w:rsid w:val="4F6C2164"/>
    <w:rsid w:val="4FA35216"/>
    <w:rsid w:val="5024777C"/>
    <w:rsid w:val="50754C6D"/>
    <w:rsid w:val="526253BA"/>
    <w:rsid w:val="529436EB"/>
    <w:rsid w:val="53072963"/>
    <w:rsid w:val="53CC3E7C"/>
    <w:rsid w:val="543B32DE"/>
    <w:rsid w:val="55AF0C4C"/>
    <w:rsid w:val="56FE22C4"/>
    <w:rsid w:val="575F57F3"/>
    <w:rsid w:val="579008FD"/>
    <w:rsid w:val="58311C5E"/>
    <w:rsid w:val="58B92A32"/>
    <w:rsid w:val="5940136D"/>
    <w:rsid w:val="59653941"/>
    <w:rsid w:val="598A3BD7"/>
    <w:rsid w:val="59C26AE1"/>
    <w:rsid w:val="5A231CAD"/>
    <w:rsid w:val="5AD02FA4"/>
    <w:rsid w:val="5AF0196C"/>
    <w:rsid w:val="5AFD00B1"/>
    <w:rsid w:val="5B835880"/>
    <w:rsid w:val="5BC556C8"/>
    <w:rsid w:val="5CA2431E"/>
    <w:rsid w:val="5CB40C1F"/>
    <w:rsid w:val="5D6B614F"/>
    <w:rsid w:val="5DBA03BF"/>
    <w:rsid w:val="5E325A12"/>
    <w:rsid w:val="5F5D5D93"/>
    <w:rsid w:val="5F6A1068"/>
    <w:rsid w:val="60056E19"/>
    <w:rsid w:val="60317BF4"/>
    <w:rsid w:val="6083575F"/>
    <w:rsid w:val="60DA261A"/>
    <w:rsid w:val="6102576F"/>
    <w:rsid w:val="611A56C4"/>
    <w:rsid w:val="61563108"/>
    <w:rsid w:val="618A6118"/>
    <w:rsid w:val="61C20C30"/>
    <w:rsid w:val="61CB238B"/>
    <w:rsid w:val="61EE06EF"/>
    <w:rsid w:val="61FE5F1E"/>
    <w:rsid w:val="625E3A65"/>
    <w:rsid w:val="629E57E5"/>
    <w:rsid w:val="632B4F40"/>
    <w:rsid w:val="63A837A2"/>
    <w:rsid w:val="63DC7F58"/>
    <w:rsid w:val="63E05508"/>
    <w:rsid w:val="63E34CAB"/>
    <w:rsid w:val="64211FA6"/>
    <w:rsid w:val="64FA27FA"/>
    <w:rsid w:val="654D5563"/>
    <w:rsid w:val="65DA63B3"/>
    <w:rsid w:val="66080DB8"/>
    <w:rsid w:val="662971A4"/>
    <w:rsid w:val="66613E3A"/>
    <w:rsid w:val="666F4B13"/>
    <w:rsid w:val="66A62FAE"/>
    <w:rsid w:val="66CC2489"/>
    <w:rsid w:val="67373AED"/>
    <w:rsid w:val="67552F54"/>
    <w:rsid w:val="676672F4"/>
    <w:rsid w:val="67A61A66"/>
    <w:rsid w:val="67D759A9"/>
    <w:rsid w:val="67F252BF"/>
    <w:rsid w:val="68070424"/>
    <w:rsid w:val="684E1327"/>
    <w:rsid w:val="685064EE"/>
    <w:rsid w:val="68692E86"/>
    <w:rsid w:val="686F38C8"/>
    <w:rsid w:val="6929277C"/>
    <w:rsid w:val="693576E4"/>
    <w:rsid w:val="69D33081"/>
    <w:rsid w:val="6A0A2A14"/>
    <w:rsid w:val="6A3C222F"/>
    <w:rsid w:val="6A4D5953"/>
    <w:rsid w:val="6AC05C07"/>
    <w:rsid w:val="6AE54146"/>
    <w:rsid w:val="6AF00790"/>
    <w:rsid w:val="6B5D7945"/>
    <w:rsid w:val="6B8E3576"/>
    <w:rsid w:val="6BB0367D"/>
    <w:rsid w:val="6C952B28"/>
    <w:rsid w:val="6CA263E6"/>
    <w:rsid w:val="6D0E0833"/>
    <w:rsid w:val="6D217A44"/>
    <w:rsid w:val="6DA644C8"/>
    <w:rsid w:val="6DE23AC1"/>
    <w:rsid w:val="6E3428DB"/>
    <w:rsid w:val="709A4BEA"/>
    <w:rsid w:val="70A21BCA"/>
    <w:rsid w:val="71513BC6"/>
    <w:rsid w:val="720159B4"/>
    <w:rsid w:val="72784A18"/>
    <w:rsid w:val="727F1A53"/>
    <w:rsid w:val="72D54A8B"/>
    <w:rsid w:val="72D95197"/>
    <w:rsid w:val="732A5DFC"/>
    <w:rsid w:val="733D2E2A"/>
    <w:rsid w:val="73A309A2"/>
    <w:rsid w:val="73B42EBC"/>
    <w:rsid w:val="7408579C"/>
    <w:rsid w:val="74150951"/>
    <w:rsid w:val="75142BC9"/>
    <w:rsid w:val="769C2BD2"/>
    <w:rsid w:val="770041E7"/>
    <w:rsid w:val="77064052"/>
    <w:rsid w:val="770D5E47"/>
    <w:rsid w:val="77246332"/>
    <w:rsid w:val="78A63CE5"/>
    <w:rsid w:val="791476CC"/>
    <w:rsid w:val="796721E3"/>
    <w:rsid w:val="7A201994"/>
    <w:rsid w:val="7A4401DB"/>
    <w:rsid w:val="7AB95454"/>
    <w:rsid w:val="7ABF3489"/>
    <w:rsid w:val="7B97737A"/>
    <w:rsid w:val="7BBC4710"/>
    <w:rsid w:val="7BCD548D"/>
    <w:rsid w:val="7BF23BDF"/>
    <w:rsid w:val="7BFA4753"/>
    <w:rsid w:val="7C234660"/>
    <w:rsid w:val="7C457665"/>
    <w:rsid w:val="7CE1070E"/>
    <w:rsid w:val="7CE43D0A"/>
    <w:rsid w:val="7D4D1DE7"/>
    <w:rsid w:val="7DD47667"/>
    <w:rsid w:val="7E340D55"/>
    <w:rsid w:val="7E4161F0"/>
    <w:rsid w:val="7E861624"/>
    <w:rsid w:val="7F8C5666"/>
    <w:rsid w:val="7FA32C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customStyle="1" w:styleId="9">
    <w:name w:val="font01"/>
    <w:basedOn w:val="8"/>
    <w:qFormat/>
    <w:uiPriority w:val="0"/>
    <w:rPr>
      <w:rFonts w:hint="eastAsia" w:ascii="宋体" w:hAnsi="宋体" w:eastAsia="宋体" w:cs="宋体"/>
      <w:color w:val="000000"/>
      <w:sz w:val="22"/>
      <w:szCs w:val="22"/>
      <w:u w:val="none"/>
    </w:rPr>
  </w:style>
  <w:style w:type="character" w:customStyle="1" w:styleId="10">
    <w:name w:val="font21"/>
    <w:basedOn w:val="8"/>
    <w:qFormat/>
    <w:uiPriority w:val="0"/>
    <w:rPr>
      <w:rFonts w:hint="default" w:ascii="Times New Roman" w:hAnsi="Times New Roman" w:cs="Times New Roman"/>
      <w:color w:val="000000"/>
      <w:sz w:val="22"/>
      <w:szCs w:val="22"/>
      <w:u w:val="none"/>
    </w:rPr>
  </w:style>
  <w:style w:type="character" w:customStyle="1" w:styleId="11">
    <w:name w:val="font11"/>
    <w:basedOn w:val="8"/>
    <w:qFormat/>
    <w:uiPriority w:val="0"/>
    <w:rPr>
      <w:rFonts w:hint="default" w:ascii="Times New Roman" w:hAnsi="Times New Roman" w:cs="Times New Roman"/>
      <w:color w:val="000000"/>
      <w:sz w:val="20"/>
      <w:szCs w:val="20"/>
      <w:u w:val="none"/>
    </w:rPr>
  </w:style>
  <w:style w:type="character" w:customStyle="1" w:styleId="12">
    <w:name w:val="font31"/>
    <w:basedOn w:val="8"/>
    <w:qFormat/>
    <w:uiPriority w:val="0"/>
    <w:rPr>
      <w:rFonts w:hint="default" w:ascii="Times New Roman" w:hAnsi="Times New Roman" w:cs="Times New Roman"/>
      <w:color w:val="000000"/>
      <w:sz w:val="20"/>
      <w:szCs w:val="20"/>
      <w:u w:val="none"/>
    </w:rPr>
  </w:style>
  <w:style w:type="paragraph" w:customStyle="1" w:styleId="13">
    <w:name w:val="WPSOffice手动目录 1"/>
    <w:qFormat/>
    <w:uiPriority w:val="0"/>
    <w:pPr>
      <w:ind w:leftChars="0"/>
    </w:pPr>
    <w:rPr>
      <w:rFonts w:ascii="Times New Roman" w:hAnsi="Times New Roman" w:eastAsia="宋体" w:cs="Times New Roman"/>
      <w:sz w:val="20"/>
      <w:szCs w:val="20"/>
    </w:rPr>
  </w:style>
  <w:style w:type="paragraph" w:customStyle="1" w:styleId="14">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2021-06-18T10:51:00Z</dcterms:created>
  <dc:creator>Lenovo</dc:creator>
  <cp:lastModifiedBy>羅ZM</cp:lastModifiedBy>
  <dcterms:modified xsi:type="dcterms:W3CDTF">2021-06-21T12:18:43Z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57310E59836E4C1F9838D0185379A825</vt:lpwstr>
  </property>
</Properties>
</file>